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_Toc30969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_Toc2544 </w:instrText>
          </w:r>
          <w:r>
            <w:rPr>
              <w:bCs/>
            </w:rPr>
            <w:fldChar w:fldCharType="separate"/>
          </w:r>
          <w:r>
            <w:rPr>
              <w:rFonts w:hint="eastAsia" w:ascii="Times New Roman" w:hAnsi="Times New Roman" w:eastAsia="楷体"/>
              <w:szCs w:val="24"/>
            </w:rPr>
            <w:t>股指：短线市场或继续磨底</w:t>
          </w:r>
          <w:r>
            <w:rPr>
              <w:bCs/>
            </w:rPr>
            <w:fldChar w:fldCharType="end"/>
          </w:r>
        </w:p>
        <w:p>
          <w:pPr>
            <w:pStyle w:val="59"/>
            <w:tabs>
              <w:tab w:val="right" w:leader="dot" w:pos="8306"/>
            </w:tabs>
          </w:pPr>
          <w:r>
            <w:rPr>
              <w:bCs/>
            </w:rPr>
            <w:fldChar w:fldCharType="begin"/>
          </w:r>
          <w:r>
            <w:rPr>
              <w:bCs/>
            </w:rPr>
            <w:instrText xml:space="preserve"> HYPERLINK \l _Toc21381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_Toc10249 </w:instrText>
          </w:r>
          <w:r>
            <w:rPr>
              <w:bCs/>
            </w:rPr>
            <w:fldChar w:fldCharType="separate"/>
          </w:r>
          <w:r>
            <w:rPr>
              <w:rFonts w:hint="eastAsia" w:ascii="Times New Roman" w:hAnsi="Times New Roman" w:eastAsia="楷体"/>
              <w:szCs w:val="24"/>
            </w:rPr>
            <w:t>贵金属：美国CPI通胀回升，贵金属价格下跌</w:t>
          </w:r>
          <w:r>
            <w:rPr>
              <w:bCs/>
            </w:rPr>
            <w:fldChar w:fldCharType="end"/>
          </w:r>
        </w:p>
        <w:p>
          <w:pPr>
            <w:pStyle w:val="59"/>
            <w:tabs>
              <w:tab w:val="right" w:leader="dot" w:pos="8306"/>
            </w:tabs>
          </w:pPr>
          <w:r>
            <w:rPr>
              <w:bCs/>
            </w:rPr>
            <w:fldChar w:fldCharType="begin"/>
          </w:r>
          <w:r>
            <w:rPr>
              <w:bCs/>
            </w:rPr>
            <w:instrText xml:space="preserve"> HYPERLINK \l _Toc25253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_Toc26246 </w:instrText>
          </w:r>
          <w:r>
            <w:rPr>
              <w:bCs/>
            </w:rPr>
            <w:fldChar w:fldCharType="separate"/>
          </w:r>
          <w:r>
            <w:rPr>
              <w:rFonts w:hint="eastAsia" w:ascii="楷体" w:hAnsi="楷体" w:eastAsia="楷体"/>
              <w:szCs w:val="24"/>
            </w:rPr>
            <w:t>碳酸锂：智利锂企生产因抗议活动受阻，期价大幅上涨</w:t>
          </w:r>
          <w:r>
            <w:rPr>
              <w:bCs/>
            </w:rPr>
            <w:fldChar w:fldCharType="end"/>
          </w:r>
        </w:p>
        <w:p>
          <w:pPr>
            <w:pStyle w:val="74"/>
            <w:tabs>
              <w:tab w:val="right" w:leader="dot" w:pos="8306"/>
            </w:tabs>
          </w:pPr>
          <w:r>
            <w:rPr>
              <w:bCs/>
            </w:rPr>
            <w:fldChar w:fldCharType="begin"/>
          </w:r>
          <w:r>
            <w:rPr>
              <w:bCs/>
            </w:rPr>
            <w:instrText xml:space="preserve"> HYPERLINK \l _Toc27447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_Toc27096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_Toc20166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_Toc10425 </w:instrText>
          </w:r>
          <w:r>
            <w:rPr>
              <w:bCs/>
            </w:rPr>
            <w:fldChar w:fldCharType="separate"/>
          </w:r>
          <w:r>
            <w:rPr>
              <w:rFonts w:hint="eastAsia" w:ascii="楷体" w:hAnsi="楷体" w:eastAsia="楷体"/>
              <w:szCs w:val="24"/>
            </w:rPr>
            <w:t>铜：短期仍有下调压力，空间或不大</w:t>
          </w:r>
          <w:r>
            <w:rPr>
              <w:bCs/>
            </w:rPr>
            <w:fldChar w:fldCharType="end"/>
          </w:r>
        </w:p>
        <w:p>
          <w:pPr>
            <w:pStyle w:val="74"/>
            <w:tabs>
              <w:tab w:val="right" w:leader="dot" w:pos="8306"/>
            </w:tabs>
          </w:pPr>
          <w:r>
            <w:rPr>
              <w:bCs/>
            </w:rPr>
            <w:fldChar w:fldCharType="begin"/>
          </w:r>
          <w:r>
            <w:rPr>
              <w:bCs/>
            </w:rPr>
            <w:instrText xml:space="preserve"> HYPERLINK \l _Toc16153 </w:instrText>
          </w:r>
          <w:r>
            <w:rPr>
              <w:bCs/>
            </w:rPr>
            <w:fldChar w:fldCharType="separate"/>
          </w:r>
          <w:r>
            <w:rPr>
              <w:rFonts w:hint="eastAsia" w:ascii="楷体" w:hAnsi="楷体" w:eastAsia="楷体"/>
              <w:szCs w:val="24"/>
            </w:rPr>
            <w:t>铝：铝价偏弱震荡运行</w:t>
          </w:r>
          <w:r>
            <w:rPr>
              <w:bCs/>
            </w:rPr>
            <w:fldChar w:fldCharType="end"/>
          </w:r>
        </w:p>
        <w:p>
          <w:pPr>
            <w:pStyle w:val="74"/>
            <w:tabs>
              <w:tab w:val="right" w:leader="dot" w:pos="8306"/>
            </w:tabs>
          </w:pPr>
          <w:r>
            <w:rPr>
              <w:bCs/>
            </w:rPr>
            <w:fldChar w:fldCharType="begin"/>
          </w:r>
          <w:r>
            <w:rPr>
              <w:bCs/>
            </w:rPr>
            <w:instrText xml:space="preserve"> HYPERLINK \l _Toc5116 </w:instrText>
          </w:r>
          <w:r>
            <w:rPr>
              <w:bCs/>
            </w:rPr>
            <w:fldChar w:fldCharType="separate"/>
          </w:r>
          <w:r>
            <w:rPr>
              <w:rFonts w:hint="eastAsia" w:ascii="楷体" w:hAnsi="楷体" w:eastAsia="楷体"/>
              <w:szCs w:val="24"/>
            </w:rPr>
            <w:t>锌：锌价宽幅震荡</w:t>
          </w:r>
          <w:r>
            <w:rPr>
              <w:bCs/>
            </w:rPr>
            <w:fldChar w:fldCharType="end"/>
          </w:r>
        </w:p>
        <w:p>
          <w:pPr>
            <w:pStyle w:val="74"/>
            <w:tabs>
              <w:tab w:val="right" w:leader="dot" w:pos="8306"/>
            </w:tabs>
          </w:pPr>
          <w:r>
            <w:rPr>
              <w:bCs/>
            </w:rPr>
            <w:fldChar w:fldCharType="begin"/>
          </w:r>
          <w:r>
            <w:rPr>
              <w:bCs/>
            </w:rPr>
            <w:instrText xml:space="preserve"> HYPERLINK \l _Toc32569 </w:instrText>
          </w:r>
          <w:r>
            <w:rPr>
              <w:bCs/>
            </w:rPr>
            <w:fldChar w:fldCharType="separate"/>
          </w:r>
          <w:r>
            <w:rPr>
              <w:rFonts w:hint="eastAsia" w:ascii="楷体" w:hAnsi="楷体" w:eastAsia="楷体"/>
              <w:szCs w:val="24"/>
            </w:rPr>
            <w:t>镍：镍价弱势难改</w:t>
          </w:r>
          <w:r>
            <w:rPr>
              <w:bCs/>
            </w:rPr>
            <w:fldChar w:fldCharType="end"/>
          </w:r>
        </w:p>
        <w:p>
          <w:pPr>
            <w:pStyle w:val="74"/>
            <w:tabs>
              <w:tab w:val="right" w:leader="dot" w:pos="8306"/>
            </w:tabs>
          </w:pPr>
          <w:r>
            <w:rPr>
              <w:bCs/>
            </w:rPr>
            <w:fldChar w:fldCharType="begin"/>
          </w:r>
          <w:r>
            <w:rPr>
              <w:bCs/>
            </w:rPr>
            <w:instrText xml:space="preserve"> HYPERLINK \l _Toc10757 </w:instrText>
          </w:r>
          <w:r>
            <w:rPr>
              <w:bCs/>
            </w:rPr>
            <w:fldChar w:fldCharType="separate"/>
          </w:r>
          <w:r>
            <w:rPr>
              <w:rFonts w:hint="eastAsia" w:ascii="楷体" w:hAnsi="楷体" w:eastAsia="楷体"/>
              <w:szCs w:val="24"/>
            </w:rPr>
            <w:t>不锈钢：印尼消息扰动有限，累库施压不锈钢价</w:t>
          </w:r>
          <w:r>
            <w:rPr>
              <w:bCs/>
            </w:rPr>
            <w:fldChar w:fldCharType="end"/>
          </w:r>
        </w:p>
        <w:p>
          <w:pPr>
            <w:pStyle w:val="74"/>
            <w:tabs>
              <w:tab w:val="right" w:leader="dot" w:pos="8306"/>
            </w:tabs>
          </w:pPr>
          <w:r>
            <w:rPr>
              <w:bCs/>
            </w:rPr>
            <w:fldChar w:fldCharType="begin"/>
          </w:r>
          <w:r>
            <w:rPr>
              <w:bCs/>
            </w:rPr>
            <w:instrText xml:space="preserve"> HYPERLINK \l _Toc9612 </w:instrText>
          </w:r>
          <w:r>
            <w:rPr>
              <w:bCs/>
            </w:rPr>
            <w:fldChar w:fldCharType="separate"/>
          </w:r>
          <w:r>
            <w:rPr>
              <w:rFonts w:hint="eastAsia" w:ascii="楷体" w:hAnsi="楷体" w:eastAsia="楷体"/>
              <w:szCs w:val="24"/>
            </w:rPr>
            <w:t>工业硅：供需转向双弱预期，短期或震荡运行</w:t>
          </w:r>
          <w:r>
            <w:rPr>
              <w:bCs/>
            </w:rPr>
            <w:fldChar w:fldCharType="end"/>
          </w:r>
        </w:p>
        <w:p>
          <w:pPr>
            <w:pStyle w:val="59"/>
            <w:tabs>
              <w:tab w:val="right" w:leader="dot" w:pos="8306"/>
            </w:tabs>
          </w:pPr>
          <w:r>
            <w:rPr>
              <w:bCs/>
            </w:rPr>
            <w:fldChar w:fldCharType="begin"/>
          </w:r>
          <w:r>
            <w:rPr>
              <w:bCs/>
            </w:rPr>
            <w:instrText xml:space="preserve"> HYPERLINK \l _Toc15075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_Toc12291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短期在缺乏明显驱动下 天胶或震荡运行</w:t>
          </w:r>
          <w:r>
            <w:rPr>
              <w:bCs/>
            </w:rPr>
            <w:fldChar w:fldCharType="end"/>
          </w:r>
        </w:p>
        <w:p>
          <w:pPr>
            <w:pStyle w:val="74"/>
            <w:tabs>
              <w:tab w:val="right" w:leader="dot" w:pos="8306"/>
            </w:tabs>
          </w:pPr>
          <w:r>
            <w:rPr>
              <w:bCs/>
            </w:rPr>
            <w:fldChar w:fldCharType="begin"/>
          </w:r>
          <w:r>
            <w:rPr>
              <w:bCs/>
            </w:rPr>
            <w:instrText xml:space="preserve"> HYPERLINK \l _Toc2663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短线跟随成本端波动</w:t>
          </w:r>
          <w:r>
            <w:rPr>
              <w:bCs/>
            </w:rPr>
            <w:fldChar w:fldCharType="end"/>
          </w:r>
        </w:p>
        <w:p>
          <w:pPr>
            <w:pStyle w:val="74"/>
            <w:tabs>
              <w:tab w:val="right" w:leader="dot" w:pos="8306"/>
            </w:tabs>
          </w:pPr>
          <w:r>
            <w:rPr>
              <w:bCs/>
            </w:rPr>
            <w:fldChar w:fldCharType="begin"/>
          </w:r>
          <w:r>
            <w:rPr>
              <w:bCs/>
            </w:rPr>
            <w:instrText xml:space="preserve"> HYPERLINK \l _Toc612 </w:instrText>
          </w:r>
          <w:r>
            <w:rPr>
              <w:bCs/>
            </w:rPr>
            <w:fldChar w:fldCharType="separate"/>
          </w:r>
          <w:r>
            <w:rPr>
              <w:rFonts w:hint="eastAsia" w:ascii="楷体" w:hAnsi="楷体" w:eastAsia="楷体"/>
              <w:szCs w:val="24"/>
            </w:rPr>
            <w:t>聚烯烃：需求步入淡季 聚烯烃或低位震荡</w:t>
          </w:r>
          <w:r>
            <w:rPr>
              <w:bCs/>
            </w:rPr>
            <w:fldChar w:fldCharType="end"/>
          </w:r>
        </w:p>
        <w:p>
          <w:pPr>
            <w:pStyle w:val="74"/>
            <w:tabs>
              <w:tab w:val="right" w:leader="dot" w:pos="8306"/>
            </w:tabs>
          </w:pPr>
          <w:r>
            <w:rPr>
              <w:bCs/>
            </w:rPr>
            <w:fldChar w:fldCharType="begin"/>
          </w:r>
          <w:r>
            <w:rPr>
              <w:bCs/>
            </w:rPr>
            <w:instrText xml:space="preserve"> HYPERLINK \l _Toc10146 </w:instrText>
          </w:r>
          <w:r>
            <w:rPr>
              <w:bCs/>
            </w:rPr>
            <w:fldChar w:fldCharType="separate"/>
          </w:r>
          <w:r>
            <w:rPr>
              <w:rFonts w:hint="eastAsia" w:ascii="楷体" w:hAnsi="楷体" w:eastAsia="楷体"/>
              <w:szCs w:val="24"/>
            </w:rPr>
            <w:t>MEG：供应缩减预期 乙二醇短期震荡偏强</w:t>
          </w:r>
          <w:r>
            <w:rPr>
              <w:bCs/>
            </w:rPr>
            <w:fldChar w:fldCharType="end"/>
          </w:r>
        </w:p>
        <w:p>
          <w:pPr>
            <w:pStyle w:val="74"/>
            <w:tabs>
              <w:tab w:val="right" w:leader="dot" w:pos="8306"/>
            </w:tabs>
          </w:pPr>
          <w:r>
            <w:rPr>
              <w:bCs/>
            </w:rPr>
            <w:fldChar w:fldCharType="begin"/>
          </w:r>
          <w:r>
            <w:rPr>
              <w:bCs/>
            </w:rPr>
            <w:instrText xml:space="preserve"> HYPERLINK \l _Toc26679 </w:instrText>
          </w:r>
          <w:r>
            <w:rPr>
              <w:bCs/>
            </w:rPr>
            <w:fldChar w:fldCharType="separate"/>
          </w:r>
          <w:r>
            <w:rPr>
              <w:rFonts w:hint="eastAsia" w:ascii="楷体" w:hAnsi="楷体" w:eastAsia="楷体"/>
              <w:szCs w:val="24"/>
            </w:rPr>
            <w:t>玻璃：现货端价格维稳，盘面破位下跌</w:t>
          </w:r>
          <w:r>
            <w:rPr>
              <w:bCs/>
            </w:rPr>
            <w:fldChar w:fldCharType="end"/>
          </w:r>
        </w:p>
        <w:p>
          <w:pPr>
            <w:pStyle w:val="74"/>
            <w:tabs>
              <w:tab w:val="right" w:leader="dot" w:pos="8306"/>
            </w:tabs>
          </w:pPr>
          <w:r>
            <w:rPr>
              <w:bCs/>
            </w:rPr>
            <w:fldChar w:fldCharType="begin"/>
          </w:r>
          <w:r>
            <w:rPr>
              <w:bCs/>
            </w:rPr>
            <w:instrText xml:space="preserve"> HYPERLINK \l _Toc19895 </w:instrText>
          </w:r>
          <w:r>
            <w:rPr>
              <w:bCs/>
            </w:rPr>
            <w:fldChar w:fldCharType="separate"/>
          </w:r>
          <w:r>
            <w:rPr>
              <w:rFonts w:hint="eastAsia" w:ascii="楷体" w:hAnsi="楷体" w:eastAsia="楷体"/>
              <w:szCs w:val="24"/>
            </w:rPr>
            <w:t>纯碱：周内大幅累库，下游观望情绪渐浓</w:t>
          </w:r>
          <w:r>
            <w:rPr>
              <w:bCs/>
            </w:rPr>
            <w:fldChar w:fldCharType="end"/>
          </w:r>
        </w:p>
        <w:p>
          <w:pPr>
            <w:pStyle w:val="59"/>
            <w:tabs>
              <w:tab w:val="right" w:leader="dot" w:pos="8306"/>
            </w:tabs>
          </w:pPr>
          <w:r>
            <w:rPr>
              <w:bCs/>
            </w:rPr>
            <w:fldChar w:fldCharType="begin"/>
          </w:r>
          <w:r>
            <w:rPr>
              <w:bCs/>
            </w:rPr>
            <w:instrText xml:space="preserve"> HYPERLINK \l _Toc16107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_Toc32743 </w:instrText>
          </w:r>
          <w:r>
            <w:rPr>
              <w:bCs/>
            </w:rPr>
            <w:fldChar w:fldCharType="separate"/>
          </w:r>
          <w:r>
            <w:rPr>
              <w:rFonts w:hint="eastAsia" w:ascii="楷体" w:hAnsi="楷体" w:eastAsia="楷体"/>
              <w:szCs w:val="24"/>
            </w:rPr>
            <w:t>豆粕/菜粕：南美丰产预期持续施压，期现价格偏弱运行</w:t>
          </w:r>
          <w:r>
            <w:rPr>
              <w:bCs/>
            </w:rPr>
            <w:fldChar w:fldCharType="end"/>
          </w:r>
        </w:p>
        <w:p>
          <w:pPr>
            <w:pStyle w:val="74"/>
            <w:tabs>
              <w:tab w:val="right" w:leader="dot" w:pos="8306"/>
            </w:tabs>
          </w:pPr>
          <w:r>
            <w:rPr>
              <w:bCs/>
            </w:rPr>
            <w:fldChar w:fldCharType="begin"/>
          </w:r>
          <w:r>
            <w:rPr>
              <w:bCs/>
            </w:rPr>
            <w:instrText xml:space="preserve"> HYPERLINK \l _Toc21019 </w:instrText>
          </w:r>
          <w:r>
            <w:rPr>
              <w:bCs/>
            </w:rPr>
            <w:fldChar w:fldCharType="separate"/>
          </w:r>
          <w:r>
            <w:rPr>
              <w:rFonts w:hint="eastAsia" w:ascii="楷体" w:hAnsi="楷体" w:eastAsia="楷体"/>
              <w:szCs w:val="24"/>
            </w:rPr>
            <w:t>油脂：利好驱动不足，反弹乏力</w:t>
          </w:r>
          <w:r>
            <w:rPr>
              <w:bCs/>
            </w:rPr>
            <w:fldChar w:fldCharType="end"/>
          </w:r>
        </w:p>
        <w:p>
          <w:pPr>
            <w:pStyle w:val="74"/>
            <w:tabs>
              <w:tab w:val="right" w:leader="dot" w:pos="8306"/>
            </w:tabs>
          </w:pPr>
          <w:r>
            <w:rPr>
              <w:bCs/>
            </w:rPr>
            <w:fldChar w:fldCharType="begin"/>
          </w:r>
          <w:r>
            <w:rPr>
              <w:bCs/>
            </w:rPr>
            <w:instrText xml:space="preserve"> HYPERLINK \l _Toc25400 </w:instrText>
          </w:r>
          <w:r>
            <w:rPr>
              <w:bCs/>
            </w:rPr>
            <w:fldChar w:fldCharType="separate"/>
          </w:r>
          <w:r>
            <w:rPr>
              <w:rFonts w:hint="eastAsia" w:ascii="楷体" w:hAnsi="楷体" w:eastAsia="楷体"/>
              <w:bCs/>
            </w:rPr>
            <w:t>玉米与淀粉：</w:t>
          </w:r>
          <w:r>
            <w:rPr>
              <w:rFonts w:hint="eastAsia" w:ascii="楷体" w:hAnsi="楷体" w:eastAsia="楷体"/>
            </w:rPr>
            <w:t>期价受收储消息带动大幅反弹</w:t>
          </w:r>
          <w:r>
            <w:rPr>
              <w:bCs/>
            </w:rPr>
            <w:fldChar w:fldCharType="end"/>
          </w:r>
        </w:p>
        <w:p>
          <w:pPr>
            <w:pStyle w:val="74"/>
            <w:tabs>
              <w:tab w:val="right" w:leader="dot" w:pos="8306"/>
            </w:tabs>
          </w:pPr>
          <w:r>
            <w:rPr>
              <w:bCs/>
            </w:rPr>
            <w:fldChar w:fldCharType="begin"/>
          </w:r>
          <w:r>
            <w:rPr>
              <w:bCs/>
            </w:rPr>
            <w:instrText xml:space="preserve"> HYPERLINK \l _Toc808 </w:instrText>
          </w:r>
          <w:r>
            <w:rPr>
              <w:bCs/>
            </w:rPr>
            <w:fldChar w:fldCharType="separate"/>
          </w:r>
          <w:r>
            <w:rPr>
              <w:rFonts w:hint="eastAsia" w:ascii="楷体" w:hAnsi="楷体" w:eastAsia="楷体"/>
              <w:bCs/>
            </w:rPr>
            <w:t>畜禽养殖：鸡蛋期价午后大幅反弹</w:t>
          </w:r>
          <w:r>
            <w:rPr>
              <w:bCs/>
            </w:rPr>
            <w:fldChar w:fldCharType="end"/>
          </w:r>
        </w:p>
        <w:p>
          <w:pPr>
            <w:pStyle w:val="59"/>
            <w:tabs>
              <w:tab w:val="right" w:leader="dot" w:pos="8306"/>
            </w:tabs>
          </w:pPr>
          <w:r>
            <w:rPr>
              <w:bCs/>
            </w:rPr>
            <w:fldChar w:fldCharType="begin"/>
          </w:r>
          <w:r>
            <w:rPr>
              <w:bCs/>
            </w:rPr>
            <w:instrText xml:space="preserve"> HYPERLINK \l _Toc10799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_Toc24198 </w:instrText>
          </w:r>
          <w:r>
            <w:rPr>
              <w:bCs/>
            </w:rPr>
            <w:fldChar w:fldCharType="separate"/>
          </w:r>
          <w:r>
            <w:rPr>
              <w:rFonts w:hint="eastAsia" w:ascii="Times New Roman" w:hAnsi="Times New Roman" w:eastAsia="楷体"/>
              <w:szCs w:val="24"/>
            </w:rPr>
            <w:t>集运指数（欧线）：红海消息短暂扰动运价，期货市场或维持震荡谨慎应对SCFI公布</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0969"/>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54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短线市场或继续磨底</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市场即将触及2022年4月底低点时超跌反弹，主要在于资金面因素的反弹。但基本面尚不支持全面反攻，短期或仍以震荡磨底为主。1）该位置对于场外资金而言，性价比较高，各宽基指数较为充分反映当前市场悲观预期，后市进一步大跌风险有限，同时隐含风险溢价、股债性价比 等长期关键指标都表明，A股底部信号已经出现，选择看涨期权进行抄底，市场将其视为积极的信号；2）股指期货基差自连续两日回暖，对冲高峰或结束；3）部分小盘方向换手率近期出现提升迹象，暗示有部分资金抄底。中线看，外需明显修复之前，市场反弹更依赖于政策层面的催化以及信心层面的提升。</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1381"/>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10249"/>
      <w:r>
        <w:rPr>
          <w:rFonts w:hint="eastAsia" w:ascii="Times New Roman" w:hAnsi="Times New Roman" w:eastAsia="楷体"/>
          <w:b/>
          <w:color w:val="000000" w:themeColor="text1"/>
          <w:sz w:val="24"/>
          <w:szCs w:val="24"/>
          <w14:textFill>
            <w14:solidFill>
              <w14:schemeClr w14:val="tx1"/>
            </w14:solidFill>
          </w14:textFill>
        </w:rPr>
        <w:t>贵金属：美国CPI通胀回升，贵金属价格下跌</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跌0.04%至102.31，美十债收益率跌6.3bp至3.97%。沪金跌0.50%，沪银跌0.95%。美国12月CPI同比上涨3.4%，超出预期的3.2%；12月核心CPI同比上涨3.9%，超过预期的3.8%。由于通胀反弹，数据公布后海外市场降息预期再度下降。美联储梅斯特表示，现在需要评估的是美联储高利率和限制性政策维持多久；还没有到降息的时候，希望有更多证据表明经济如预期发展；今年美联储将开始讨论调整缩表措施的问题。美联储巴尔金称，12月CPI数据大致上符合预期，密切关注1至3个月内的PCE数据，不会预先判断三月份美联储将降息。海外市场将继续根据经济数据公布情况调整对于美联储的降息预期，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525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26246"/>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碳酸锂：智利锂企生产因抗议活动受阻，期价大幅上涨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低位持平，碳酸锂期价昨日午后大幅上涨，主力07合约收涨6.40%至104700元/吨。消息面方面据媒体消息，因龙头锂企SQM与智利国有铜业公司Codelco上月签署长期合作协议，智利北部数百人举行抗议活动封堵Atacama盐滩道路，SQM在智利的锂矿开采业务活动受到封路事件的干扰。市场一定程度上存在对于未来南美锂盐供应受损的担忧，受此影响期价大幅上涨，但目前而言事件实质性影响暂相对较小。品种波动剧烈，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7447"/>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27096"/>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20166"/>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10425"/>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短期仍有下调压力，空间或不大</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(1)宏观：1月11日周四，美国劳工统计局公布的数据显示，美国12月CPI同比上涨3.4%，较11月的3.1%有所反弹，超出预期的3.2%，为三个月来的最高涨幅；环比增速升至0.3%，高于前值0.1%和预期的0.2%。</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(2)库存：1月11日，SHFE仓单库存2482吨，持平；LME仓单库存157325吨，减1575吨。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(3)精废价差：1月11日，Mysteel精废价差1720，收窄252。目前价差在合理价差1385之下。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12月通胀数据全面超预期，市场对美联储降息预期继续下调，国内伴随股市止跌信心有所回暖。基本面，升水及价格走低后下游消费有所改善，节前补库需求增加，低库存对价格仍有支撑，预计短期价格仍有下调压力，但预计空间不大，波动区间参考67500-68500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16153"/>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铝价偏弱震荡运行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超预期表现，降息预期进一步下调，红海冲突持续热化，市场动荡情绪持续影响，基本面上，国内电解铝供应运行平稳，短期暂无大型增减产，行业铸锭率上升，铝棒库存小幅累积，铝锭社会库存累库，终端需求临近大型假期提振乏力。宏观情绪上仍有压制，基本面来看，电解铝供应保持稳定，需求临近假期提振乏力，库存累库但低库存现状未明显改善，下方价格空间依旧有限，价格维持偏弱震荡。</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5116"/>
      <w:r>
        <w:rPr>
          <w:rFonts w:hint="eastAsia" w:ascii="楷体" w:hAnsi="楷体" w:eastAsia="楷体"/>
          <w:b/>
          <w:color w:val="000000" w:themeColor="text1"/>
          <w:sz w:val="24"/>
          <w:szCs w:val="24"/>
          <w14:textFill>
            <w14:solidFill>
              <w14:schemeClr w14:val="tx1"/>
            </w14:solidFill>
          </w14:textFill>
        </w:rPr>
        <w:t>锌：锌价宽幅震荡</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宏观情绪偏弱，美元指数偏强运行，压制有色价格。基本面来看，年底备货及逢低采买需求走强，市场现货偏紧，升水维持高位，LME库存录减，国内库存低位，预计沪锌或将宽幅震荡。</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32569"/>
      <w:r>
        <w:rPr>
          <w:rFonts w:hint="eastAsia" w:ascii="楷体" w:hAnsi="楷体" w:eastAsia="楷体"/>
          <w:b/>
          <w:color w:val="000000" w:themeColor="text1"/>
          <w:sz w:val="24"/>
          <w:szCs w:val="24"/>
          <w14:textFill>
            <w14:solidFill>
              <w14:schemeClr w14:val="tx1"/>
            </w14:solidFill>
          </w14:textFill>
        </w:rPr>
        <w:t>镍：镍价弱势难改</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镍价反弹的原因可能是受到资金面影响及消息刺激，印尼大选的第三号候选人表示如果当选将暂停镍铁冶炼厂的建设，但此事尚有诸多不确定性，预计对盘面影响有限。美国12月CPI高于预期，进一步推低美联储降息预期，宏观情绪转弱。金川镍现货暂时仍偏紧，且下游存在春节前补库情绪，国内镍社会库存降库，为镍价带来一定支撑。然而，镍供强需弱格局不改，近期LME镍库存增幅明显，对镍价带来明显压力。综合而言，镍价弱势难改。</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0757"/>
      <w:r>
        <w:rPr>
          <w:rFonts w:hint="eastAsia" w:ascii="楷体" w:hAnsi="楷体" w:eastAsia="楷体"/>
          <w:b/>
          <w:color w:val="000000" w:themeColor="text1"/>
          <w:sz w:val="24"/>
          <w:szCs w:val="24"/>
          <w14:textFill>
            <w14:solidFill>
              <w14:schemeClr w14:val="tx1"/>
            </w14:solidFill>
          </w14:textFill>
        </w:rPr>
        <w:t>不锈钢：印尼消息扰动有限，累库施压不锈钢价</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不锈钢价昨日反弹的原因主要可能在于流通现货偏紧加上消息刺激，印尼大选的第三号候选人表示如果当选将暂停镍铁冶炼厂的建设，但此事尚有诸多不确定性，预计对盘面影响有限。才宏观面来看，美国12月CPI高于预期，美联储降息预期进一步下修，宏观情绪偏弱。从基本面来看，不锈钢厂在1月排产环比增加，不锈钢大量在途资源将到货，但需求未有起色，下游成交偏疲弱，社会库存由降库拐向小幅累库，1月11日全国不锈钢社会库存增加1.29万吨至83.74万吨，周环比上升1.57%。综合而言，印尼消息扰动的影响有限，宏观情绪转弱，加上需求疲弱和累库压力，预计不锈钢价反弹难以持续。</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961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供需转向双弱预期，短期或震荡运行</w:t>
      </w:r>
      <w:bookmarkEnd w:id="32"/>
    </w:p>
    <w:p>
      <w:pPr>
        <w:ind w:left="630" w:leftChars="300"/>
        <w:rPr>
          <w:rFonts w:ascii="楷体" w:hAnsi="楷体" w:eastAsia="楷体"/>
          <w:sz w:val="24"/>
          <w:szCs w:val="24"/>
        </w:rPr>
      </w:pPr>
      <w:r>
        <w:rPr>
          <w:rFonts w:hint="eastAsia" w:ascii="楷体" w:hAnsi="楷体" w:eastAsia="楷体"/>
          <w:sz w:val="24"/>
          <w:szCs w:val="24"/>
        </w:rPr>
        <w:t>1月11日，Si2403主力合约呈下行走势，收盘价13875元/吨，较上一收盘价涨跌幅-0.39%。从宏观面来看，国内宏观情绪转弱，工业品期货市场出现明显降温，工业硅也出现一定程度回调。从产业面来看，当前西南产区已处于开工相对低位，新疆部分工厂维持降负荷生产，整体供应收缩预期仍存，预计盘面下行空间有限。目前下游企业备货接近尾声，市场整体询单和成交积极性稍显下降，节前需求或也将逐步走弱，同时库存整体处于较高位置，也将压制大幅反弹，短期盘面或震荡运行。策略上，建议以波段操作为主，参考区间（13700，14500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15075"/>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1229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短期在缺乏明显驱动下 天胶或震荡运行</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国内产区迎来冬季停割期，泰北部及越南进入落叶期，泰南部洪水炒作弱化，但原料价格高位导致工厂利润持续倒挂，胶价驱动有限。库存方面，国内社会库存回升，青岛深色胶即将呈现累库拐点，浅色库存同比去年上升。需求端来看，下游轮胎市场销量走低，工厂生产开工下滑进入淡季，需求牵制。整体看，随着海外减产落地及青岛仓库事件消化，市场情绪释放后趋于理性，预计短时天胶市场缺乏明显上下驱动，或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2663"/>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短线跟随成本端波动</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供应端短线扰动，对盘面继续带来支撑。但沙特大幅下调原油官方销售价，中长期利空油价。PX供需边际转宽松的驱动，裂解价差难以高位维持，对PTA的成本支撑弱化。PTA方面，本周随着海南逸盛PTA装置的恢复，PTA开工率回升至83.8%附近，+1.8%。本周聚酯负荷高位维持，截至1.11，初步核算国内大陆地区聚酯负荷在89.9%。随着春节假期的临近，市场普遍关注后市聚酯工厂减产计划。后市来看，1月PTA装置检修不多，供应端或维持在偏高水平。聚酯库存压力尚可，但随着春节临近，聚酯减产预期增强，终端投机性补库需求不足，聚酯工厂集中在月下旬1月附近减产和检修量居多。因终端新订单有所减少，部分织造厂成品库存上升，预计中下旬终端会集中减停产放假，后市有需求季节性走弱预期。短期受成本支撑弱化及供需累库预期驱动，PTA走势承压。</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612"/>
      <w:r>
        <w:rPr>
          <w:rFonts w:hint="eastAsia" w:ascii="楷体" w:hAnsi="楷体" w:eastAsia="楷体"/>
          <w:b/>
          <w:color w:val="000000" w:themeColor="text1"/>
          <w:sz w:val="24"/>
          <w:szCs w:val="24"/>
          <w14:textFill>
            <w14:solidFill>
              <w14:schemeClr w14:val="tx1"/>
            </w14:solidFill>
          </w14:textFill>
        </w:rPr>
        <w:t>聚烯烃：需求步入淡季 聚烯烃或低位震荡</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伊朗在阿曼海岸扣押了一艘油轮，增加了中东冲突升级的可能性，国际油价上涨。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塑料板块整体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10146"/>
      <w:r>
        <w:rPr>
          <w:rFonts w:hint="eastAsia" w:ascii="楷体" w:hAnsi="楷体" w:eastAsia="楷体"/>
          <w:b/>
          <w:color w:val="000000" w:themeColor="text1"/>
          <w:sz w:val="24"/>
          <w:szCs w:val="24"/>
          <w14:textFill>
            <w14:solidFill>
              <w14:schemeClr w14:val="tx1"/>
            </w14:solidFill>
          </w14:textFill>
        </w:rPr>
        <w:t>MEG：供应缩减预期 乙二醇短期震荡偏强</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1.8华东主港地区MEG港口库存约103.8万吨附近，环比上期下降3.3万吨。截至12月28日，中国大陆地区乙二醇整体开工负荷在61.76%（+0.43%），其中草酸催化加氢法（合成气）制乙二醇开工负荷在58.19%（-1.02%）。 截至12月28日，国内大陆地区聚酯负荷在89.2%，节前聚酯开工高位维持。终端来看，江浙终端开工率维持，江浙加弹综合开工87%（+0%），江浙织机综合开工小幅下滑至77%（+0%），江浙印染综合开工下滑至74%（-1%）。综合来看，近期聚酯高开工维持，市场下调乙二醇2月之前进口、国产量及进口到港减少，预计1-2月乙二醇供需改善呈现紧平衡格局，供需格局转好驱动价格走势仍偏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6679"/>
      <w:r>
        <w:rPr>
          <w:rFonts w:hint="eastAsia" w:ascii="楷体" w:hAnsi="楷体" w:eastAsia="楷体"/>
          <w:b/>
          <w:color w:val="000000" w:themeColor="text1"/>
          <w:sz w:val="24"/>
          <w:szCs w:val="24"/>
          <w14:textFill>
            <w14:solidFill>
              <w14:schemeClr w14:val="tx1"/>
            </w14:solidFill>
          </w14:textFill>
        </w:rPr>
        <w:t>玻璃：现货端价格维稳，盘面破位下跌</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隆众资讯1月10日报道: 今日浮法玻璃现货价格2029元/吨，较上一交易日持平。本周全国浮法玻璃日产量为17.31万吨，天津信义3线冷修600T/d，周环比下降。截至2024年1月11日，库存上，周内全国浮法玻璃样本企业总库存3060.4万重箱，环比-165.2万重箱，环比-5.12%,去库。需求端，南北差异较大，华南年底赶工，产销相对较好，华北节前以清库为主，保价促销。盘面更多受宏观情绪和日度产销变化影响，月初期价涨至升水以后，期现商开始套利，带动现货补涨，但需求端下游分歧较大，原片厂保价+提价刺激下游拿货，节前冬储补库仍未见启动，期价再度走弱，震荡偏空。操作上短线建议观望。</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19895"/>
      <w:r>
        <w:rPr>
          <w:rFonts w:hint="eastAsia" w:ascii="楷体" w:hAnsi="楷体" w:eastAsia="楷体"/>
          <w:b/>
          <w:color w:val="000000" w:themeColor="text1"/>
          <w:sz w:val="24"/>
          <w:szCs w:val="24"/>
          <w14:textFill>
            <w14:solidFill>
              <w14:schemeClr w14:val="tx1"/>
            </w14:solidFill>
          </w14:textFill>
        </w:rPr>
        <w:t>纯碱：周内大幅累库，下游观望情绪渐浓</w:t>
      </w:r>
      <w:bookmarkEnd w:id="4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元旦之后纯碱现货价格持续下调。周内西北青海地区出厂价报价下调50元/吨，重碱报价2000</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元/吨 (日环比-100元/吨) ，华北送到价2250-2300元/吨。供给方面，截至20240111，周内</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纯碱产量69.12万吨，涨幅4.22%: 纯碱厂家库存42.59万吨，环比+5.63万吨，涨幅15.23%。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节后山东地区环保产能开始恢复，远兴3线提负荷，产量快速抬升，进口碱陆续到港，2月进</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口价格在2020元/吨附近。需求端下游经过上个月补库以后采购积极性下降。盘面受现货走弱</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影响，震荡下跌，现货价格不稳，下游观望情绪渐浓。后市重点关注现货价格何时企稳，操作上反弹高空，主力参考区间 (1800，2000)。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6107"/>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32743"/>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南美丰产预期持续施压，期现价格偏弱运行</w:t>
      </w:r>
      <w:bookmarkEnd w:id="42"/>
    </w:p>
    <w:p>
      <w:pPr>
        <w:ind w:left="630" w:leftChars="300"/>
        <w:rPr>
          <w:rFonts w:ascii="楷体" w:hAnsi="楷体" w:eastAsia="楷体"/>
          <w:sz w:val="24"/>
          <w:szCs w:val="24"/>
        </w:rPr>
      </w:pPr>
      <w:r>
        <w:rPr>
          <w:rFonts w:hint="eastAsia" w:ascii="楷体" w:hAnsi="楷体" w:eastAsia="楷体"/>
          <w:sz w:val="24"/>
          <w:szCs w:val="24"/>
        </w:rPr>
        <w:t>CBOT大豆价格维持偏弱运行，仍接近2021年12月以来的最低水平，因美国出口需求不振以及南美供应前景改善。当前市场定价中心集中在南美，巴西天气不确定性仍较大，虽种植进度落后于去年同期及五年均值水平，但在近期产区降水持续改善下，市场对其丰产预期回升，中长期南美丰产预期能否兑现仍是后续价格走势的关键，关注巴西后续天气及种植情况，关注周五USDA报告数据的调整情况。国内豆粕延续供强需弱格局，供应端进入11月份后，随着进口大豆到港增加，油厂大豆库存持续增加，但因下游需求疲软，油厂开机率较低，部分地区存胀库风险，豆粕库存较前一周增至97.25万吨，当前沿海主流油厂豆粕现货报价下调至3620-3650元/吨。但11月份进口大豆到港不及预期，为792万吨，叠加远月买船进度偏慢，远月供应端担忧仍存。需求，下游生猪养殖利润维持亏损，但在能繁存栏高位下，下游随采随用，保持安全库存，备货积极性不高。菜粕供应趋于宽松。在11月份后随着菜籽进口增加，菜粕供应转宽，目前菜籽库存以及油厂开机均有明显提升。而需求方面，随着水产消费旺季的结束，菜粕刚需减少，但在豆菜粕价差较大下提振菜粕的替代需求。策略方面，短期偏弱运行，建议豆粕短线逢高偏空操作，05暂看3100支撑，菜粕跟随豆粕偏弱运行，建议短线顺势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21019"/>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利好驱动不足，反弹乏力</w:t>
      </w:r>
      <w:bookmarkEnd w:id="43"/>
    </w:p>
    <w:p>
      <w:pPr>
        <w:ind w:left="630" w:leftChars="300"/>
        <w:rPr>
          <w:rFonts w:ascii="楷体" w:hAnsi="楷体" w:eastAsia="楷体"/>
          <w:sz w:val="24"/>
          <w:szCs w:val="24"/>
        </w:rPr>
      </w:pPr>
      <w:r>
        <w:rPr>
          <w:rFonts w:hint="eastAsia" w:ascii="楷体" w:hAnsi="楷体" w:eastAsia="楷体"/>
          <w:sz w:val="24"/>
          <w:szCs w:val="24"/>
        </w:rPr>
        <w:t>MPOB报告利好释放以及国际原油价格回升均带来支撑，虽国内春节前备货将陆续启动，但需求并未有显著好转，油脂反弹受限。棕榈油，产地11月份进入季节性减产周期，产地库存逐步去化，同时天气或有异常出站，对期价支撑有限，但需求降低仍施压。印尼棕榈油10月份产需双增，但产量增幅不及需求，库存继续下降。而马棕12月份产需双降，因产量降幅较大，12月底库存环比下降4.64%至229万吨，为8月以来最低水平，但当前供需矛盾尚未出现，关注一季度产地天气情况。国内棕榈油9-11月份进口到港维持高位，但在高库存抑制下月度进口环比下滑，最新商业库存减至87.3万吨，仍处于同期高位。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趋于宽松。需求方面，与豆油价差持续收窄，部分地区出现低于豆油价格的情况，下游采购需求较好，后续春节前备货也将陆续启动。短期油脂预计反弹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2540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期价受收储消息带动大幅反弹</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报告中我们认为，在前期国储暂停进口拍卖并传言产区增储带动期现货反弹之后，市场预期依然悲观，现货市场余粮继续施压，华北产区现货持续弱势并不断创出新低，带动期价回落调整。在这种情况下，市场尚需要等待供需的边际改善，即市场供需博弈的变动，建议重点关注政策粮收购、农户售粮心态、中下游特别是饲料养殖企业备货积极性。中储粮官网发布《中储粮集团公司将在东北等玉米主产区增加国产玉米收储规模》后，期价大幅减仓反弹，主要源于市场预计国储收购落地，短期有助于化解产区余粮压力，甚至带动中游贸易商和下游饲料养殖企业入市补充库存，继而带来市场供需博弈的转变；中期有望改善市场对年度玉米产需缺口的预期。据此，我们观点由前期中性转向谨慎看多，建议投资者可考虑以前低作为止损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持续变化，现货基差支撑依然存在，副产品继续下跌，行业供需近期改善，原料成本则相对偏空，除了绝对价格之外还有华北-东北玉米价差。考虑到盘面生产利润转负，淀粉-玉米价差短期难以收窄，但与此同时，产能格局或抑制其上方空间。在这种情况下，我们暂持中性观点，后期或转向看多，单边建议暂以观望为宜，激进投资者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808"/>
      <w:r>
        <w:rPr>
          <w:rFonts w:hint="eastAsia" w:ascii="楷体" w:hAnsi="楷体" w:eastAsia="楷体"/>
          <w:b/>
          <w:bCs/>
          <w:color w:val="000000" w:themeColor="text1"/>
          <w14:textFill>
            <w14:solidFill>
              <w14:schemeClr w14:val="tx1"/>
            </w14:solidFill>
          </w14:textFill>
        </w:rPr>
        <w:t>畜禽养殖：鸡蛋期价午后大幅反弹</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使得猪价表现难言乐观。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养殖户补栏和淘汰积极性的变化，随着鸡蛋现货价格的下跌，蛋鸡养殖利润亦随之下滑，近期养殖户淘汰积极性有所抬头。短期则需要留意季节性因素，节前重点留意需求端的表现。从大方向来看，我们维持谨慎看空观点，但春节前或存在短期季节性需求的支撑，期价或转为震荡调整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10799"/>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4198"/>
      <w:r>
        <w:rPr>
          <w:rFonts w:hint="eastAsia" w:ascii="Times New Roman" w:hAnsi="Times New Roman" w:eastAsia="楷体"/>
          <w:b/>
          <w:color w:val="000000" w:themeColor="text1"/>
          <w:sz w:val="24"/>
          <w:szCs w:val="24"/>
          <w14:textFill>
            <w14:solidFill>
              <w14:schemeClr w14:val="tx1"/>
            </w14:solidFill>
          </w14:textFill>
        </w:rPr>
        <w:t>集运指数（欧线）：红海消息短暂扰动运价，期货市场或维持震荡谨慎应对SCFI公布</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前，有消息传出一些世界顶级航运公司现在已经与也门胡塞武装达成协议，允许其船只安全地通过红海这一世界重要航道。胡塞武装的要求是，航运公司必须保证不运载以色列货物，也不停靠以色列港口，并且需要主动作出声明。但马士基与和赫伯罗特均否认其有与胡塞武装达成协议。</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另外，1月10日也门胡塞武装发表声明称，胡塞武装通过导弹和无人机在前一天晚上展开了针对美国军舰的袭击行动，以报复对方在去年12月31日击沉3艘胡塞武装快艇造成10人死亡的事件。</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即期运价方面，2024年1月8日公布SCFIS欧线数据为2098点，较上周涨70%。1月5日，SCFI欧线数据为2871美元/TEU，涨6.57%，相较于此前涨幅有所收窄。指示未来一周订舱价格涨幅开始趋缓。</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以上最新红海消息均短暂扰动期货价格，但最终将以回归基本面为主轴。本日盘后公布SCFI数据将为未来一周交易提供参照，因此今天市场将博弈1月中下旬订舱价格预期，预计维持宽幅震荡，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98426751"/>
      <w:bookmarkStart w:id="49" w:name="_Toc19667"/>
      <w:bookmarkStart w:id="50" w:name="_Toc72481108"/>
      <w:bookmarkStart w:id="51" w:name="_Toc71212556"/>
      <w:bookmarkStart w:id="52" w:name="_Toc12779"/>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2024年1月12日星期五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70F17"/>
    <w:rsid w:val="32951C0D"/>
    <w:rsid w:val="340E7198"/>
    <w:rsid w:val="34A75784"/>
    <w:rsid w:val="373F75CC"/>
    <w:rsid w:val="38F320AA"/>
    <w:rsid w:val="399D40A5"/>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042686"/>
    <w:rsid w:val="58246D5D"/>
    <w:rsid w:val="59151C86"/>
    <w:rsid w:val="59C52328"/>
    <w:rsid w:val="5B906095"/>
    <w:rsid w:val="5BF60A75"/>
    <w:rsid w:val="5C9F2D01"/>
    <w:rsid w:val="5D5617A6"/>
    <w:rsid w:val="5EA23F15"/>
    <w:rsid w:val="5EA7685B"/>
    <w:rsid w:val="619A2BBF"/>
    <w:rsid w:val="61DF02D0"/>
    <w:rsid w:val="62710E5F"/>
    <w:rsid w:val="63FF1EA7"/>
    <w:rsid w:val="64C32497"/>
    <w:rsid w:val="66D04BBC"/>
    <w:rsid w:val="67655BF9"/>
    <w:rsid w:val="67C6389B"/>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2024-01-12T02:34:17Z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