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3" w:name="_GoBack"/>
          <w:bookmarkEnd w:id="53"/>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_Toc8296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_Toc21780 </w:instrText>
          </w:r>
          <w:r>
            <w:rPr>
              <w:bCs/>
            </w:rPr>
            <w:fldChar w:fldCharType="separate"/>
          </w:r>
          <w:r>
            <w:rPr>
              <w:rFonts w:hint="eastAsia" w:ascii="Times New Roman" w:hAnsi="Times New Roman" w:eastAsia="楷体"/>
              <w:szCs w:val="24"/>
            </w:rPr>
            <w:t>股指：短线市场或继续磨底，中线可考虑正左侧逢低轻仓布局IM多单</w:t>
          </w:r>
          <w:r>
            <w:rPr>
              <w:bCs/>
            </w:rPr>
            <w:fldChar w:fldCharType="end"/>
          </w:r>
        </w:p>
        <w:p>
          <w:pPr>
            <w:pStyle w:val="59"/>
            <w:tabs>
              <w:tab w:val="right" w:leader="dot" w:pos="8306"/>
            </w:tabs>
          </w:pPr>
          <w:r>
            <w:rPr>
              <w:bCs/>
            </w:rPr>
            <w:fldChar w:fldCharType="begin"/>
          </w:r>
          <w:r>
            <w:rPr>
              <w:bCs/>
            </w:rPr>
            <w:instrText xml:space="preserve"> HYPERLINK \l _Toc20774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_Toc10210 </w:instrText>
          </w:r>
          <w:r>
            <w:rPr>
              <w:bCs/>
            </w:rPr>
            <w:fldChar w:fldCharType="separate"/>
          </w:r>
          <w:r>
            <w:rPr>
              <w:rFonts w:hint="eastAsia" w:ascii="Times New Roman" w:hAnsi="Times New Roman" w:eastAsia="楷体"/>
              <w:szCs w:val="24"/>
            </w:rPr>
            <w:t>贵金属：静待美国CPI通胀数据公布，贵金属价格窄幅震荡</w:t>
          </w:r>
          <w:r>
            <w:rPr>
              <w:bCs/>
            </w:rPr>
            <w:fldChar w:fldCharType="end"/>
          </w:r>
        </w:p>
        <w:p>
          <w:pPr>
            <w:pStyle w:val="59"/>
            <w:tabs>
              <w:tab w:val="right" w:leader="dot" w:pos="8306"/>
            </w:tabs>
          </w:pPr>
          <w:r>
            <w:rPr>
              <w:bCs/>
            </w:rPr>
            <w:fldChar w:fldCharType="begin"/>
          </w:r>
          <w:r>
            <w:rPr>
              <w:bCs/>
            </w:rPr>
            <w:instrText xml:space="preserve"> HYPERLINK \l _Toc14150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_Toc12544 </w:instrText>
          </w:r>
          <w:r>
            <w:rPr>
              <w:bCs/>
            </w:rPr>
            <w:fldChar w:fldCharType="separate"/>
          </w:r>
          <w:r>
            <w:rPr>
              <w:rFonts w:hint="eastAsia" w:ascii="楷体" w:hAnsi="楷体" w:eastAsia="楷体"/>
              <w:szCs w:val="24"/>
            </w:rPr>
            <w:t>碳酸锂：上月碳酸锂产量环比微增，主力期价小幅下跌</w:t>
          </w:r>
          <w:r>
            <w:rPr>
              <w:bCs/>
            </w:rPr>
            <w:fldChar w:fldCharType="end"/>
          </w:r>
        </w:p>
        <w:p>
          <w:pPr>
            <w:pStyle w:val="74"/>
            <w:tabs>
              <w:tab w:val="right" w:leader="dot" w:pos="8306"/>
            </w:tabs>
          </w:pPr>
          <w:r>
            <w:rPr>
              <w:bCs/>
            </w:rPr>
            <w:fldChar w:fldCharType="begin"/>
          </w:r>
          <w:r>
            <w:rPr>
              <w:bCs/>
            </w:rPr>
            <w:instrText xml:space="preserve"> HYPERLINK \l _Toc25619 </w:instrText>
          </w:r>
          <w:r>
            <w:rPr>
              <w:bCs/>
            </w:rPr>
            <w:fldChar w:fldCharType="separate"/>
          </w:r>
          <w:r>
            <w:rPr>
              <w:rFonts w:hint="eastAsia" w:ascii="楷体" w:hAnsi="楷体" w:eastAsia="楷体"/>
              <w:szCs w:val="24"/>
            </w:rPr>
            <w:t>螺纹钢：PSL利好刺激，钢价或震荡上行</w:t>
          </w:r>
          <w:r>
            <w:rPr>
              <w:bCs/>
            </w:rPr>
            <w:fldChar w:fldCharType="end"/>
          </w:r>
        </w:p>
        <w:p>
          <w:pPr>
            <w:pStyle w:val="74"/>
            <w:tabs>
              <w:tab w:val="right" w:leader="dot" w:pos="8306"/>
            </w:tabs>
          </w:pPr>
          <w:r>
            <w:rPr>
              <w:bCs/>
            </w:rPr>
            <w:fldChar w:fldCharType="begin"/>
          </w:r>
          <w:r>
            <w:rPr>
              <w:bCs/>
            </w:rPr>
            <w:instrText xml:space="preserve"> HYPERLINK \l _Toc25160 </w:instrText>
          </w:r>
          <w:r>
            <w:rPr>
              <w:bCs/>
            </w:rPr>
            <w:fldChar w:fldCharType="separate"/>
          </w:r>
          <w:r>
            <w:rPr>
              <w:rFonts w:hint="eastAsia" w:ascii="楷体" w:hAnsi="楷体" w:eastAsia="楷体"/>
              <w:szCs w:val="24"/>
            </w:rPr>
            <w:t>焦炭：第一轮提降，震荡偏强</w:t>
          </w:r>
          <w:r>
            <w:rPr>
              <w:bCs/>
            </w:rPr>
            <w:fldChar w:fldCharType="end"/>
          </w:r>
        </w:p>
        <w:p>
          <w:pPr>
            <w:pStyle w:val="74"/>
            <w:tabs>
              <w:tab w:val="right" w:leader="dot" w:pos="8306"/>
            </w:tabs>
          </w:pPr>
          <w:r>
            <w:rPr>
              <w:bCs/>
            </w:rPr>
            <w:fldChar w:fldCharType="begin"/>
          </w:r>
          <w:r>
            <w:rPr>
              <w:bCs/>
            </w:rPr>
            <w:instrText xml:space="preserve"> HYPERLINK \l _Toc30924 </w:instrText>
          </w:r>
          <w:r>
            <w:rPr>
              <w:bCs/>
            </w:rPr>
            <w:fldChar w:fldCharType="separate"/>
          </w:r>
          <w:r>
            <w:rPr>
              <w:rFonts w:hint="eastAsia" w:ascii="楷体" w:hAnsi="楷体" w:eastAsia="楷体"/>
              <w:szCs w:val="24"/>
            </w:rPr>
            <w:t>焦煤：现货开始调整，下方空间有限，或震荡偏强</w:t>
          </w:r>
          <w:r>
            <w:rPr>
              <w:bCs/>
            </w:rPr>
            <w:fldChar w:fldCharType="end"/>
          </w:r>
        </w:p>
        <w:p>
          <w:pPr>
            <w:pStyle w:val="74"/>
            <w:tabs>
              <w:tab w:val="right" w:leader="dot" w:pos="8306"/>
            </w:tabs>
          </w:pPr>
          <w:r>
            <w:rPr>
              <w:bCs/>
            </w:rPr>
            <w:fldChar w:fldCharType="begin"/>
          </w:r>
          <w:r>
            <w:rPr>
              <w:bCs/>
            </w:rPr>
            <w:instrText xml:space="preserve"> HYPERLINK \l _Toc15239 </w:instrText>
          </w:r>
          <w:r>
            <w:rPr>
              <w:bCs/>
            </w:rPr>
            <w:fldChar w:fldCharType="separate"/>
          </w:r>
          <w:r>
            <w:rPr>
              <w:rFonts w:hint="eastAsia" w:ascii="楷体" w:hAnsi="楷体" w:eastAsia="楷体"/>
              <w:szCs w:val="24"/>
            </w:rPr>
            <w:t>铜：高位承压运行，关注美国CPI</w:t>
          </w:r>
          <w:r>
            <w:rPr>
              <w:bCs/>
            </w:rPr>
            <w:fldChar w:fldCharType="end"/>
          </w:r>
        </w:p>
        <w:p>
          <w:pPr>
            <w:pStyle w:val="74"/>
            <w:tabs>
              <w:tab w:val="right" w:leader="dot" w:pos="8306"/>
            </w:tabs>
          </w:pPr>
          <w:r>
            <w:rPr>
              <w:bCs/>
            </w:rPr>
            <w:fldChar w:fldCharType="begin"/>
          </w:r>
          <w:r>
            <w:rPr>
              <w:bCs/>
            </w:rPr>
            <w:instrText xml:space="preserve"> HYPERLINK \l _Toc29552 </w:instrText>
          </w:r>
          <w:r>
            <w:rPr>
              <w:bCs/>
            </w:rPr>
            <w:fldChar w:fldCharType="separate"/>
          </w:r>
          <w:r>
            <w:rPr>
              <w:rFonts w:hint="eastAsia" w:ascii="楷体" w:hAnsi="楷体" w:eastAsia="楷体"/>
              <w:szCs w:val="24"/>
            </w:rPr>
            <w:t>铝：铝价上下有限，短期偏向承压运行</w:t>
          </w:r>
          <w:r>
            <w:rPr>
              <w:bCs/>
            </w:rPr>
            <w:fldChar w:fldCharType="end"/>
          </w:r>
        </w:p>
        <w:p>
          <w:pPr>
            <w:pStyle w:val="74"/>
            <w:tabs>
              <w:tab w:val="right" w:leader="dot" w:pos="8306"/>
            </w:tabs>
          </w:pPr>
          <w:r>
            <w:rPr>
              <w:bCs/>
            </w:rPr>
            <w:fldChar w:fldCharType="begin"/>
          </w:r>
          <w:r>
            <w:rPr>
              <w:bCs/>
            </w:rPr>
            <w:instrText xml:space="preserve"> HYPERLINK \l _Toc21147 </w:instrText>
          </w:r>
          <w:r>
            <w:rPr>
              <w:bCs/>
            </w:rPr>
            <w:fldChar w:fldCharType="separate"/>
          </w:r>
          <w:r>
            <w:rPr>
              <w:rFonts w:hint="eastAsia" w:ascii="楷体" w:hAnsi="楷体" w:eastAsia="楷体"/>
              <w:szCs w:val="24"/>
            </w:rPr>
            <w:t>锌：锌价宽幅震荡</w:t>
          </w:r>
          <w:r>
            <w:rPr>
              <w:bCs/>
            </w:rPr>
            <w:fldChar w:fldCharType="end"/>
          </w:r>
        </w:p>
        <w:p>
          <w:pPr>
            <w:pStyle w:val="74"/>
            <w:tabs>
              <w:tab w:val="right" w:leader="dot" w:pos="8306"/>
            </w:tabs>
          </w:pPr>
          <w:r>
            <w:rPr>
              <w:bCs/>
            </w:rPr>
            <w:fldChar w:fldCharType="begin"/>
          </w:r>
          <w:r>
            <w:rPr>
              <w:bCs/>
            </w:rPr>
            <w:instrText xml:space="preserve"> HYPERLINK \l _Toc19154 </w:instrText>
          </w:r>
          <w:r>
            <w:rPr>
              <w:bCs/>
            </w:rPr>
            <w:fldChar w:fldCharType="separate"/>
          </w:r>
          <w:r>
            <w:rPr>
              <w:rFonts w:hint="eastAsia" w:ascii="楷体" w:hAnsi="楷体" w:eastAsia="楷体"/>
              <w:szCs w:val="24"/>
            </w:rPr>
            <w:t>镍：预计镍价震荡偏弱运行</w:t>
          </w:r>
          <w:r>
            <w:rPr>
              <w:bCs/>
            </w:rPr>
            <w:fldChar w:fldCharType="end"/>
          </w:r>
        </w:p>
        <w:p>
          <w:pPr>
            <w:pStyle w:val="74"/>
            <w:tabs>
              <w:tab w:val="right" w:leader="dot" w:pos="8306"/>
            </w:tabs>
          </w:pPr>
          <w:r>
            <w:rPr>
              <w:bCs/>
            </w:rPr>
            <w:fldChar w:fldCharType="begin"/>
          </w:r>
          <w:r>
            <w:rPr>
              <w:bCs/>
            </w:rPr>
            <w:instrText xml:space="preserve"> HYPERLINK \l _Toc25013 </w:instrText>
          </w:r>
          <w:r>
            <w:rPr>
              <w:bCs/>
            </w:rPr>
            <w:fldChar w:fldCharType="separate"/>
          </w:r>
          <w:r>
            <w:rPr>
              <w:rFonts w:hint="eastAsia" w:ascii="楷体" w:hAnsi="楷体" w:eastAsia="楷体"/>
              <w:szCs w:val="24"/>
            </w:rPr>
            <w:t>不锈钢：供增需弱格局下，不锈钢价震荡承压</w:t>
          </w:r>
          <w:r>
            <w:rPr>
              <w:bCs/>
            </w:rPr>
            <w:fldChar w:fldCharType="end"/>
          </w:r>
        </w:p>
        <w:p>
          <w:pPr>
            <w:pStyle w:val="74"/>
            <w:tabs>
              <w:tab w:val="right" w:leader="dot" w:pos="8306"/>
            </w:tabs>
          </w:pPr>
          <w:r>
            <w:rPr>
              <w:bCs/>
            </w:rPr>
            <w:fldChar w:fldCharType="begin"/>
          </w:r>
          <w:r>
            <w:rPr>
              <w:bCs/>
            </w:rPr>
            <w:instrText xml:space="preserve"> HYPERLINK \l _Toc7270 </w:instrText>
          </w:r>
          <w:r>
            <w:rPr>
              <w:bCs/>
            </w:rPr>
            <w:fldChar w:fldCharType="separate"/>
          </w:r>
          <w:r>
            <w:rPr>
              <w:rFonts w:hint="eastAsia" w:ascii="楷体" w:hAnsi="楷体" w:eastAsia="楷体"/>
              <w:szCs w:val="24"/>
            </w:rPr>
            <w:t>工业硅：供需转向双弱预期，短期或震荡运行</w:t>
          </w:r>
          <w:r>
            <w:rPr>
              <w:bCs/>
            </w:rPr>
            <w:fldChar w:fldCharType="end"/>
          </w:r>
        </w:p>
        <w:p>
          <w:pPr>
            <w:pStyle w:val="59"/>
            <w:tabs>
              <w:tab w:val="right" w:leader="dot" w:pos="8306"/>
            </w:tabs>
          </w:pPr>
          <w:r>
            <w:rPr>
              <w:bCs/>
            </w:rPr>
            <w:fldChar w:fldCharType="begin"/>
          </w:r>
          <w:r>
            <w:rPr>
              <w:bCs/>
            </w:rPr>
            <w:instrText xml:space="preserve"> HYPERLINK \l _Toc13425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_Toc364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w:t>
          </w:r>
          <w:r>
            <w:rPr>
              <w:rFonts w:hint="eastAsia" w:ascii="楷体" w:hAnsi="楷体" w:eastAsia="楷体"/>
              <w:szCs w:val="24"/>
            </w:rPr>
            <w:t>炒作事件情绪降温 短期RU或仍有回落风险</w:t>
          </w:r>
          <w:r>
            <w:rPr>
              <w:bCs/>
            </w:rPr>
            <w:fldChar w:fldCharType="end"/>
          </w:r>
        </w:p>
        <w:p>
          <w:pPr>
            <w:pStyle w:val="74"/>
            <w:tabs>
              <w:tab w:val="right" w:leader="dot" w:pos="8306"/>
            </w:tabs>
          </w:pPr>
          <w:r>
            <w:rPr>
              <w:bCs/>
            </w:rPr>
            <w:fldChar w:fldCharType="begin"/>
          </w:r>
          <w:r>
            <w:rPr>
              <w:bCs/>
            </w:rPr>
            <w:instrText xml:space="preserve"> HYPERLINK \l _Toc21211 </w:instrText>
          </w:r>
          <w:r>
            <w:rPr>
              <w:bCs/>
            </w:rPr>
            <w:fldChar w:fldCharType="separate"/>
          </w:r>
          <w:r>
            <w:rPr>
              <w:rFonts w:ascii="楷体" w:hAnsi="楷体" w:eastAsia="楷体"/>
              <w:szCs w:val="24"/>
            </w:rPr>
            <w:t>PTA</w:t>
          </w:r>
          <w:r>
            <w:rPr>
              <w:rFonts w:hint="eastAsia" w:ascii="楷体" w:hAnsi="楷体" w:eastAsia="楷体"/>
              <w:szCs w:val="24"/>
            </w:rPr>
            <w:t>：</w:t>
          </w:r>
          <w:r>
            <w:rPr>
              <w:rFonts w:hint="eastAsia" w:ascii="Calibri" w:hAnsi="Calibri" w:eastAsia="楷体" w:cs="Calibri"/>
              <w:szCs w:val="24"/>
            </w:rPr>
            <w:t>短线跟随成本端回落</w:t>
          </w:r>
          <w:r>
            <w:rPr>
              <w:bCs/>
            </w:rPr>
            <w:fldChar w:fldCharType="end"/>
          </w:r>
        </w:p>
        <w:p>
          <w:pPr>
            <w:pStyle w:val="74"/>
            <w:tabs>
              <w:tab w:val="right" w:leader="dot" w:pos="8306"/>
            </w:tabs>
          </w:pPr>
          <w:r>
            <w:rPr>
              <w:bCs/>
            </w:rPr>
            <w:fldChar w:fldCharType="begin"/>
          </w:r>
          <w:r>
            <w:rPr>
              <w:bCs/>
            </w:rPr>
            <w:instrText xml:space="preserve"> HYPERLINK \l _Toc3672 </w:instrText>
          </w:r>
          <w:r>
            <w:rPr>
              <w:bCs/>
            </w:rPr>
            <w:fldChar w:fldCharType="separate"/>
          </w:r>
          <w:r>
            <w:rPr>
              <w:rFonts w:hint="eastAsia" w:ascii="楷体" w:hAnsi="楷体" w:eastAsia="楷体"/>
              <w:szCs w:val="24"/>
            </w:rPr>
            <w:t>聚烯烃：成本与需求均难言乐观 聚烯烃今日或低位震荡</w:t>
          </w:r>
          <w:r>
            <w:rPr>
              <w:bCs/>
            </w:rPr>
            <w:fldChar w:fldCharType="end"/>
          </w:r>
        </w:p>
        <w:p>
          <w:pPr>
            <w:pStyle w:val="74"/>
            <w:tabs>
              <w:tab w:val="right" w:leader="dot" w:pos="8306"/>
            </w:tabs>
          </w:pPr>
          <w:r>
            <w:rPr>
              <w:bCs/>
            </w:rPr>
            <w:fldChar w:fldCharType="begin"/>
          </w:r>
          <w:r>
            <w:rPr>
              <w:bCs/>
            </w:rPr>
            <w:instrText xml:space="preserve"> HYPERLINK \l _Toc431 </w:instrText>
          </w:r>
          <w:r>
            <w:rPr>
              <w:bCs/>
            </w:rPr>
            <w:fldChar w:fldCharType="separate"/>
          </w:r>
          <w:r>
            <w:rPr>
              <w:rFonts w:hint="eastAsia" w:ascii="楷体" w:hAnsi="楷体" w:eastAsia="楷体"/>
              <w:szCs w:val="24"/>
            </w:rPr>
            <w:t>MEG：供应缩减预期 乙二醇短期震荡偏强</w:t>
          </w:r>
          <w:r>
            <w:rPr>
              <w:bCs/>
            </w:rPr>
            <w:fldChar w:fldCharType="end"/>
          </w:r>
        </w:p>
        <w:p>
          <w:pPr>
            <w:pStyle w:val="74"/>
            <w:tabs>
              <w:tab w:val="right" w:leader="dot" w:pos="8306"/>
            </w:tabs>
          </w:pPr>
          <w:r>
            <w:rPr>
              <w:bCs/>
            </w:rPr>
            <w:fldChar w:fldCharType="begin"/>
          </w:r>
          <w:r>
            <w:rPr>
              <w:bCs/>
            </w:rPr>
            <w:instrText xml:space="preserve"> HYPERLINK \l _Toc22195 </w:instrText>
          </w:r>
          <w:r>
            <w:rPr>
              <w:bCs/>
            </w:rPr>
            <w:fldChar w:fldCharType="separate"/>
          </w:r>
          <w:r>
            <w:rPr>
              <w:rFonts w:hint="eastAsia" w:ascii="楷体" w:hAnsi="楷体" w:eastAsia="楷体"/>
              <w:szCs w:val="24"/>
            </w:rPr>
            <w:t>玻璃：减仓下跌，再度考验支撑位</w:t>
          </w:r>
          <w:r>
            <w:rPr>
              <w:bCs/>
            </w:rPr>
            <w:fldChar w:fldCharType="end"/>
          </w:r>
        </w:p>
        <w:p>
          <w:pPr>
            <w:pStyle w:val="74"/>
            <w:tabs>
              <w:tab w:val="right" w:leader="dot" w:pos="8306"/>
            </w:tabs>
          </w:pPr>
          <w:r>
            <w:rPr>
              <w:bCs/>
            </w:rPr>
            <w:fldChar w:fldCharType="begin"/>
          </w:r>
          <w:r>
            <w:rPr>
              <w:bCs/>
            </w:rPr>
            <w:instrText xml:space="preserve"> HYPERLINK \l _Toc10558 </w:instrText>
          </w:r>
          <w:r>
            <w:rPr>
              <w:bCs/>
            </w:rPr>
            <w:fldChar w:fldCharType="separate"/>
          </w:r>
          <w:r>
            <w:rPr>
              <w:rFonts w:hint="eastAsia" w:ascii="楷体" w:hAnsi="楷体" w:eastAsia="楷体"/>
              <w:szCs w:val="24"/>
            </w:rPr>
            <w:t>纯碱：降价累库加速，震荡偏空</w:t>
          </w:r>
          <w:r>
            <w:rPr>
              <w:bCs/>
            </w:rPr>
            <w:fldChar w:fldCharType="end"/>
          </w:r>
        </w:p>
        <w:p>
          <w:pPr>
            <w:pStyle w:val="59"/>
            <w:tabs>
              <w:tab w:val="right" w:leader="dot" w:pos="8306"/>
            </w:tabs>
          </w:pPr>
          <w:r>
            <w:rPr>
              <w:bCs/>
            </w:rPr>
            <w:fldChar w:fldCharType="begin"/>
          </w:r>
          <w:r>
            <w:rPr>
              <w:bCs/>
            </w:rPr>
            <w:instrText xml:space="preserve"> HYPERLINK \l _Toc24774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_Toc230 </w:instrText>
          </w:r>
          <w:r>
            <w:rPr>
              <w:bCs/>
            </w:rPr>
            <w:fldChar w:fldCharType="separate"/>
          </w:r>
          <w:r>
            <w:rPr>
              <w:rFonts w:hint="eastAsia" w:ascii="楷体" w:hAnsi="楷体" w:eastAsia="楷体"/>
              <w:szCs w:val="24"/>
            </w:rPr>
            <w:t>豆粕/菜粕：丰产压力下，期现价格偏弱运行</w:t>
          </w:r>
          <w:r>
            <w:rPr>
              <w:bCs/>
            </w:rPr>
            <w:fldChar w:fldCharType="end"/>
          </w:r>
        </w:p>
        <w:p>
          <w:pPr>
            <w:pStyle w:val="74"/>
            <w:tabs>
              <w:tab w:val="right" w:leader="dot" w:pos="8306"/>
            </w:tabs>
          </w:pPr>
          <w:r>
            <w:rPr>
              <w:bCs/>
            </w:rPr>
            <w:fldChar w:fldCharType="begin"/>
          </w:r>
          <w:r>
            <w:rPr>
              <w:bCs/>
            </w:rPr>
            <w:instrText xml:space="preserve"> HYPERLINK \l _Toc4041 </w:instrText>
          </w:r>
          <w:r>
            <w:rPr>
              <w:bCs/>
            </w:rPr>
            <w:fldChar w:fldCharType="separate"/>
          </w:r>
          <w:r>
            <w:rPr>
              <w:rFonts w:hint="eastAsia" w:ascii="楷体" w:hAnsi="楷体" w:eastAsia="楷体"/>
              <w:szCs w:val="24"/>
            </w:rPr>
            <w:t>油脂：MPOB报告利多，支撑期价反弹</w:t>
          </w:r>
          <w:r>
            <w:rPr>
              <w:bCs/>
            </w:rPr>
            <w:fldChar w:fldCharType="end"/>
          </w:r>
        </w:p>
        <w:p>
          <w:pPr>
            <w:pStyle w:val="74"/>
            <w:tabs>
              <w:tab w:val="right" w:leader="dot" w:pos="8306"/>
            </w:tabs>
          </w:pPr>
          <w:r>
            <w:rPr>
              <w:bCs/>
            </w:rPr>
            <w:fldChar w:fldCharType="begin"/>
          </w:r>
          <w:r>
            <w:rPr>
              <w:bCs/>
            </w:rPr>
            <w:instrText xml:space="preserve"> HYPERLINK \l _Toc2828 </w:instrText>
          </w:r>
          <w:r>
            <w:rPr>
              <w:bCs/>
            </w:rPr>
            <w:fldChar w:fldCharType="separate"/>
          </w:r>
          <w:r>
            <w:rPr>
              <w:rFonts w:hint="eastAsia" w:ascii="楷体" w:hAnsi="楷体" w:eastAsia="楷体"/>
              <w:bCs/>
            </w:rPr>
            <w:t>玉米与淀粉：</w:t>
          </w:r>
          <w:r>
            <w:rPr>
              <w:rFonts w:hint="eastAsia" w:ascii="楷体" w:hAnsi="楷体" w:eastAsia="楷体"/>
            </w:rPr>
            <w:t>期价再创新低</w:t>
          </w:r>
          <w:r>
            <w:rPr>
              <w:bCs/>
            </w:rPr>
            <w:fldChar w:fldCharType="end"/>
          </w:r>
        </w:p>
        <w:p>
          <w:pPr>
            <w:pStyle w:val="74"/>
            <w:tabs>
              <w:tab w:val="right" w:leader="dot" w:pos="8306"/>
            </w:tabs>
          </w:pPr>
          <w:r>
            <w:rPr>
              <w:bCs/>
            </w:rPr>
            <w:fldChar w:fldCharType="begin"/>
          </w:r>
          <w:r>
            <w:rPr>
              <w:bCs/>
            </w:rPr>
            <w:instrText xml:space="preserve"> HYPERLINK \l _Toc114 </w:instrText>
          </w:r>
          <w:r>
            <w:rPr>
              <w:bCs/>
            </w:rPr>
            <w:fldChar w:fldCharType="separate"/>
          </w:r>
          <w:r>
            <w:rPr>
              <w:rFonts w:hint="eastAsia" w:ascii="楷体" w:hAnsi="楷体" w:eastAsia="楷体"/>
              <w:bCs/>
            </w:rPr>
            <w:t>畜禽养殖：生猪期价近弱远强分化运行</w:t>
          </w:r>
          <w:r>
            <w:rPr>
              <w:bCs/>
            </w:rPr>
            <w:fldChar w:fldCharType="end"/>
          </w:r>
        </w:p>
        <w:p>
          <w:pPr>
            <w:pStyle w:val="59"/>
            <w:tabs>
              <w:tab w:val="right" w:leader="dot" w:pos="8306"/>
            </w:tabs>
          </w:pPr>
          <w:r>
            <w:rPr>
              <w:bCs/>
            </w:rPr>
            <w:fldChar w:fldCharType="begin"/>
          </w:r>
          <w:r>
            <w:rPr>
              <w:bCs/>
            </w:rPr>
            <w:instrText xml:space="preserve"> HYPERLINK \l _Toc3555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_Toc29463 </w:instrText>
          </w:r>
          <w:r>
            <w:rPr>
              <w:bCs/>
            </w:rPr>
            <w:fldChar w:fldCharType="separate"/>
          </w:r>
          <w:r>
            <w:rPr>
              <w:rFonts w:hint="eastAsia" w:ascii="Times New Roman" w:hAnsi="Times New Roman" w:eastAsia="楷体"/>
              <w:szCs w:val="24"/>
            </w:rPr>
            <w:t>集运指数（欧线）：胡塞武装证实袭击美军舰，“协议”未有进展，通航或需时间</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8033"/>
      <w:bookmarkStart w:id="2" w:name="_Toc19317"/>
      <w:bookmarkStart w:id="3" w:name="_Toc8296"/>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21780"/>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短线市场或继续磨底，中线可考虑正左侧逢低轻仓布局IM多单</w:t>
      </w:r>
      <w:bookmarkEnd w:id="7"/>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当前各宽基指数较为充分反映当前市场悲观预期，后市进一步大跌风险有限，同时隐含风险溢价、股债性价比 等长期关键指标都表明，A股底部信号已经出现，但估值便宜的背后，也体现了资金对上市企业成长性的质疑，外需明显修复之前，市场反弹更依赖于政策层面的催化以及信心层面的提升。1月政策空间是最大的预期差，现阶段除降准降息政策之外，政策工具箱释放的节奏有序，PSL的重启，年初地方债前置，但弱信贷需求或约束政策效率。短线市场或继续磨底，中线可考虑正左侧逢低轻仓布局IM多单。</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0774"/>
      <w:r>
        <w:rPr>
          <w:rFonts w:hint="eastAsia" w:ascii="Times New Roman" w:hAnsi="Times New Roman" w:eastAsia="楷体"/>
          <w:b/>
          <w:color w:val="823C0B"/>
          <w:sz w:val="30"/>
          <w:szCs w:val="30"/>
        </w:rPr>
        <w:t>[贵金属]</w:t>
      </w:r>
      <w:bookmarkEnd w:id="8"/>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9" w:name="_Toc10210"/>
      <w:r>
        <w:rPr>
          <w:rFonts w:hint="eastAsia" w:ascii="Times New Roman" w:hAnsi="Times New Roman" w:eastAsia="楷体"/>
          <w:b/>
          <w:color w:val="000000" w:themeColor="text1"/>
          <w:sz w:val="24"/>
          <w:szCs w:val="24"/>
          <w14:textFill>
            <w14:solidFill>
              <w14:schemeClr w14:val="tx1"/>
            </w14:solidFill>
          </w14:textFill>
        </w:rPr>
        <w:t>贵金属：静待美国CPI通胀数据公布，贵金属价格窄幅震荡</w:t>
      </w:r>
      <w:bookmarkEnd w:id="9"/>
    </w:p>
    <w:p>
      <w:pPr>
        <w:ind w:left="630" w:leftChars="300"/>
        <w:rPr>
          <w:rFonts w:ascii="Times New Roman" w:hAnsi="Times New Roman" w:eastAsia="楷体"/>
          <w:sz w:val="24"/>
          <w:szCs w:val="24"/>
        </w:rPr>
      </w:pPr>
      <w:r>
        <w:rPr>
          <w:rFonts w:hint="eastAsia" w:ascii="Times New Roman" w:hAnsi="Times New Roman" w:eastAsia="楷体"/>
          <w:color w:val="000000" w:themeColor="text1"/>
          <w:sz w:val="24"/>
          <w:szCs w:val="24"/>
          <w14:textFill>
            <w14:solidFill>
              <w14:schemeClr w14:val="tx1"/>
            </w14:solidFill>
          </w14:textFill>
        </w:rPr>
        <w:t>美元指数跌0.16%至102.35，美十债收益率涨1.5bp至4.035%。沪金跌0.32%，沪银微跌0.08%。美联储威廉姆斯讲话称，利率已具有足够的限制性，当对通胀达到2%有信心时，美联储可以降息；美联储将需要一段时间维持紧缩政策立场；似乎还没有接近放缓缩表的时机；前景仍不确定，利率决策将逐次会议进行。美国上周MBA30年期固定抵押贷款利率为6.81%，前值6.76%。今日晚间美国将公布12月CPI通胀数据，海外市场将继续根据经济数据公布情况调整对于美联储的降息预期，建议沪金、沪银逢回调轻仓试多。</w:t>
      </w:r>
    </w:p>
    <w:p>
      <w:pPr>
        <w:ind w:left="630" w:leftChars="300"/>
        <w:rPr>
          <w:rFonts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4150"/>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ascii="楷体" w:hAnsi="楷体" w:eastAsia="楷体"/>
          <w:b/>
          <w:color w:val="000000" w:themeColor="text1"/>
          <w:sz w:val="24"/>
          <w:szCs w:val="24"/>
          <w14:textFill>
            <w14:solidFill>
              <w14:schemeClr w14:val="tx1"/>
            </w14:solidFill>
          </w14:textFill>
        </w:rPr>
      </w:pPr>
      <w:bookmarkStart w:id="15" w:name="_Toc12544"/>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碳酸锂：上月碳酸锂产量环比微增，主力期价小幅下跌</w:t>
      </w:r>
      <w:bookmarkEnd w:id="15"/>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现货价格走平，下游维持观望情绪。近月合约涨超1%，01合约减仓575手至1990手；主力07合约盘初小幅上涨、午后略微回落，收跌0.37%至97900元/吨。SMM数据显示，12月国内碳酸锂产量43988吨，环比增2%，同比增26%；三元前驱体产量约68586吨，环比减2%，同比减10%；三元材料产量53181吨，环比减5%，同比持平；磷酸铁锂产量95010吨，环比减17%，同比减6%。前期期价向下修复回归至矿石提锂成本附近，后续关注锂盐企业长期订单签订、生产计划及春节前后例行检修情况，建议暂以观望为主，留意交易风险。</w:t>
      </w:r>
    </w:p>
    <w:p>
      <w:pPr>
        <w:ind w:left="420" w:leftChars="200"/>
        <w:outlineLvl w:val="1"/>
        <w:rPr>
          <w:rFonts w:ascii="楷体" w:hAnsi="楷体" w:eastAsia="楷体"/>
          <w:b/>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8" w:name="_Toc25619"/>
      <w:r>
        <w:rPr>
          <w:rFonts w:hint="eastAsia" w:ascii="楷体" w:hAnsi="楷体" w:eastAsia="楷体"/>
          <w:b/>
          <w:color w:val="000000" w:themeColor="text1"/>
          <w:sz w:val="24"/>
          <w:szCs w:val="24"/>
          <w14:textFill>
            <w14:solidFill>
              <w14:schemeClr w14:val="tx1"/>
            </w14:solidFill>
          </w14:textFill>
        </w:rPr>
        <w:t>螺纹钢：</w:t>
      </w:r>
      <w:bookmarkEnd w:id="16"/>
      <w:bookmarkEnd w:id="17"/>
      <w:r>
        <w:rPr>
          <w:rFonts w:hint="eastAsia" w:ascii="楷体" w:hAnsi="楷体" w:eastAsia="楷体"/>
          <w:b/>
          <w:color w:val="000000" w:themeColor="text1"/>
          <w:sz w:val="24"/>
          <w:szCs w:val="24"/>
          <w14:textFill>
            <w14:solidFill>
              <w14:schemeClr w14:val="tx1"/>
            </w14:solidFill>
          </w14:textFill>
        </w:rPr>
        <w:t>PSL利好刺激，钢价或震荡上行</w:t>
      </w:r>
      <w:bookmarkEnd w:id="18"/>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盘面保持升水，期现锁市场流动性，补库或陆陆续续开始，PSL刺激市场情绪，中期或维持震荡上行格局。</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19" w:name="_Toc4790"/>
      <w:bookmarkStart w:id="20" w:name="_Toc11356"/>
      <w:bookmarkStart w:id="21" w:name="_Toc25160"/>
      <w:r>
        <w:rPr>
          <w:rFonts w:hint="eastAsia" w:ascii="楷体" w:hAnsi="楷体" w:eastAsia="楷体"/>
          <w:b/>
          <w:color w:val="000000" w:themeColor="text1"/>
          <w:sz w:val="24"/>
          <w:szCs w:val="24"/>
          <w14:textFill>
            <w14:solidFill>
              <w14:schemeClr w14:val="tx1"/>
            </w14:solidFill>
          </w14:textFill>
        </w:rPr>
        <w:t>焦炭：</w:t>
      </w:r>
      <w:bookmarkEnd w:id="19"/>
      <w:bookmarkEnd w:id="20"/>
      <w:r>
        <w:rPr>
          <w:rFonts w:hint="eastAsia" w:ascii="楷体" w:hAnsi="楷体" w:eastAsia="楷体"/>
          <w:b/>
          <w:color w:val="000000" w:themeColor="text1"/>
          <w:sz w:val="24"/>
          <w:szCs w:val="24"/>
          <w14:textFill>
            <w14:solidFill>
              <w14:schemeClr w14:val="tx1"/>
            </w14:solidFill>
          </w14:textFill>
        </w:rPr>
        <w:t>第一轮提降，震荡偏强</w:t>
      </w:r>
      <w:bookmarkEnd w:id="2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下游继续补库动力不足，盘面预期提降两轮，现货或开始降价。盘面估值偏低，现货向下收敛基差，预计短期或震荡上行。</w:t>
      </w:r>
    </w:p>
    <w:p>
      <w:pPr>
        <w:ind w:left="210" w:leftChars="100"/>
        <w:rPr>
          <w:rFonts w:ascii="楷体" w:hAnsi="楷体" w:eastAsia="楷体"/>
          <w:bCs/>
          <w:sz w:val="24"/>
          <w:szCs w:val="24"/>
        </w:rPr>
      </w:pPr>
    </w:p>
    <w:p>
      <w:pPr>
        <w:ind w:left="420" w:leftChars="200"/>
        <w:outlineLvl w:val="1"/>
        <w:rPr>
          <w:rFonts w:ascii="楷体" w:hAnsi="楷体" w:eastAsia="楷体"/>
          <w:b/>
          <w:sz w:val="24"/>
          <w:szCs w:val="24"/>
        </w:rPr>
      </w:pPr>
      <w:bookmarkStart w:id="22" w:name="_Toc30924"/>
      <w:r>
        <w:rPr>
          <w:rFonts w:hint="eastAsia" w:ascii="楷体" w:hAnsi="楷体" w:eastAsia="楷体"/>
          <w:b/>
          <w:color w:val="000000" w:themeColor="text1"/>
          <w:sz w:val="24"/>
          <w:szCs w:val="24"/>
          <w14:textFill>
            <w14:solidFill>
              <w14:schemeClr w14:val="tx1"/>
            </w14:solidFill>
          </w14:textFill>
        </w:rPr>
        <w:t>焦煤：</w:t>
      </w:r>
      <w:r>
        <w:rPr>
          <w:rFonts w:hint="eastAsia" w:ascii="楷体" w:hAnsi="楷体" w:eastAsia="楷体"/>
          <w:b/>
          <w:sz w:val="24"/>
          <w:szCs w:val="24"/>
        </w:rPr>
        <w:t>现货开始调整，下方空间有限，或震荡偏强</w:t>
      </w:r>
      <w:bookmarkEnd w:id="22"/>
    </w:p>
    <w:p>
      <w:pPr>
        <w:ind w:left="630" w:leftChars="300"/>
        <w:rPr>
          <w:rFonts w:ascii="楷体" w:hAnsi="楷体" w:eastAsia="楷体"/>
          <w:bCs/>
          <w:sz w:val="24"/>
          <w:szCs w:val="24"/>
        </w:rPr>
      </w:pPr>
      <w:r>
        <w:rPr>
          <w:rFonts w:hint="eastAsia" w:ascii="楷体" w:hAnsi="楷体" w:eastAsia="楷体"/>
          <w:sz w:val="24"/>
          <w:szCs w:val="24"/>
        </w:rPr>
        <w:t>煤矿仍处于低产、低库存状态，叠加仍有部分冬储量未完成，盘面绝对价格下移后仍有支撑。前期盘面调整相对充分后，盘面震荡收敛基差，目前估值处于合理范围内，预计随成材震荡运行。</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3" w:name="_Toc25617"/>
      <w:bookmarkStart w:id="24" w:name="_Toc9719"/>
      <w:bookmarkStart w:id="25" w:name="_Toc15239"/>
      <w:r>
        <w:rPr>
          <w:rFonts w:hint="eastAsia" w:ascii="楷体" w:hAnsi="楷体" w:eastAsia="楷体"/>
          <w:b/>
          <w:color w:val="000000" w:themeColor="text1"/>
          <w:sz w:val="24"/>
          <w:szCs w:val="24"/>
          <w14:textFill>
            <w14:solidFill>
              <w14:schemeClr w14:val="tx1"/>
            </w14:solidFill>
          </w14:textFill>
        </w:rPr>
        <w:t>铜：</w:t>
      </w:r>
      <w:bookmarkEnd w:id="23"/>
      <w:bookmarkEnd w:id="24"/>
      <w:r>
        <w:rPr>
          <w:rFonts w:hint="eastAsia" w:ascii="楷体" w:hAnsi="楷体" w:eastAsia="楷体"/>
          <w:b/>
          <w:color w:val="000000" w:themeColor="text1"/>
          <w:sz w:val="24"/>
          <w:szCs w:val="24"/>
          <w14:textFill>
            <w14:solidFill>
              <w14:schemeClr w14:val="tx1"/>
            </w14:solidFill>
          </w14:textFill>
        </w:rPr>
        <w:t>高位承压运行，关注美国CPI</w:t>
      </w:r>
      <w:bookmarkEnd w:id="25"/>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(1)库存：1月10日，SHFE仓单库存2482吨，增102吨；LME仓单库存158900吨，减1650吨。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(2)精废价差：1月10日，Mysteel精废价差1972，收窄118。目前价差在合理价差1385之上。</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劳动力市场仍保持韧性，降息条件或仍不充分，短期美元指数难以趋势性走跌，或在100-105之间区间震荡为主，美欧中制造业PMI数据均维持疲弱态势，铜价上方空间仍被限制。基本面，海外保持深度贴水，国内下游伴随价格走低节前补库需求增加，现货维持升水结构，低库存仍有支撑，预计短期CU2402主波动区间参考67800-68800。关注本周四晚9:30美国12月CPI数据公布。</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6" w:name="_Toc8897"/>
      <w:bookmarkStart w:id="27" w:name="_Toc6247"/>
      <w:bookmarkStart w:id="28" w:name="_Toc29552"/>
      <w:r>
        <w:rPr>
          <w:rFonts w:hint="eastAsia" w:ascii="楷体" w:hAnsi="楷体" w:eastAsia="楷体"/>
          <w:b/>
          <w:color w:val="000000" w:themeColor="text1"/>
          <w:sz w:val="24"/>
          <w:szCs w:val="24"/>
          <w14:textFill>
            <w14:solidFill>
              <w14:schemeClr w14:val="tx1"/>
            </w14:solidFill>
          </w14:textFill>
        </w:rPr>
        <w:t>铝：</w:t>
      </w:r>
      <w:bookmarkEnd w:id="26"/>
      <w:bookmarkEnd w:id="27"/>
      <w:r>
        <w:rPr>
          <w:rFonts w:hint="eastAsia" w:ascii="楷体" w:hAnsi="楷体" w:eastAsia="楷体"/>
          <w:b/>
          <w:color w:val="000000" w:themeColor="text1"/>
          <w:sz w:val="24"/>
          <w:szCs w:val="24"/>
          <w14:textFill>
            <w14:solidFill>
              <w14:schemeClr w14:val="tx1"/>
            </w14:solidFill>
          </w14:textFill>
        </w:rPr>
        <w:t>铝价上下有限，短期偏向承压运行</w:t>
      </w:r>
      <w:bookmarkEnd w:id="2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联储降息态度摇摆，高利率环境短期难以改变，海外地缘政治冲突持续，观国内，制造业PMI数据景气度下降，央行重启PSL释放积极信号。红海海运紧张情绪缓解，氧化铝价格大幅走跌，电解铝价格同步趋弱但下方支撑明显强于氧化铝，国内电解铝供应运行平稳，短期暂无大型增减产，行业铸锭率上升，铝棒库存小幅累积，铝锭社会库存累库，终端需求临近大型假期提振乏力。宏观情绪整体偏弱，基本面上看，上游短缺市场情绪走弱，电解铝供应保持稳定，需求临近假期提振乏力，价格偏弱震荡，库存累库但低库存现状未明显改善，下方价格空间有限。</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29" w:name="_Toc21147"/>
      <w:r>
        <w:rPr>
          <w:rFonts w:hint="eastAsia" w:ascii="楷体" w:hAnsi="楷体" w:eastAsia="楷体"/>
          <w:b/>
          <w:color w:val="000000" w:themeColor="text1"/>
          <w:sz w:val="24"/>
          <w:szCs w:val="24"/>
          <w14:textFill>
            <w14:solidFill>
              <w14:schemeClr w14:val="tx1"/>
            </w14:solidFill>
          </w14:textFill>
        </w:rPr>
        <w:t>锌：锌价宽幅震荡</w:t>
      </w:r>
      <w:bookmarkEnd w:id="2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宏观情绪偏弱，美元指数偏强运行，压制有色价格。基本面来看，年底备货及逢低采买需求走强，市场现货偏紧，升水维持高位，LME库存录减，国内库存低位，预计沪锌或将宽幅震荡。</w:t>
      </w:r>
    </w:p>
    <w:p>
      <w:pPr>
        <w:ind w:left="630" w:leftChars="300"/>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0" w:name="_Toc19154"/>
      <w:r>
        <w:rPr>
          <w:rFonts w:hint="eastAsia" w:ascii="楷体" w:hAnsi="楷体" w:eastAsia="楷体"/>
          <w:b/>
          <w:color w:val="000000" w:themeColor="text1"/>
          <w:sz w:val="24"/>
          <w:szCs w:val="24"/>
          <w14:textFill>
            <w14:solidFill>
              <w14:schemeClr w14:val="tx1"/>
            </w14:solidFill>
          </w14:textFill>
        </w:rPr>
        <w:t>镍：预计镍价震荡偏弱运行</w:t>
      </w:r>
      <w:bookmarkEnd w:id="30"/>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金川镍现货暂时仍偏紧，且下游存在春节前补库情绪，国内镍社会库存降库，为镍价带来一定支撑。然而，美联储降息预期推迟，宏观情绪偏弱，关注今晚公布的美国CPI数据。供应端，由于利润修复，精炼镍供应环比增加。需求端，镍整体需求维持疲弱。库存方面，虽然上周中国精炼镍社会库存减下降，但近期LME镍库存增幅明显，对镍价带来明显压力。综合而言，虽现货成交有所好转，但镍仍处于供应过剩格局，加上LME镍显著累库，预计镍价弱势难改。</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1" w:name="_Toc25013"/>
      <w:r>
        <w:rPr>
          <w:rFonts w:hint="eastAsia" w:ascii="楷体" w:hAnsi="楷体" w:eastAsia="楷体"/>
          <w:b/>
          <w:color w:val="000000" w:themeColor="text1"/>
          <w:sz w:val="24"/>
          <w:szCs w:val="24"/>
          <w14:textFill>
            <w14:solidFill>
              <w14:schemeClr w14:val="tx1"/>
            </w14:solidFill>
          </w14:textFill>
        </w:rPr>
        <w:t>不锈钢：供增需弱格局下，不锈钢价震荡承压</w:t>
      </w:r>
      <w:bookmarkEnd w:id="31"/>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不锈钢期价的支撑因素在于原料价格企稳回升及社会库存连续下降，然而，受美联储12月会议纪要偏鹰和美国12月ADP就业人数及非农就业人数高于预期的影响，宏观情绪转弱，不锈钢基本面也趋弱。具体来看，需求端，年底为不锈钢传统淡季，且存在资金回流压力，现货成交疲弱；供应端，不锈钢厂积极复产，在 1 月排产增加；库存端，不锈钢大量在途资源将到货，供需压力趋增，社库存在累库预期。综合而言，预计不锈钢价格承压运行。</w:t>
      </w:r>
    </w:p>
    <w:p>
      <w:pPr>
        <w:rPr>
          <w:rFonts w:ascii="楷体" w:hAnsi="楷体" w:eastAsia="楷体"/>
          <w:bCs/>
          <w:sz w:val="24"/>
          <w:szCs w:val="24"/>
        </w:rPr>
      </w:pPr>
    </w:p>
    <w:p>
      <w:pPr>
        <w:ind w:left="420" w:leftChars="200"/>
        <w:outlineLvl w:val="1"/>
        <w:rPr>
          <w:rFonts w:ascii="楷体" w:hAnsi="楷体" w:eastAsia="楷体"/>
          <w:b/>
          <w:sz w:val="24"/>
          <w:szCs w:val="24"/>
        </w:rPr>
      </w:pPr>
      <w:bookmarkStart w:id="32" w:name="_Toc727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供需转向双弱预期，短期或震荡运行</w:t>
      </w:r>
      <w:bookmarkEnd w:id="32"/>
    </w:p>
    <w:p>
      <w:pPr>
        <w:ind w:left="630" w:leftChars="300"/>
        <w:rPr>
          <w:rFonts w:ascii="楷体" w:hAnsi="楷体" w:eastAsia="楷体"/>
          <w:sz w:val="24"/>
          <w:szCs w:val="24"/>
        </w:rPr>
      </w:pPr>
      <w:r>
        <w:rPr>
          <w:rFonts w:hint="eastAsia" w:ascii="楷体" w:hAnsi="楷体" w:eastAsia="楷体"/>
          <w:sz w:val="24"/>
          <w:szCs w:val="24"/>
        </w:rPr>
        <w:t>1月10日，Si2403主力合约呈反弹走势，收盘价13930元/吨，较上一收盘价涨跌幅＋0.18%。从宏观面来看，国内宏观情绪转弱，工业品期货市场出现明显降温，工业硅也出现一定程度回调。从产业面来看，当前西南产区已处于开工相对低位，新疆部分工厂维持降负荷生产，整体供应收缩预期仍存，预计盘面下行空间有限。目前下游企业备货接近尾声，市场整体询单和成交积极性稍显下降，节前需求或也将逐步走弱，同时库存整体处于较高位置，也将压制大幅反弹，短期盘面或震荡运行。策略上，建议以波段操作为主，参考区间（13700，14500）。</w:t>
      </w:r>
    </w:p>
    <w:p>
      <w:pPr>
        <w:ind w:firstLine="420" w:firstLineChars="200"/>
        <w:rPr>
          <w:rFonts w:ascii="Times New Roman" w:hAnsi="Times New Roman" w:eastAsia="楷体"/>
          <w:bCs/>
        </w:rPr>
      </w:pP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33" w:name="化工"/>
      <w:r>
        <w:rPr>
          <w:rFonts w:hint="eastAsia" w:ascii="Times New Roman" w:hAnsi="Times New Roman" w:eastAsia="楷体"/>
          <w:b/>
          <w:color w:val="823C0B"/>
          <w:sz w:val="30"/>
          <w:szCs w:val="30"/>
        </w:rPr>
        <w:t xml:space="preserve"> </w:t>
      </w:r>
      <w:bookmarkStart w:id="34" w:name="_Toc13425"/>
      <w:r>
        <w:rPr>
          <w:rFonts w:hint="eastAsia" w:ascii="Times New Roman" w:hAnsi="Times New Roman" w:eastAsia="楷体"/>
          <w:b/>
          <w:color w:val="823C0B"/>
          <w:sz w:val="30"/>
          <w:szCs w:val="30"/>
        </w:rPr>
        <w:t>[化工]</w:t>
      </w:r>
      <w:bookmarkEnd w:id="33"/>
      <w:bookmarkEnd w:id="34"/>
    </w:p>
    <w:p>
      <w:pPr>
        <w:ind w:firstLine="482" w:firstLineChars="200"/>
        <w:outlineLvl w:val="1"/>
        <w:rPr>
          <w:rFonts w:ascii="楷体" w:hAnsi="楷体" w:eastAsia="楷体"/>
          <w:b/>
          <w:sz w:val="24"/>
          <w:szCs w:val="24"/>
        </w:rPr>
      </w:pPr>
      <w:bookmarkStart w:id="35" w:name="_Toc364"/>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炒作事件情绪降温 短期RU或仍有回落风险</w:t>
      </w:r>
      <w:bookmarkEnd w:id="35"/>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点评：供应方面，国内产区迎来冬季停割期，泰北部及越南进入落叶期，泰南部洪水炒作弱化，但原料价格高位导致工厂利润持续倒挂，胶价驱动有限。库存方面，国内社会库存回升，青岛深色胶即将呈现累库拐点，浅色库存同比去年上升。需求端来看，下游轮胎市场销量走低，工厂生产开工下滑进入淡季，需求牵制。整体看，随着海外减产落地及青岛仓库事件消化，市场情绪释放后趋于理性，短期价格驱动缺乏增量指引，胶价存震荡走弱预期。</w:t>
      </w:r>
    </w:p>
    <w:p>
      <w:pPr>
        <w:ind w:firstLine="480" w:firstLineChars="200"/>
        <w:rPr>
          <w:rFonts w:ascii="楷体" w:hAnsi="楷体" w:eastAsia="楷体"/>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6" w:name="_Toc21211"/>
      <w:r>
        <w:rPr>
          <w:rFonts w:ascii="楷体" w:hAnsi="楷体" w:eastAsia="楷体"/>
          <w:b/>
          <w:color w:val="000000" w:themeColor="text1"/>
          <w:sz w:val="24"/>
          <w:szCs w:val="24"/>
          <w14:textFill>
            <w14:solidFill>
              <w14:schemeClr w14:val="tx1"/>
            </w14:solidFill>
          </w14:textFill>
        </w:rPr>
        <w:t>PTA</w:t>
      </w:r>
      <w:r>
        <w:rPr>
          <w:rFonts w:hint="eastAsia" w:ascii="楷体" w:hAnsi="楷体" w:eastAsia="楷体"/>
          <w:b/>
          <w:color w:val="000000" w:themeColor="text1"/>
          <w:sz w:val="24"/>
          <w:szCs w:val="24"/>
          <w14:textFill>
            <w14:solidFill>
              <w14:schemeClr w14:val="tx1"/>
            </w14:solidFill>
          </w14:textFill>
        </w:rPr>
        <w:t>：</w:t>
      </w:r>
      <w:r>
        <w:rPr>
          <w:rFonts w:hint="eastAsia" w:ascii="Calibri" w:hAnsi="Calibri" w:eastAsia="楷体" w:cs="Calibri"/>
          <w:b/>
          <w:color w:val="000000" w:themeColor="text1"/>
          <w:sz w:val="24"/>
          <w:szCs w:val="24"/>
          <w14:textFill>
            <w14:solidFill>
              <w14:schemeClr w14:val="tx1"/>
            </w14:solidFill>
          </w14:textFill>
        </w:rPr>
        <w:t>短线跟随成本端回落</w:t>
      </w:r>
      <w:bookmarkEnd w:id="36"/>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原油方面，供应端短线扰动利多，短期油价多空博弈，维持震荡走势。PX方面，随着汽油库存累积调油逻辑弱化及广东石化260万吨装置复产，供应偏宽松。PTA方面，上周宁波逸盛和逸盛新材料装置装置负荷提升，逸盛海南PTA装置检修，至12.29 PTA装置负荷上涨至82%，环比+1.7%。本周聚酯装置检修有所增多，综合负荷有所下调。截至12.29，初步核算国内大陆地区聚酯负荷在89.2%。下游加弹织造企业多数集中在1月中下旬陆续放假，或带动下游开机率的集中走弱。后市来看，受高加工费下存量装置检修减少、新增产能投放产能增量及下游季节性走弱预期，1月PTA产量维持高增速，PTA累库预期仍存。PTA短期受成本走弱及供需累库预期驱动走弱。仅供参考。</w:t>
      </w:r>
    </w:p>
    <w:p>
      <w:pPr>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7" w:name="_Toc3672"/>
      <w:r>
        <w:rPr>
          <w:rFonts w:hint="eastAsia" w:ascii="楷体" w:hAnsi="楷体" w:eastAsia="楷体"/>
          <w:b/>
          <w:color w:val="000000" w:themeColor="text1"/>
          <w:sz w:val="24"/>
          <w:szCs w:val="24"/>
          <w14:textFill>
            <w14:solidFill>
              <w14:schemeClr w14:val="tx1"/>
            </w14:solidFill>
          </w14:textFill>
        </w:rPr>
        <w:t>聚烯烃：成本与需求均难言乐观 聚烯烃今日或低位震荡</w:t>
      </w:r>
      <w:bookmarkEnd w:id="37"/>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库存方面，PE上周五库存环比下降4.68%，其中主要生产环节PE库存环比下降7.26%，PE样本港口库存环比下降0.35%，样本贸易企业库存环比下降5.85%。上周五PP库存环比环比下降5.96%。其中主要生产环节PP库存、港口库存下降，贸易环节库存上升。聚烯烃整体呈现去库速度放缓。成本方面，美国上周商业原油库存意外攀升，汽油与馏分油库存增幅大于预期，市场担忧未来原油需求前景疲软，欧美原油期货收跌。需求方面，PE下游方面，农膜整体需求平平，工厂生产清淡，棚膜工厂多停机检修；PP下游方面，BOPP市场成交刚需有量，整体量较上一交易日增加，BOPP企业未交付订单多数在一周以内。综合来看，PE供应维持偏高水平，PP装置检修规模有所增加，供应压力略有缓解，下游工厂订单跟进不足，采购积极性不佳，刚需采购为主，且后期需求有继续走弱预期，整体来看，聚烯烃供需偏宽松，塑料板块整体驱动较弱，建议逢高做空。</w:t>
      </w:r>
    </w:p>
    <w:p>
      <w:pPr>
        <w:ind w:firstLine="480" w:firstLineChars="2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8" w:name="_Toc431"/>
      <w:r>
        <w:rPr>
          <w:rFonts w:hint="eastAsia" w:ascii="楷体" w:hAnsi="楷体" w:eastAsia="楷体"/>
          <w:b/>
          <w:color w:val="000000" w:themeColor="text1"/>
          <w:sz w:val="24"/>
          <w:szCs w:val="24"/>
          <w14:textFill>
            <w14:solidFill>
              <w14:schemeClr w14:val="tx1"/>
            </w14:solidFill>
          </w14:textFill>
        </w:rPr>
        <w:t>MEG：供应缩减预期 乙二醇短期震荡偏强</w:t>
      </w:r>
      <w:bookmarkEnd w:id="38"/>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供需情况，1.8华东主港地区MEG港口库存约103.8万吨附近，环比上期下降3.3万吨。截至12月28日，中国大陆地区乙二醇整体开工负荷在61.76%（+0.43%），其中草酸催化加氢法（合成气）制乙二醇开工负荷在58.19%（-1.02%）。 截至12月28日，国内大陆地区聚酯负荷在89.2%，节前聚酯开工高位维持。终端来看，江浙终端开工率维持，江浙加弹综合开工87%（+0%），江浙织机综合开工小幅下滑至77%（+0%），江浙印染综合开工下滑至74%（-1%）。综合来看，近期聚酯高开工维持，市场下调乙二醇2月之前进口、国产量及进口到港减少，预计1-2月乙二醇供需改善呈现紧平衡格局，供需格局转好驱动价格走势仍偏强。仅供参考。</w:t>
      </w:r>
    </w:p>
    <w:p>
      <w:pPr>
        <w:ind w:left="630" w:leftChars="300"/>
        <w:rPr>
          <w:rFonts w:ascii="楷体" w:hAnsi="楷体" w:eastAsia="楷体"/>
          <w:bCs/>
          <w:sz w:val="24"/>
          <w:szCs w:val="24"/>
        </w:rPr>
      </w:pPr>
    </w:p>
    <w:p>
      <w:pPr>
        <w:ind w:left="420" w:leftChars="200"/>
        <w:outlineLvl w:val="1"/>
        <w:rPr>
          <w:rFonts w:ascii="楷体" w:hAnsi="楷体" w:eastAsia="楷体"/>
          <w:b/>
          <w:color w:val="000000" w:themeColor="text1"/>
          <w:sz w:val="24"/>
          <w:szCs w:val="24"/>
          <w14:textFill>
            <w14:solidFill>
              <w14:schemeClr w14:val="tx1"/>
            </w14:solidFill>
          </w14:textFill>
        </w:rPr>
      </w:pPr>
      <w:bookmarkStart w:id="39" w:name="_Toc22195"/>
      <w:r>
        <w:rPr>
          <w:rFonts w:hint="eastAsia" w:ascii="楷体" w:hAnsi="楷体" w:eastAsia="楷体"/>
          <w:b/>
          <w:color w:val="000000" w:themeColor="text1"/>
          <w:sz w:val="24"/>
          <w:szCs w:val="24"/>
          <w14:textFill>
            <w14:solidFill>
              <w14:schemeClr w14:val="tx1"/>
            </w14:solidFill>
          </w14:textFill>
        </w:rPr>
        <w:t>玻璃：减仓下跌，再度考验支撑位</w:t>
      </w:r>
      <w:bookmarkEnd w:id="39"/>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隆众资讯1月10日报道:今日浮法玻璃现货价格2029元/吨，较上一交易日+2元/吨。上周全国浮法玻璃日产量为17.37万吨，周环比持平。截至2024年1月4日，库存上，周内全国浮法玻璃样本企业总库存3225.5万重箱，环比+19.3万重箱，环比0.6%，小幅累库。需求端，南北差异较大，元旦假期沙河受北方玻璃供货冲击部分厂家降价或实行春节前保价销售策略，华北保价价格在1750-1820元/吨，华东有厂家保价价格1860元/吨;南方年底赶工，产销相对较好，节后原片厂联合挺价，以涨促销。盘面更多受宏观情绪和日度产销变化影响，月初期价涨至升水以后，期现商开始套利，带动现货补涨，但需求端下游分歧较大，原片厂开始提价刺激下游拿货，节前冬储补库迟迟不至，期价再度走弱。操作上短线建议观望05合约能否在保价区间找到支撑。</w:t>
      </w:r>
    </w:p>
    <w:p>
      <w:pPr>
        <w:ind w:left="630" w:leftChars="3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lang w:val="en-US" w:eastAsia="zh-CN"/>
          <w14:textFill>
            <w14:solidFill>
              <w14:schemeClr w14:val="tx1"/>
            </w14:solidFill>
          </w14:textFill>
        </w:rPr>
      </w:pPr>
      <w:bookmarkStart w:id="40" w:name="_Toc10558"/>
      <w:r>
        <w:rPr>
          <w:rFonts w:hint="eastAsia" w:ascii="楷体" w:hAnsi="楷体" w:eastAsia="楷体"/>
          <w:b/>
          <w:color w:val="000000" w:themeColor="text1"/>
          <w:sz w:val="24"/>
          <w:szCs w:val="24"/>
          <w14:textFill>
            <w14:solidFill>
              <w14:schemeClr w14:val="tx1"/>
            </w14:solidFill>
          </w14:textFill>
        </w:rPr>
        <w:t>纯碱：降价累库加速，震荡偏空</w:t>
      </w:r>
      <w:bookmarkEnd w:id="40"/>
    </w:p>
    <w:p>
      <w:pPr>
        <w:ind w:left="630" w:leftChars="300"/>
        <w:rPr>
          <w:rFonts w:ascii="楷体" w:hAnsi="楷体" w:eastAsia="楷体"/>
          <w:bCs/>
          <w:sz w:val="24"/>
          <w:szCs w:val="24"/>
        </w:rPr>
      </w:pPr>
      <w:r>
        <w:rPr>
          <w:rFonts w:hint="eastAsia" w:ascii="楷体" w:hAnsi="楷体" w:eastAsia="楷体"/>
          <w:color w:val="000000" w:themeColor="text1"/>
          <w:sz w:val="24"/>
          <w:szCs w:val="24"/>
          <w14:textFill>
            <w14:solidFill>
              <w14:schemeClr w14:val="tx1"/>
            </w14:solidFill>
          </w14:textFill>
        </w:rPr>
        <w:t>元旦之后纯碱现货价格持续下调。周内西北青海地区出厂价报价下调50元/吨，重碱报价2000元/吨 (日环比-100元/吨)，华北送到价2250-2300元/吨。供给方面，截至20240104，周内纯碱产量66.32万吨，涨幅1.97%，开工率85.19%，环比增加1.65%。周内纯碱厂家库存36.96万吨，环比+2.95万吨，涨幅8.67%，其中主要集中于轻质增加，重涨幅小。从库存结构上来看，节后山东地区环保产能开始恢复，远兴3线提负荷，产量开始抬升，进口碱陆续到港，2月进口价格在2020元/吨附近。需求端下游经过上个月补库以后采购积极性下降。盘面受现货走弱影响，震荡下跌。后市重点关注现货价格何时企稳，操作上逢高布空，主力参考区间(1800，2000)。</w:t>
      </w:r>
    </w:p>
    <w:p>
      <w:pPr>
        <w:ind w:firstLine="480" w:firstLineChars="200"/>
        <w:rPr>
          <w:rFonts w:ascii="楷体" w:hAnsi="楷体" w:eastAsia="楷体"/>
          <w:bCs/>
          <w:sz w:val="24"/>
          <w:szCs w:val="24"/>
        </w:rPr>
      </w:pPr>
    </w:p>
    <w:p>
      <w:pPr>
        <w:ind w:firstLine="420" w:firstLineChars="200"/>
        <w:rPr>
          <w:rFonts w:ascii="Times New Roman" w:hAnsi="Times New Roman" w:eastAsia="楷体"/>
          <w:bCs/>
        </w:rPr>
      </w:pPr>
    </w:p>
    <w:p>
      <w:pPr>
        <w:pBdr>
          <w:top w:val="single" w:color="auto" w:sz="4" w:space="1"/>
        </w:pBdr>
        <w:outlineLvl w:val="0"/>
        <w:rPr>
          <w:rFonts w:ascii="Times New Roman" w:hAnsi="Times New Roman" w:eastAsia="楷体"/>
          <w:b/>
          <w:color w:val="823C0B"/>
          <w:sz w:val="30"/>
          <w:szCs w:val="30"/>
        </w:rPr>
      </w:pPr>
      <w:r>
        <w:rPr>
          <w:rFonts w:hint="eastAsia" w:ascii="Times New Roman" w:hAnsi="Times New Roman" w:eastAsia="楷体"/>
          <w:b/>
          <w:color w:val="823C0B"/>
          <w:sz w:val="30"/>
          <w:szCs w:val="30"/>
        </w:rPr>
        <w:t xml:space="preserve"> </w:t>
      </w:r>
      <w:bookmarkStart w:id="41" w:name="_Toc24774"/>
      <w:r>
        <w:rPr>
          <w:rFonts w:hint="eastAsia" w:ascii="Times New Roman" w:hAnsi="Times New Roman" w:eastAsia="楷体"/>
          <w:b/>
          <w:color w:val="823C0B"/>
          <w:sz w:val="30"/>
          <w:szCs w:val="30"/>
        </w:rPr>
        <w:t>[农产品]</w:t>
      </w:r>
      <w:bookmarkEnd w:id="14"/>
      <w:bookmarkEnd w:id="41"/>
    </w:p>
    <w:p>
      <w:pPr>
        <w:ind w:left="420" w:leftChars="200"/>
        <w:outlineLvl w:val="1"/>
        <w:rPr>
          <w:rFonts w:ascii="楷体" w:hAnsi="楷体" w:eastAsia="楷体"/>
          <w:b/>
          <w:sz w:val="24"/>
          <w:szCs w:val="24"/>
        </w:rPr>
      </w:pPr>
      <w:bookmarkStart w:id="42" w:name="_Toc230"/>
      <w:r>
        <w:rPr>
          <w:rFonts w:hint="eastAsia" w:ascii="楷体" w:hAnsi="楷体" w:eastAsia="楷体"/>
          <w:b/>
          <w:color w:val="000000" w:themeColor="text1"/>
          <w:sz w:val="24"/>
          <w:szCs w:val="24"/>
          <w14:textFill>
            <w14:solidFill>
              <w14:schemeClr w14:val="tx1"/>
            </w14:solidFill>
          </w14:textFill>
        </w:rPr>
        <w:t>豆粕/菜粕：</w:t>
      </w:r>
      <w:r>
        <w:rPr>
          <w:rFonts w:hint="eastAsia" w:ascii="楷体" w:hAnsi="楷体" w:eastAsia="楷体"/>
          <w:b/>
          <w:sz w:val="24"/>
          <w:szCs w:val="24"/>
        </w:rPr>
        <w:t>丰产压力下，期现价格偏弱运行</w:t>
      </w:r>
      <w:bookmarkEnd w:id="42"/>
    </w:p>
    <w:p>
      <w:pPr>
        <w:ind w:left="630" w:leftChars="300"/>
        <w:rPr>
          <w:rFonts w:ascii="楷体" w:hAnsi="楷体" w:eastAsia="楷体"/>
          <w:sz w:val="24"/>
          <w:szCs w:val="24"/>
        </w:rPr>
      </w:pPr>
      <w:r>
        <w:rPr>
          <w:rFonts w:hint="eastAsia" w:ascii="楷体" w:hAnsi="楷体" w:eastAsia="楷体"/>
          <w:sz w:val="24"/>
          <w:szCs w:val="24"/>
        </w:rPr>
        <w:t>CBOT大豆价格继续走低，创下2023年6月12日以来的最低收盘价，因美国大豆需求令人担忧以及巴西干旱地区将出现更多的降雨。当前市场定价中心集中在南美，巴西天气不确定性仍较大，虽种植进度落后于去年同期及五年均值水平，但在近期产区降水持续改善下，市场对其丰产预期回升，中长期南美丰产预期能否兑现仍是后续价格走势的关键，关注巴西后续天气及种植情况，现阶段天气扰动仍存。国内豆粕延续供强需弱格局，供应端进入11月份后，随着进口大豆到港增加，油厂大豆库存持续增加，但因下游需求疲软，油厂开机率较低，部分地区存胀库风险，豆粕库存较前一周增至97.25万吨，当前沿海主流油厂豆粕现货报价下调至3660-3710元/吨。但11月份进口大豆到港不及预期，为792万吨，叠加远月买船进度偏慢，远月供应端担忧仍存。需求，下游生猪养殖利润维持亏损，但在能繁存栏高位下，下游随采随用，保持安全库存，备货积极性不高。菜粕供应趋于宽松。在11月份后随着菜籽进口增加，菜粕供应转宽，目前菜籽库存以及油厂开机均有明显提升。而需求方面，随着水产消费旺季的结束，菜粕刚需减少，但在豆菜粕价差较大下提振菜粕的替代需求。策略方面，短期偏弱运行，建议豆粕短线逢高偏空操作，05暂看3100支撑，菜粕跟随豆粕偏弱运行，建议短线顺势操作，供应压力仍存。</w:t>
      </w:r>
    </w:p>
    <w:p>
      <w:pPr>
        <w:ind w:firstLine="480" w:firstLineChars="200"/>
        <w:rPr>
          <w:rFonts w:ascii="楷体" w:hAnsi="楷体" w:eastAsia="楷体"/>
          <w:bCs/>
          <w:sz w:val="24"/>
          <w:szCs w:val="24"/>
        </w:rPr>
      </w:pPr>
    </w:p>
    <w:p>
      <w:pPr>
        <w:ind w:left="420" w:leftChars="200"/>
        <w:outlineLvl w:val="1"/>
        <w:rPr>
          <w:rFonts w:ascii="楷体" w:hAnsi="楷体" w:eastAsia="楷体"/>
          <w:b/>
          <w:sz w:val="24"/>
          <w:szCs w:val="24"/>
        </w:rPr>
      </w:pPr>
      <w:bookmarkStart w:id="43" w:name="_Toc4041"/>
      <w:r>
        <w:rPr>
          <w:rFonts w:hint="eastAsia" w:ascii="楷体" w:hAnsi="楷体" w:eastAsia="楷体"/>
          <w:b/>
          <w:color w:val="000000" w:themeColor="text1"/>
          <w:sz w:val="24"/>
          <w:szCs w:val="24"/>
          <w14:textFill>
            <w14:solidFill>
              <w14:schemeClr w14:val="tx1"/>
            </w14:solidFill>
          </w14:textFill>
        </w:rPr>
        <w:t>油脂：</w:t>
      </w:r>
      <w:r>
        <w:rPr>
          <w:rFonts w:hint="eastAsia" w:ascii="楷体" w:hAnsi="楷体" w:eastAsia="楷体"/>
          <w:b/>
          <w:sz w:val="24"/>
          <w:szCs w:val="24"/>
        </w:rPr>
        <w:t>MPOB报告利多，支撑期价反弹</w:t>
      </w:r>
      <w:bookmarkEnd w:id="43"/>
    </w:p>
    <w:p>
      <w:pPr>
        <w:ind w:left="630" w:leftChars="300"/>
        <w:rPr>
          <w:rFonts w:ascii="楷体" w:hAnsi="楷体" w:eastAsia="楷体"/>
          <w:sz w:val="24"/>
          <w:szCs w:val="24"/>
        </w:rPr>
      </w:pPr>
      <w:r>
        <w:rPr>
          <w:rFonts w:hint="eastAsia" w:ascii="楷体" w:hAnsi="楷体" w:eastAsia="楷体"/>
          <w:sz w:val="24"/>
          <w:szCs w:val="24"/>
        </w:rPr>
        <w:t>周三在MPOB报告利好落地后，油脂企稳反弹，马棕12月底库存降至8月以来最低水平，但当前油脂整体供需宽松格局尚未转变，期价向上空间预计仍受限。棕榈油，产地11月份进入季节性减产周期，产地库存逐步去化，但出口环比降低以及天气异常情况尚不明朗，对期价支撑有限。印尼棕榈油10月份产需双增，但产量增幅不及需求，库存继续下降。而马棕12月份产需双降，因产量降幅较大，12月底库存环比下降4.64%至229万吨，为8月以来最低水平，但当前供需矛盾尚未出现，关注一季度产地天气情况。国内棕榈油9-11月份进口到港维持高位，但在高库存抑制下月度进口环比下滑，最新商业库存减至87.3万吨，仍处于同期高位。需求端，节后备货需求减弱，在冬季消费淡季下需求增量预计有限。豆油存供需双增预期。国内随着23年四季度进口大豆到港增加，原料供应充裕，但下游需求疲软下油厂开机率偏低，豆油产出被动减少。需求端，当前价格优势并不明显，限制替代需求，终端维持刚需采购为主，关注春节前备货情况。菜油预计供需双旺，阶段性供应压力较大。当前主产地菜籽新作处于出口阶段，集中上市压力也抑制期价走势。随着11月份后进口菜籽到港增加，菜籽开机及压榨水平提升，11月菜籽进口48万吨，环比增44.7万吨，四季度菜籽及菜油供给趋于宽松。需求方面，与豆油价差持续收窄，部分地区出现低于豆油价格的情况，下游采购需求较好，后续春节前备货也将陆续启动。短期油脂预计反弹空间有限，暂缺乏单边驱动，建议波段操作，高抛低吸；中长期关注天气及需求表现，维持谨慎看多观点。</w:t>
      </w:r>
    </w:p>
    <w:p>
      <w:pPr>
        <w:ind w:firstLine="480" w:firstLineChars="200"/>
        <w:rPr>
          <w:rFonts w:ascii="楷体" w:hAnsi="楷体" w:eastAsia="楷体"/>
          <w:bCs/>
          <w:sz w:val="24"/>
          <w:szCs w:val="24"/>
        </w:rPr>
      </w:pPr>
    </w:p>
    <w:p>
      <w:pPr>
        <w:pStyle w:val="93"/>
        <w:spacing w:before="60" w:beforeAutospacing="0" w:after="60" w:afterAutospacing="0"/>
        <w:ind w:left="420" w:leftChars="200"/>
        <w:outlineLvl w:val="1"/>
        <w:rPr>
          <w:rFonts w:ascii="楷体" w:hAnsi="楷体" w:eastAsia="楷体"/>
          <w:b/>
        </w:rPr>
      </w:pPr>
      <w:bookmarkStart w:id="44" w:name="_Toc2828"/>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期价再创新低</w:t>
      </w:r>
      <w:bookmarkEnd w:id="44"/>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玉米而言，在前期国储暂停进口拍卖并启动产区收购带动期现货反弹之后，市场预期依然悲观，现货市场余粮压力继续施压，华北产区现货持续弱势并不断创出新低，带动期价回落调整。在这种情况下，市场尚需要等待供需的边际改善，即市场供需博弈的变动，建议重点关注政策粮收购、农户售粮心态、中下游特别是饲料养殖企业备货积极性。综上所述，我们暂持中性观点，后期或转向看多，建议谨慎投资者观望，激进投资者投资者可尝试以前低作为止损入场做多。</w:t>
      </w:r>
    </w:p>
    <w:p>
      <w:pPr>
        <w:pStyle w:val="93"/>
        <w:spacing w:before="0" w:beforeAutospacing="0" w:after="60" w:afterAutospacing="0"/>
        <w:ind w:left="630" w:leftChars="300"/>
        <w:rPr>
          <w:rFonts w:ascii="楷体" w:hAnsi="楷体" w:eastAsia="楷体"/>
        </w:rPr>
      </w:pPr>
      <w:r>
        <w:rPr>
          <w:rFonts w:hint="eastAsia" w:ascii="楷体" w:hAnsi="楷体" w:eastAsia="楷体"/>
        </w:rPr>
        <w:t>对于淀粉而言，影响淀粉-玉米价差的变量持续变化，现货基差支撑依然存在，副产品继续下跌，行业供需近期改善，原料成本则相对偏空，除了绝对价格之外还有华北-东北玉米价差。考虑到盘面生产利润转负，淀粉-玉米价差短期难以收窄，但与此同时，产能格局或抑制其上方空间。在这种情况下，我们暂持中性观点，后期或转向看多，单边建议暂以观望为宜，激进投资者可以考虑择机入场做多，套利则建议持有前期价差走扩组合，后期择机获利离场。</w:t>
      </w:r>
    </w:p>
    <w:p>
      <w:pPr>
        <w:pStyle w:val="93"/>
        <w:spacing w:before="60" w:beforeAutospacing="0" w:after="60" w:afterAutospacing="0"/>
        <w:ind w:left="630" w:leftChars="300"/>
        <w:rPr>
          <w:rFonts w:ascii="楷体" w:hAnsi="楷体" w:eastAsia="楷体"/>
        </w:rPr>
      </w:pPr>
    </w:p>
    <w:p>
      <w:pPr>
        <w:pStyle w:val="93"/>
        <w:spacing w:before="60" w:beforeAutospacing="0" w:after="60" w:afterAutospacing="0"/>
        <w:ind w:left="420" w:leftChars="200"/>
        <w:outlineLvl w:val="1"/>
        <w:rPr>
          <w:rFonts w:ascii="楷体" w:hAnsi="楷体" w:eastAsia="楷体"/>
          <w:b/>
          <w:bCs/>
          <w:color w:val="000000" w:themeColor="text1"/>
          <w14:textFill>
            <w14:solidFill>
              <w14:schemeClr w14:val="tx1"/>
            </w14:solidFill>
          </w14:textFill>
        </w:rPr>
      </w:pPr>
      <w:bookmarkStart w:id="45" w:name="_Toc114"/>
      <w:r>
        <w:rPr>
          <w:rFonts w:hint="eastAsia" w:ascii="楷体" w:hAnsi="楷体" w:eastAsia="楷体"/>
          <w:b/>
          <w:bCs/>
          <w:color w:val="000000" w:themeColor="text1"/>
          <w14:textFill>
            <w14:solidFill>
              <w14:schemeClr w14:val="tx1"/>
            </w14:solidFill>
          </w14:textFill>
        </w:rPr>
        <w:t>畜禽养殖：生猪期价近弱远强分化运行</w:t>
      </w:r>
      <w:bookmarkEnd w:id="45"/>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价表现可以看出，市场对远月供需预期相对乐观，这主要源于近期产能去化加快，这可以从各家机构数据加以验证。分合约来看，远月合约更多关注接下来的产能去化进度，需要特别留意产能去化不及预期的可能性；对于近月合约而言，与去年同期相比，供需总体改善，但已经体现在生猪养殖亏损幅度同比上，而养殖成本下滑，使得猪价表现难言乐观。接下来更多期待阶段性行情，即考虑到三季度以来生猪出栏同比大幅增加，供应压力在一定程度上得以释放，且生猪期价远期升水，节前抛售压力应该不大，而节前需求旺季之下，猪价或有机会反弹至养殖成本一线。在这种情况下，维持中性观点，更多侧重择机阶段性操作。</w:t>
      </w:r>
    </w:p>
    <w:p>
      <w:pPr>
        <w:pStyle w:val="93"/>
        <w:spacing w:before="0" w:beforeAutospacing="0" w:after="60" w:afterAutospacing="0"/>
        <w:ind w:left="630" w:leftChars="300"/>
        <w:rPr>
          <w:rFonts w:ascii="楷体" w:hAnsi="楷体" w:eastAsia="楷体"/>
        </w:rPr>
      </w:pPr>
      <w:r>
        <w:rPr>
          <w:rFonts w:hint="eastAsia" w:ascii="楷体" w:hAnsi="楷体" w:eastAsia="楷体"/>
        </w:rPr>
        <w:t>对于鸡蛋而言，期现货表现符合我们之前报告预期，主要源于两个方面，其一是饲料原料成本的下滑，其二也是根本原因则在于供应端的增长，卓创资讯数据显示，在产蛋鸡存栏连续环比增加，考虑到今年节后以来蛋鸡苗销量均同比增加，而蛋鸡淘汰量持续处于历史低位水平，蛋鸡淘汰日龄则持续位于历史同期高位。接下来中期需要留意养殖户补栏和淘汰积极性的变化，随着鸡蛋现货价格的下跌，蛋鸡养殖利润亦随之下滑，近期养殖户淘汰积极性有所抬头。短期则需要留意季节性因素，节前重点留意需求端的表现。从大方向来看，我们维持谨慎看空观点，但春节前或存在短期季节性需求的支撑，期价或转为震荡调整态势。在这种情况下，维持中性观点，建议投资者暂以观望为宜，在期价反弹后择机再行入场布局春节后空单。</w:t>
      </w:r>
    </w:p>
    <w:p>
      <w:pPr>
        <w:ind w:firstLine="480" w:firstLineChars="200"/>
        <w:rPr>
          <w:rFonts w:ascii="楷体" w:hAnsi="楷体" w:eastAsia="楷体"/>
          <w:sz w:val="24"/>
          <w:szCs w:val="24"/>
        </w:rPr>
      </w:pPr>
    </w:p>
    <w:p>
      <w:pPr>
        <w:ind w:firstLine="480" w:firstLineChars="200"/>
        <w:rPr>
          <w:rFonts w:ascii="楷体" w:hAnsi="楷体" w:eastAsia="楷体"/>
          <w:bCs/>
          <w:sz w:val="24"/>
          <w:szCs w:val="24"/>
        </w:rPr>
      </w:pPr>
    </w:p>
    <w:p>
      <w:pPr>
        <w:pBdr>
          <w:top w:val="single" w:color="auto" w:sz="4" w:space="0"/>
        </w:pBdr>
        <w:outlineLvl w:val="0"/>
        <w:rPr>
          <w:rFonts w:ascii="Times New Roman" w:hAnsi="Times New Roman" w:eastAsia="楷体"/>
          <w:b/>
          <w:color w:val="823C0B"/>
        </w:rPr>
      </w:pPr>
      <w:bookmarkStart w:id="46" w:name="_Toc3555"/>
      <w:r>
        <w:rPr>
          <w:rFonts w:hint="eastAsia" w:ascii="Times New Roman" w:hAnsi="Times New Roman" w:eastAsia="楷体"/>
          <w:b/>
          <w:color w:val="823C0B"/>
          <w:sz w:val="30"/>
          <w:szCs w:val="30"/>
        </w:rPr>
        <w:t>[指数]</w:t>
      </w:r>
      <w:bookmarkEnd w:id="46"/>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7" w:name="_Toc29463"/>
      <w:r>
        <w:rPr>
          <w:rFonts w:hint="eastAsia" w:ascii="Times New Roman" w:hAnsi="Times New Roman" w:eastAsia="楷体"/>
          <w:b/>
          <w:color w:val="000000" w:themeColor="text1"/>
          <w:sz w:val="24"/>
          <w:szCs w:val="24"/>
          <w14:textFill>
            <w14:solidFill>
              <w14:schemeClr w14:val="tx1"/>
            </w14:solidFill>
          </w14:textFill>
        </w:rPr>
        <w:t>集运指数（欧线）：胡塞武装证实袭击美军舰，“协议”未有进展，通航或需时间</w:t>
      </w:r>
      <w:bookmarkEnd w:id="4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此前，有消息传出一些世界顶级航运公司现在已经与也门胡塞武装达成协议，允许其船只安全地通过红海这一世界重要航道。胡塞武装的要求是，航运公司必须保证不运载以色列货物，也不停靠以色列港口，并且需要主动作出声明。该消息除了导致集运指数期货下跌以外，航运公司的股价也有不同程度的下挫。但到目前为止，马士基与和赫伯罗特均否认其有与胡塞武装达成协议。</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另外，1月10日也门胡塞武装发表声明称，胡塞武装通过导弹和无人机在前一天晚上展开了针对美国军舰的袭击行动，以报复对方在去年12月31日击沉3艘胡塞武装快艇造成10人死亡的事件。据悉，此次遭到胡塞武装袭击的共有3艘美军军舰和1艘英国军舰，由于导弹和无人机被成功拦截，未对军舰造成损伤，也未造成舰上人员伤亡。</w:t>
      </w:r>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即期运价方面，2024年1月8日公布SCFIS欧线数据为2098点，较上周涨70%。1月5日，SCFI欧线数据为2871美元/TEU，涨6.57%，相较于此前涨幅有所收窄。指示未来一周订舱价格涨幅开始趋缓。</w:t>
      </w:r>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长期来看，后续运价逐步回归供需基本面。短期来看，绕行局势已定引致多头集体离场观望，但供应链负面影响因素仍在，期货市场或进入宽幅动荡期，建议投资者谨慎关注。</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8" w:name="_Toc12779"/>
      <w:bookmarkStart w:id="49" w:name="_Toc19667"/>
      <w:bookmarkStart w:id="50" w:name="_Toc72481108"/>
      <w:bookmarkStart w:id="51" w:name="_Toc98426751"/>
      <w:bookmarkStart w:id="52" w:name="_Toc71212556"/>
      <w:r>
        <w:rPr>
          <w:rFonts w:ascii="Times New Roman" w:hAnsi="Times New Roman" w:eastAsia="楷体"/>
          <w:b/>
          <w:color w:val="411D05"/>
          <w:sz w:val="30"/>
          <w:szCs w:val="30"/>
        </w:rPr>
        <w:t>免责声明</w:t>
      </w:r>
      <w:bookmarkEnd w:id="48"/>
      <w:bookmarkEnd w:id="49"/>
      <w:bookmarkEnd w:id="50"/>
      <w:bookmarkEnd w:id="51"/>
      <w:bookmarkEnd w:id="52"/>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李代</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：F03086605</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：Z0016791</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薛晴</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：F3035906</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：Z0016940</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2024年1月11日星期四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FD2"/>
    <w:rsid w:val="00CB3015"/>
    <w:rsid w:val="00CB60E6"/>
    <w:rsid w:val="00CB657C"/>
    <w:rsid w:val="00CC03C4"/>
    <w:rsid w:val="00CC3E40"/>
    <w:rsid w:val="00CC3FFA"/>
    <w:rsid w:val="00CC6C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2E32A5D"/>
    <w:rsid w:val="035D5749"/>
    <w:rsid w:val="057D13AE"/>
    <w:rsid w:val="064A667C"/>
    <w:rsid w:val="06B2613D"/>
    <w:rsid w:val="06B753E3"/>
    <w:rsid w:val="09B849A4"/>
    <w:rsid w:val="09F160E3"/>
    <w:rsid w:val="0AC64130"/>
    <w:rsid w:val="0B42525D"/>
    <w:rsid w:val="0C1F7DEE"/>
    <w:rsid w:val="0CDE660D"/>
    <w:rsid w:val="0D032A7C"/>
    <w:rsid w:val="0F662138"/>
    <w:rsid w:val="0FF35275"/>
    <w:rsid w:val="100732C8"/>
    <w:rsid w:val="10DA6205"/>
    <w:rsid w:val="113D3FD2"/>
    <w:rsid w:val="121F7D21"/>
    <w:rsid w:val="129B2E20"/>
    <w:rsid w:val="12AA5DF8"/>
    <w:rsid w:val="134E6356"/>
    <w:rsid w:val="13AE24B4"/>
    <w:rsid w:val="15364A7C"/>
    <w:rsid w:val="15D52593"/>
    <w:rsid w:val="197E6634"/>
    <w:rsid w:val="1B8A2034"/>
    <w:rsid w:val="1BC72FF7"/>
    <w:rsid w:val="1D03226A"/>
    <w:rsid w:val="1D5030CD"/>
    <w:rsid w:val="1D876087"/>
    <w:rsid w:val="1DFF64E4"/>
    <w:rsid w:val="1ECB51CD"/>
    <w:rsid w:val="2056595D"/>
    <w:rsid w:val="20AE4DE8"/>
    <w:rsid w:val="216834DE"/>
    <w:rsid w:val="21996AC1"/>
    <w:rsid w:val="219F3EE2"/>
    <w:rsid w:val="21F57098"/>
    <w:rsid w:val="22BB5089"/>
    <w:rsid w:val="24321B2E"/>
    <w:rsid w:val="244B21DE"/>
    <w:rsid w:val="247F3074"/>
    <w:rsid w:val="24B82D9D"/>
    <w:rsid w:val="258A2E5C"/>
    <w:rsid w:val="25B924F3"/>
    <w:rsid w:val="268419CF"/>
    <w:rsid w:val="26AC2D80"/>
    <w:rsid w:val="26F95364"/>
    <w:rsid w:val="2C6C12B9"/>
    <w:rsid w:val="2CA93C52"/>
    <w:rsid w:val="2D912E3A"/>
    <w:rsid w:val="2DC02C2B"/>
    <w:rsid w:val="2DE440F7"/>
    <w:rsid w:val="2FA70F17"/>
    <w:rsid w:val="32951C0D"/>
    <w:rsid w:val="340E7198"/>
    <w:rsid w:val="34A75784"/>
    <w:rsid w:val="373F75CC"/>
    <w:rsid w:val="38F320AA"/>
    <w:rsid w:val="399D40A5"/>
    <w:rsid w:val="3A2F6D68"/>
    <w:rsid w:val="3AC9385E"/>
    <w:rsid w:val="3B3306F0"/>
    <w:rsid w:val="3B563B4D"/>
    <w:rsid w:val="3C2825B0"/>
    <w:rsid w:val="3C2B26B7"/>
    <w:rsid w:val="3CB420C3"/>
    <w:rsid w:val="3D8B796D"/>
    <w:rsid w:val="3DA80A30"/>
    <w:rsid w:val="3EC32453"/>
    <w:rsid w:val="3ECC520D"/>
    <w:rsid w:val="3EE0186C"/>
    <w:rsid w:val="3EFE09FD"/>
    <w:rsid w:val="3F345DBE"/>
    <w:rsid w:val="40F15753"/>
    <w:rsid w:val="41F950F8"/>
    <w:rsid w:val="43F63E0D"/>
    <w:rsid w:val="44092E2E"/>
    <w:rsid w:val="441077D2"/>
    <w:rsid w:val="44396064"/>
    <w:rsid w:val="459609D9"/>
    <w:rsid w:val="45A37566"/>
    <w:rsid w:val="45CF0A85"/>
    <w:rsid w:val="46194A11"/>
    <w:rsid w:val="47752ACA"/>
    <w:rsid w:val="47C813F2"/>
    <w:rsid w:val="4AB74C38"/>
    <w:rsid w:val="4B6224E5"/>
    <w:rsid w:val="4B8C4A56"/>
    <w:rsid w:val="4BF97936"/>
    <w:rsid w:val="4C457E30"/>
    <w:rsid w:val="4D2A3925"/>
    <w:rsid w:val="4DB20386"/>
    <w:rsid w:val="4DF02D90"/>
    <w:rsid w:val="5005695E"/>
    <w:rsid w:val="50286811"/>
    <w:rsid w:val="51266B84"/>
    <w:rsid w:val="5191036A"/>
    <w:rsid w:val="546B5509"/>
    <w:rsid w:val="548642E9"/>
    <w:rsid w:val="54C12E33"/>
    <w:rsid w:val="55633225"/>
    <w:rsid w:val="56DD4D3A"/>
    <w:rsid w:val="57555A7B"/>
    <w:rsid w:val="57CB522F"/>
    <w:rsid w:val="58042686"/>
    <w:rsid w:val="58246D5D"/>
    <w:rsid w:val="59151C86"/>
    <w:rsid w:val="59C52328"/>
    <w:rsid w:val="5B906095"/>
    <w:rsid w:val="5BF60A75"/>
    <w:rsid w:val="5C9F2D01"/>
    <w:rsid w:val="5D5617A6"/>
    <w:rsid w:val="5EA23F15"/>
    <w:rsid w:val="5EA7685B"/>
    <w:rsid w:val="619A2BBF"/>
    <w:rsid w:val="61DF02D0"/>
    <w:rsid w:val="62710E5F"/>
    <w:rsid w:val="63FF1EA7"/>
    <w:rsid w:val="64C32497"/>
    <w:rsid w:val="66D04BBC"/>
    <w:rsid w:val="67655BF9"/>
    <w:rsid w:val="67C6389B"/>
    <w:rsid w:val="685D4EEE"/>
    <w:rsid w:val="68D53E8D"/>
    <w:rsid w:val="6B292599"/>
    <w:rsid w:val="6ECB7DD2"/>
    <w:rsid w:val="6FE61065"/>
    <w:rsid w:val="70675779"/>
    <w:rsid w:val="713E0334"/>
    <w:rsid w:val="716F5E64"/>
    <w:rsid w:val="729B5F03"/>
    <w:rsid w:val="72F62A89"/>
    <w:rsid w:val="737357AF"/>
    <w:rsid w:val="74163BE4"/>
    <w:rsid w:val="75292EAC"/>
    <w:rsid w:val="755A5FEF"/>
    <w:rsid w:val="75775016"/>
    <w:rsid w:val="758E0106"/>
    <w:rsid w:val="7626762C"/>
    <w:rsid w:val="778F5135"/>
    <w:rsid w:val="784F7772"/>
    <w:rsid w:val="78E55995"/>
    <w:rsid w:val="79267C0B"/>
    <w:rsid w:val="7ABE4B56"/>
    <w:rsid w:val="7B264F79"/>
    <w:rsid w:val="7B3E5659"/>
    <w:rsid w:val="7CD80967"/>
    <w:rsid w:val="7EAF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10</Pages>
  <Words>1699</Words>
  <Characters>9686</Characters>
  <Lines>80</Lines>
  <Paragraphs>22</Paragraphs>
  <TotalTime>0</TotalTime>
  <ScaleCrop>false</ScaleCrop>
  <LinksUpToDate>false</LinksUpToDate>
  <CharactersWithSpaces>11363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2024-01-11T02:41:13Z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