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_Toc3770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_Toc32286 </w:instrText>
          </w:r>
          <w:r>
            <w:rPr>
              <w:bCs/>
            </w:rPr>
            <w:fldChar w:fldCharType="separate"/>
          </w:r>
          <w:r>
            <w:rPr>
              <w:rFonts w:hint="eastAsia" w:ascii="Times New Roman" w:hAnsi="Times New Roman" w:eastAsia="楷体"/>
              <w:szCs w:val="24"/>
            </w:rPr>
            <w:t>股指：短线市场或继续磨底，中线可考虑正左侧逢低轻仓布局IM多单</w:t>
          </w:r>
          <w:r>
            <w:rPr>
              <w:bCs/>
            </w:rPr>
            <w:fldChar w:fldCharType="end"/>
          </w:r>
        </w:p>
        <w:p>
          <w:pPr>
            <w:pStyle w:val="59"/>
            <w:tabs>
              <w:tab w:val="right" w:leader="dot" w:pos="8306"/>
            </w:tabs>
          </w:pPr>
          <w:r>
            <w:rPr>
              <w:bCs/>
            </w:rPr>
            <w:fldChar w:fldCharType="begin"/>
          </w:r>
          <w:r>
            <w:rPr>
              <w:bCs/>
            </w:rPr>
            <w:instrText xml:space="preserve"> HYPERLINK \l _Toc1144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_Toc9035 </w:instrText>
          </w:r>
          <w:r>
            <w:rPr>
              <w:bCs/>
            </w:rPr>
            <w:fldChar w:fldCharType="separate"/>
          </w:r>
          <w:r>
            <w:rPr>
              <w:rFonts w:hint="eastAsia" w:ascii="Times New Roman" w:hAnsi="Times New Roman" w:eastAsia="楷体"/>
              <w:szCs w:val="24"/>
            </w:rPr>
            <w:t>贵金属：机构下调全球GDP增速预测，贵金属价格窄幅震荡</w:t>
          </w:r>
          <w:r>
            <w:rPr>
              <w:bCs/>
            </w:rPr>
            <w:fldChar w:fldCharType="end"/>
          </w:r>
        </w:p>
        <w:p>
          <w:pPr>
            <w:pStyle w:val="59"/>
            <w:tabs>
              <w:tab w:val="right" w:leader="dot" w:pos="8306"/>
            </w:tabs>
          </w:pPr>
          <w:r>
            <w:rPr>
              <w:bCs/>
            </w:rPr>
            <w:fldChar w:fldCharType="begin"/>
          </w:r>
          <w:r>
            <w:rPr>
              <w:bCs/>
            </w:rPr>
            <w:instrText xml:space="preserve"> HYPERLINK \l _Toc25311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_Toc31465 </w:instrText>
          </w:r>
          <w:r>
            <w:rPr>
              <w:bCs/>
            </w:rPr>
            <w:fldChar w:fldCharType="separate"/>
          </w:r>
          <w:r>
            <w:rPr>
              <w:rFonts w:hint="eastAsia" w:ascii="楷体" w:hAnsi="楷体" w:eastAsia="楷体"/>
              <w:szCs w:val="24"/>
            </w:rPr>
            <w:t>碳酸锂：海外锂矿暂停开采但影响相对较小，期价小幅上涨</w:t>
          </w:r>
          <w:r>
            <w:rPr>
              <w:bCs/>
            </w:rPr>
            <w:fldChar w:fldCharType="end"/>
          </w:r>
        </w:p>
        <w:p>
          <w:pPr>
            <w:pStyle w:val="74"/>
            <w:tabs>
              <w:tab w:val="right" w:leader="dot" w:pos="8306"/>
            </w:tabs>
          </w:pPr>
          <w:r>
            <w:rPr>
              <w:bCs/>
            </w:rPr>
            <w:fldChar w:fldCharType="begin"/>
          </w:r>
          <w:r>
            <w:rPr>
              <w:bCs/>
            </w:rPr>
            <w:instrText xml:space="preserve"> HYPERLINK \l _Toc28073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_Toc26432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_Toc15784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_Toc1755 </w:instrText>
          </w:r>
          <w:r>
            <w:rPr>
              <w:bCs/>
            </w:rPr>
            <w:fldChar w:fldCharType="separate"/>
          </w:r>
          <w:r>
            <w:rPr>
              <w:rFonts w:hint="eastAsia" w:ascii="楷体" w:hAnsi="楷体" w:eastAsia="楷体"/>
              <w:szCs w:val="24"/>
            </w:rPr>
            <w:t>铜：高位承压运行，关注美国CPI</w:t>
          </w:r>
          <w:r>
            <w:rPr>
              <w:bCs/>
            </w:rPr>
            <w:fldChar w:fldCharType="end"/>
          </w:r>
        </w:p>
        <w:p>
          <w:pPr>
            <w:pStyle w:val="74"/>
            <w:tabs>
              <w:tab w:val="right" w:leader="dot" w:pos="8306"/>
            </w:tabs>
          </w:pPr>
          <w:r>
            <w:rPr>
              <w:bCs/>
            </w:rPr>
            <w:fldChar w:fldCharType="begin"/>
          </w:r>
          <w:r>
            <w:rPr>
              <w:bCs/>
            </w:rPr>
            <w:instrText xml:space="preserve"> HYPERLINK \l _Toc17460 </w:instrText>
          </w:r>
          <w:r>
            <w:rPr>
              <w:bCs/>
            </w:rPr>
            <w:fldChar w:fldCharType="separate"/>
          </w:r>
          <w:r>
            <w:rPr>
              <w:rFonts w:hint="eastAsia" w:ascii="楷体" w:hAnsi="楷体" w:eastAsia="楷体"/>
              <w:szCs w:val="24"/>
            </w:rPr>
            <w:t>铝：铝价区间高位震荡运行</w:t>
          </w:r>
          <w:r>
            <w:rPr>
              <w:bCs/>
            </w:rPr>
            <w:fldChar w:fldCharType="end"/>
          </w:r>
        </w:p>
        <w:p>
          <w:pPr>
            <w:pStyle w:val="74"/>
            <w:tabs>
              <w:tab w:val="right" w:leader="dot" w:pos="8306"/>
            </w:tabs>
          </w:pPr>
          <w:r>
            <w:rPr>
              <w:bCs/>
            </w:rPr>
            <w:fldChar w:fldCharType="begin"/>
          </w:r>
          <w:r>
            <w:rPr>
              <w:bCs/>
            </w:rPr>
            <w:instrText xml:space="preserve"> HYPERLINK \l _Toc1728 </w:instrText>
          </w:r>
          <w:r>
            <w:rPr>
              <w:bCs/>
            </w:rPr>
            <w:fldChar w:fldCharType="separate"/>
          </w:r>
          <w:r>
            <w:rPr>
              <w:rFonts w:hint="eastAsia" w:ascii="楷体" w:hAnsi="楷体" w:eastAsia="楷体"/>
              <w:szCs w:val="24"/>
            </w:rPr>
            <w:t>锌：锌价上方压力仍存</w:t>
          </w:r>
          <w:r>
            <w:rPr>
              <w:bCs/>
            </w:rPr>
            <w:fldChar w:fldCharType="end"/>
          </w:r>
        </w:p>
        <w:p>
          <w:pPr>
            <w:pStyle w:val="74"/>
            <w:tabs>
              <w:tab w:val="right" w:leader="dot" w:pos="8306"/>
            </w:tabs>
          </w:pPr>
          <w:r>
            <w:rPr>
              <w:bCs/>
            </w:rPr>
            <w:fldChar w:fldCharType="begin"/>
          </w:r>
          <w:r>
            <w:rPr>
              <w:bCs/>
            </w:rPr>
            <w:instrText xml:space="preserve"> HYPERLINK \l _Toc16133 </w:instrText>
          </w:r>
          <w:r>
            <w:rPr>
              <w:bCs/>
            </w:rPr>
            <w:fldChar w:fldCharType="separate"/>
          </w:r>
          <w:r>
            <w:rPr>
              <w:rFonts w:hint="eastAsia" w:ascii="楷体" w:hAnsi="楷体" w:eastAsia="楷体"/>
              <w:szCs w:val="24"/>
            </w:rPr>
            <w:t>镍：预计镍价弱势难改</w:t>
          </w:r>
          <w:r>
            <w:rPr>
              <w:bCs/>
            </w:rPr>
            <w:fldChar w:fldCharType="end"/>
          </w:r>
        </w:p>
        <w:p>
          <w:pPr>
            <w:pStyle w:val="74"/>
            <w:tabs>
              <w:tab w:val="right" w:leader="dot" w:pos="8306"/>
            </w:tabs>
          </w:pPr>
          <w:r>
            <w:rPr>
              <w:bCs/>
            </w:rPr>
            <w:fldChar w:fldCharType="begin"/>
          </w:r>
          <w:r>
            <w:rPr>
              <w:bCs/>
            </w:rPr>
            <w:instrText xml:space="preserve"> HYPERLINK \l _Toc1903 </w:instrText>
          </w:r>
          <w:r>
            <w:rPr>
              <w:bCs/>
            </w:rPr>
            <w:fldChar w:fldCharType="separate"/>
          </w:r>
          <w:r>
            <w:rPr>
              <w:rFonts w:hint="eastAsia" w:ascii="楷体" w:hAnsi="楷体" w:eastAsia="楷体"/>
              <w:szCs w:val="24"/>
            </w:rPr>
            <w:t>不锈钢：存在累库预期，不锈钢价格承压运行</w:t>
          </w:r>
          <w:r>
            <w:rPr>
              <w:bCs/>
            </w:rPr>
            <w:fldChar w:fldCharType="end"/>
          </w:r>
        </w:p>
        <w:p>
          <w:pPr>
            <w:pStyle w:val="74"/>
            <w:tabs>
              <w:tab w:val="right" w:leader="dot" w:pos="8306"/>
            </w:tabs>
          </w:pPr>
          <w:r>
            <w:rPr>
              <w:bCs/>
            </w:rPr>
            <w:fldChar w:fldCharType="begin"/>
          </w:r>
          <w:r>
            <w:rPr>
              <w:bCs/>
            </w:rPr>
            <w:instrText xml:space="preserve"> HYPERLINK \l _Toc18355 </w:instrText>
          </w:r>
          <w:r>
            <w:rPr>
              <w:bCs/>
            </w:rPr>
            <w:fldChar w:fldCharType="separate"/>
          </w:r>
          <w:r>
            <w:rPr>
              <w:rFonts w:hint="eastAsia" w:ascii="楷体" w:hAnsi="楷体" w:eastAsia="楷体"/>
              <w:szCs w:val="24"/>
            </w:rPr>
            <w:t>工业硅：供应收缩预期下，盘面下行或有限</w:t>
          </w:r>
          <w:r>
            <w:rPr>
              <w:bCs/>
            </w:rPr>
            <w:fldChar w:fldCharType="end"/>
          </w:r>
        </w:p>
        <w:p>
          <w:pPr>
            <w:pStyle w:val="59"/>
            <w:tabs>
              <w:tab w:val="right" w:leader="dot" w:pos="8306"/>
            </w:tabs>
          </w:pPr>
          <w:r>
            <w:rPr>
              <w:bCs/>
            </w:rPr>
            <w:fldChar w:fldCharType="begin"/>
          </w:r>
          <w:r>
            <w:rPr>
              <w:bCs/>
            </w:rPr>
            <w:instrText xml:space="preserve"> HYPERLINK \l _Toc13005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_Toc17534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下游需求有所转弱 短期RU或仍有回落风险</w:t>
          </w:r>
          <w:r>
            <w:rPr>
              <w:bCs/>
            </w:rPr>
            <w:fldChar w:fldCharType="end"/>
          </w:r>
        </w:p>
        <w:p>
          <w:pPr>
            <w:pStyle w:val="74"/>
            <w:tabs>
              <w:tab w:val="right" w:leader="dot" w:pos="8306"/>
            </w:tabs>
          </w:pPr>
          <w:r>
            <w:rPr>
              <w:bCs/>
            </w:rPr>
            <w:fldChar w:fldCharType="begin"/>
          </w:r>
          <w:r>
            <w:rPr>
              <w:bCs/>
            </w:rPr>
            <w:instrText xml:space="preserve"> HYPERLINK \l _Toc21089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短线跟随成本端回落</w:t>
          </w:r>
          <w:r>
            <w:rPr>
              <w:bCs/>
            </w:rPr>
            <w:fldChar w:fldCharType="end"/>
          </w:r>
        </w:p>
        <w:p>
          <w:pPr>
            <w:pStyle w:val="74"/>
            <w:tabs>
              <w:tab w:val="right" w:leader="dot" w:pos="8306"/>
            </w:tabs>
          </w:pPr>
          <w:r>
            <w:rPr>
              <w:bCs/>
            </w:rPr>
            <w:fldChar w:fldCharType="begin"/>
          </w:r>
          <w:r>
            <w:rPr>
              <w:bCs/>
            </w:rPr>
            <w:instrText xml:space="preserve"> HYPERLINK \l _Toc27656 </w:instrText>
          </w:r>
          <w:r>
            <w:rPr>
              <w:bCs/>
            </w:rPr>
            <w:fldChar w:fldCharType="separate"/>
          </w:r>
          <w:r>
            <w:rPr>
              <w:rFonts w:hint="eastAsia" w:ascii="楷体" w:hAnsi="楷体" w:eastAsia="楷体"/>
              <w:szCs w:val="24"/>
            </w:rPr>
            <w:t>聚烯烃：成本与需求均难言乐观 聚烯烃今日或低位震荡</w:t>
          </w:r>
          <w:r>
            <w:rPr>
              <w:bCs/>
            </w:rPr>
            <w:fldChar w:fldCharType="end"/>
          </w:r>
        </w:p>
        <w:p>
          <w:pPr>
            <w:pStyle w:val="74"/>
            <w:tabs>
              <w:tab w:val="right" w:leader="dot" w:pos="8306"/>
            </w:tabs>
          </w:pPr>
          <w:r>
            <w:rPr>
              <w:bCs/>
            </w:rPr>
            <w:fldChar w:fldCharType="begin"/>
          </w:r>
          <w:r>
            <w:rPr>
              <w:bCs/>
            </w:rPr>
            <w:instrText xml:space="preserve"> HYPERLINK \l _Toc28818 </w:instrText>
          </w:r>
          <w:r>
            <w:rPr>
              <w:bCs/>
            </w:rPr>
            <w:fldChar w:fldCharType="separate"/>
          </w:r>
          <w:r>
            <w:rPr>
              <w:rFonts w:hint="eastAsia" w:ascii="楷体" w:hAnsi="楷体" w:eastAsia="楷体"/>
              <w:szCs w:val="24"/>
            </w:rPr>
            <w:t>MEG：供应缩减预期 乙二醇短期震荡偏强</w:t>
          </w:r>
          <w:r>
            <w:rPr>
              <w:bCs/>
            </w:rPr>
            <w:fldChar w:fldCharType="end"/>
          </w:r>
        </w:p>
        <w:p>
          <w:pPr>
            <w:pStyle w:val="74"/>
            <w:tabs>
              <w:tab w:val="right" w:leader="dot" w:pos="8306"/>
            </w:tabs>
          </w:pPr>
          <w:r>
            <w:rPr>
              <w:bCs/>
            </w:rPr>
            <w:fldChar w:fldCharType="begin"/>
          </w:r>
          <w:r>
            <w:rPr>
              <w:bCs/>
            </w:rPr>
            <w:instrText xml:space="preserve"> HYPERLINK \l _Toc23588 </w:instrText>
          </w:r>
          <w:r>
            <w:rPr>
              <w:bCs/>
            </w:rPr>
            <w:fldChar w:fldCharType="separate"/>
          </w:r>
          <w:r>
            <w:rPr>
              <w:rFonts w:hint="eastAsia" w:ascii="楷体" w:hAnsi="楷体" w:eastAsia="楷体"/>
              <w:szCs w:val="24"/>
            </w:rPr>
            <w:t>玻璃：原片厂挺价，下游开始验证冬储补库行情</w:t>
          </w:r>
          <w:r>
            <w:rPr>
              <w:bCs/>
            </w:rPr>
            <w:fldChar w:fldCharType="end"/>
          </w:r>
        </w:p>
        <w:p>
          <w:pPr>
            <w:pStyle w:val="74"/>
            <w:tabs>
              <w:tab w:val="right" w:leader="dot" w:pos="8306"/>
            </w:tabs>
          </w:pPr>
          <w:r>
            <w:rPr>
              <w:bCs/>
            </w:rPr>
            <w:fldChar w:fldCharType="begin"/>
          </w:r>
          <w:r>
            <w:rPr>
              <w:bCs/>
            </w:rPr>
            <w:instrText xml:space="preserve"> HYPERLINK \l _Toc9419 </w:instrText>
          </w:r>
          <w:r>
            <w:rPr>
              <w:bCs/>
            </w:rPr>
            <w:fldChar w:fldCharType="separate"/>
          </w:r>
          <w:r>
            <w:rPr>
              <w:rFonts w:hint="eastAsia" w:ascii="楷体" w:hAnsi="楷体" w:eastAsia="楷体"/>
              <w:szCs w:val="24"/>
            </w:rPr>
            <w:t>纯碱：进口碱陆续到港，供给压力开始显现</w:t>
          </w:r>
          <w:r>
            <w:rPr>
              <w:bCs/>
            </w:rPr>
            <w:fldChar w:fldCharType="end"/>
          </w:r>
        </w:p>
        <w:p>
          <w:pPr>
            <w:pStyle w:val="59"/>
            <w:tabs>
              <w:tab w:val="right" w:leader="dot" w:pos="8306"/>
            </w:tabs>
          </w:pPr>
          <w:r>
            <w:rPr>
              <w:bCs/>
            </w:rPr>
            <w:fldChar w:fldCharType="begin"/>
          </w:r>
          <w:r>
            <w:rPr>
              <w:bCs/>
            </w:rPr>
            <w:instrText xml:space="preserve"> HYPERLINK \l _Toc1008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_Toc27044 </w:instrText>
          </w:r>
          <w:r>
            <w:rPr>
              <w:bCs/>
            </w:rPr>
            <w:fldChar w:fldCharType="separate"/>
          </w:r>
          <w:r>
            <w:rPr>
              <w:rFonts w:hint="eastAsia" w:ascii="楷体" w:hAnsi="楷体" w:eastAsia="楷体"/>
              <w:szCs w:val="24"/>
            </w:rPr>
            <w:t>豆粕/菜粕：丰产压力下，期现价格偏弱运行</w:t>
          </w:r>
          <w:r>
            <w:rPr>
              <w:bCs/>
            </w:rPr>
            <w:fldChar w:fldCharType="end"/>
          </w:r>
        </w:p>
        <w:p>
          <w:pPr>
            <w:pStyle w:val="74"/>
            <w:tabs>
              <w:tab w:val="right" w:leader="dot" w:pos="8306"/>
            </w:tabs>
          </w:pPr>
          <w:r>
            <w:rPr>
              <w:bCs/>
            </w:rPr>
            <w:fldChar w:fldCharType="begin"/>
          </w:r>
          <w:r>
            <w:rPr>
              <w:bCs/>
            </w:rPr>
            <w:instrText xml:space="preserve"> HYPERLINK \l _Toc25544 </w:instrText>
          </w:r>
          <w:r>
            <w:rPr>
              <w:bCs/>
            </w:rPr>
            <w:fldChar w:fldCharType="separate"/>
          </w:r>
          <w:r>
            <w:rPr>
              <w:rFonts w:hint="eastAsia" w:ascii="楷体" w:hAnsi="楷体" w:eastAsia="楷体"/>
              <w:szCs w:val="24"/>
            </w:rPr>
            <w:t>油脂：止跌企稳，关注MPOB报告</w:t>
          </w:r>
          <w:r>
            <w:rPr>
              <w:bCs/>
            </w:rPr>
            <w:fldChar w:fldCharType="end"/>
          </w:r>
        </w:p>
        <w:p>
          <w:pPr>
            <w:pStyle w:val="74"/>
            <w:tabs>
              <w:tab w:val="right" w:leader="dot" w:pos="8306"/>
            </w:tabs>
          </w:pPr>
          <w:r>
            <w:rPr>
              <w:bCs/>
            </w:rPr>
            <w:fldChar w:fldCharType="begin"/>
          </w:r>
          <w:r>
            <w:rPr>
              <w:bCs/>
            </w:rPr>
            <w:instrText xml:space="preserve"> HYPERLINK \l _Toc5518 </w:instrText>
          </w:r>
          <w:r>
            <w:rPr>
              <w:bCs/>
            </w:rPr>
            <w:fldChar w:fldCharType="separate"/>
          </w:r>
          <w:r>
            <w:rPr>
              <w:rFonts w:hint="eastAsia" w:ascii="楷体" w:hAnsi="楷体" w:eastAsia="楷体"/>
              <w:bCs/>
            </w:rPr>
            <w:t>玉米与淀粉：</w:t>
          </w:r>
          <w:r>
            <w:rPr>
              <w:rFonts w:hint="eastAsia" w:ascii="楷体" w:hAnsi="楷体" w:eastAsia="楷体"/>
            </w:rPr>
            <w:t>期价日内震荡</w:t>
          </w:r>
          <w:r>
            <w:rPr>
              <w:bCs/>
            </w:rPr>
            <w:fldChar w:fldCharType="end"/>
          </w:r>
        </w:p>
        <w:p>
          <w:pPr>
            <w:pStyle w:val="74"/>
            <w:tabs>
              <w:tab w:val="right" w:leader="dot" w:pos="8306"/>
            </w:tabs>
          </w:pPr>
          <w:r>
            <w:rPr>
              <w:bCs/>
            </w:rPr>
            <w:fldChar w:fldCharType="begin"/>
          </w:r>
          <w:r>
            <w:rPr>
              <w:bCs/>
            </w:rPr>
            <w:instrText xml:space="preserve"> HYPERLINK \l _Toc31196 </w:instrText>
          </w:r>
          <w:r>
            <w:rPr>
              <w:bCs/>
            </w:rPr>
            <w:fldChar w:fldCharType="separate"/>
          </w:r>
          <w:r>
            <w:rPr>
              <w:rFonts w:hint="eastAsia" w:ascii="楷体" w:hAnsi="楷体" w:eastAsia="楷体"/>
              <w:bCs/>
            </w:rPr>
            <w:t>畜禽养殖：鸡蛋期价近弱远强分化运行</w:t>
          </w:r>
          <w:r>
            <w:rPr>
              <w:bCs/>
            </w:rPr>
            <w:fldChar w:fldCharType="end"/>
          </w:r>
        </w:p>
        <w:p>
          <w:pPr>
            <w:pStyle w:val="59"/>
            <w:tabs>
              <w:tab w:val="right" w:leader="dot" w:pos="8306"/>
            </w:tabs>
          </w:pPr>
          <w:r>
            <w:rPr>
              <w:bCs/>
            </w:rPr>
            <w:fldChar w:fldCharType="begin"/>
          </w:r>
          <w:r>
            <w:rPr>
              <w:bCs/>
            </w:rPr>
            <w:instrText xml:space="preserve"> HYPERLINK \l _Toc4489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_Toc10348 </w:instrText>
          </w:r>
          <w:r>
            <w:rPr>
              <w:bCs/>
            </w:rPr>
            <w:fldChar w:fldCharType="separate"/>
          </w:r>
          <w:r>
            <w:rPr>
              <w:rFonts w:hint="eastAsia" w:ascii="Times New Roman" w:hAnsi="Times New Roman" w:eastAsia="楷体"/>
              <w:szCs w:val="24"/>
            </w:rPr>
            <w:t>集运指数（欧线）：各大船司决心绕行后传出“与胡塞达协议”为局势降温，市场或进入宽幅震荡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77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32286"/>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短线市场或继续磨底，中线可考虑正左侧逢低轻仓布局IM多单</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当前各宽基指数较为充分反映当前市场悲观预期，后市进一步大跌风险有限，同时隐含风险溢价、股债性价比 等长期关键指标都表明，A股底部信号已经出现，但估值便宜的背后，也体现了资金对上市企业成长性的质疑，外需明显修复之前，市场反弹更依赖于政策层面的催化以及信心层面的提升。1月政策空间是最大的预期差，现阶段除降准降息政策之外，政策工具箱释放的节奏有序，PSL的重启，年初地方债前置，但弱信贷需求或约束政策效率。短线市场或继续磨底，中线可考虑正左侧逢低轻仓布局IM多单。</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144"/>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9035"/>
      <w:r>
        <w:rPr>
          <w:rFonts w:hint="eastAsia" w:ascii="Times New Roman" w:hAnsi="Times New Roman" w:eastAsia="楷体"/>
          <w:b/>
          <w:color w:val="000000" w:themeColor="text1"/>
          <w:sz w:val="24"/>
          <w:szCs w:val="24"/>
          <w14:textFill>
            <w14:solidFill>
              <w14:schemeClr w14:val="tx1"/>
            </w14:solidFill>
          </w14:textFill>
        </w:rPr>
        <w:t>贵金属：机构下调全球GDP增速预测，贵金属价格窄幅震荡</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0.22%至102.51，美十债收益率跌1.3bp至4.02%。沪金涨0.02%，沪银跌0.22%。世界银行发布《世界经济展望报告》，预计2024年全球GDP增长2.4%，较去年时的预测值2.6%有所下降；将2025年全球GDP增速预测从3%下调至2.7%。欧元区2023年11月失业率为6.4%，预期及前值均为6.5%。美联储理事鲍曼表示，若利率维持在当前水平，通胀可能朝向2%的目标下降。美联储博斯蒂克表示，预计美联储将在第三季度进行首次降息；目前的缩表速度适中；在今年年底前两次降息25个基点是合适的；政策在年底仍需保持紧缩，但通胀进展将支持降息。海外市场将继续根据经济数据公布情况调整对于美联储的降息预期，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25311"/>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31465"/>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碳酸锂：海外锂矿暂停开采但影响相对较小，期价小幅上涨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现货价格小幅下跌，期价低开高走小幅收涨，07合约涨0.56%至98950元/吨。月初澳洲Core Lithium暂停Finniss锂项目采矿作业，对现有矿石库存选矿并交付锂精矿产品，因项目本身约8万吨锂精矿的年产量相对较小，采矿作业暂停预计影响相对较小。近期进口锂辉石均价下跌，前期期价向下修复回归至矿石提锂成本附近，收购工碳加工后参与交割的套利空间收窄。后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8073"/>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26432"/>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15784"/>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9719"/>
      <w:bookmarkStart w:id="24" w:name="_Toc25617"/>
      <w:bookmarkStart w:id="25" w:name="_Toc1755"/>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高位承压运行，关注美国CPI</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(1)库存：1月9日，SHFE仓单库存2380吨，增1000吨；LME仓单库存160550吨，减1175吨。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(2)精废价差：1月9日，Mysteel精废价差2090，扩张200。目前价差在合理价差1389之上。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劳动力市场仍保持韧性，降息条件或仍不充分，短期美元指数难以趋势性走跌，或在100-105之间区间震荡为主，美欧中制造业PMI数据均维持疲弱态势，铜价上方空间仍被限制。基本面，海外保持深度贴水，国内下游伴随价格走低节前补库需求增加，现货维持升水结构，低库存仍有支撑，预计短期CU2402主波动区间参考67800-68800。关注本周四晚9:30美国12月CPI数据公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6247"/>
      <w:bookmarkStart w:id="27" w:name="_Toc8897"/>
      <w:bookmarkStart w:id="28" w:name="_Toc17460"/>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铝价区间高位震荡运行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降息态度摇摆，高利率环境短期难以改变，海外地缘政治冲突持续，观国内，制造业PMI数据景气度下降，央行重启PSL释放积极信号。红海海运紧张情绪缓解，氧化铝价格大幅走跌，电解铝价格同步趋弱但下方支撑明显强于氧化铝，国内电解铝供应运行平稳，短期暂无大型增减产，行业铸锭率上升，铝棒库存小幅累积，铝锭社会库存累库，终端需求临近大型假期提振乏力。宏观情绪整体偏弱，基本面上看，上游短缺市场情绪走弱，电解铝供应保持稳定，需求临近假期提振乏力，价格偏弱震荡，库存累库但低库存现状未明显改善，下方价格空间有限。</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1728"/>
      <w:r>
        <w:rPr>
          <w:rFonts w:hint="eastAsia" w:ascii="楷体" w:hAnsi="楷体" w:eastAsia="楷体"/>
          <w:b/>
          <w:color w:val="000000" w:themeColor="text1"/>
          <w:sz w:val="24"/>
          <w:szCs w:val="24"/>
          <w14:textFill>
            <w14:solidFill>
              <w14:schemeClr w14:val="tx1"/>
            </w14:solidFill>
          </w14:textFill>
        </w:rPr>
        <w:t>锌：锌价上方压力仍存</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宏观情绪偏弱，近期国内部分冶炼厂减产，供应端有所承压，进口窗口在开启边缘，后续进口锌锭仍有流入可能，下游消费淡季，开工率情况走弱，沪锌价格上行压力仍存。</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6133"/>
      <w:r>
        <w:rPr>
          <w:rFonts w:hint="eastAsia" w:ascii="楷体" w:hAnsi="楷体" w:eastAsia="楷体"/>
          <w:b/>
          <w:color w:val="000000" w:themeColor="text1"/>
          <w:sz w:val="24"/>
          <w:szCs w:val="24"/>
          <w14:textFill>
            <w14:solidFill>
              <w14:schemeClr w14:val="tx1"/>
            </w14:solidFill>
          </w14:textFill>
        </w:rPr>
        <w:t>镍：预计镍价弱势难改</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金川镍现货偏紧，升水进一步上扬，且下游存在春节前补库情绪，国内镍社会库存降库，为镍价带来一定支撑。然而，美联储降息预期推迟，宏观情绪偏弱，关注明天公布的美国CPI数据。供应端，由于利润修复，精炼镍供应环比增加。需求端，镍整体需求维持疲弱。库存方面，虽然上周中国精炼镍社会库存减少1539吨至20141吨，但LME镍库存增幅达到23年来最高，昨天单日增加3558吨，对镍价带来明显压力。综合而言，虽现货成交有所好转，但镍仍处于供应过剩格局，加上LME镍显著累库，预计镍价弱势难改。</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903"/>
      <w:r>
        <w:rPr>
          <w:rFonts w:hint="eastAsia" w:ascii="楷体" w:hAnsi="楷体" w:eastAsia="楷体"/>
          <w:b/>
          <w:color w:val="000000" w:themeColor="text1"/>
          <w:sz w:val="24"/>
          <w:szCs w:val="24"/>
          <w14:textFill>
            <w14:solidFill>
              <w14:schemeClr w14:val="tx1"/>
            </w14:solidFill>
          </w14:textFill>
        </w:rPr>
        <w:t>不锈钢：存在累库预期，不锈钢价格承压运行</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不锈钢期价的支撑因素在于原料价格企稳回升及社会库存连续下降，然而，受美联储12月会议纪要偏鹰和美国12月ADP就业人数及非农就业人数高于预期的影响，宏观情绪转弱，不锈钢基本面也趋弱。具体来看，需求端，年底为不锈钢传统淡季，且存在资金回流压力，现货成交疲弱；供应端，不锈钢厂积极复产，在 1 月排产增加；库存端，不锈钢大量在途资源将到货，供需压力趋增，社库存在累库预期。综合而言，预计不锈钢价格承压运行。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1835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供应收缩预期下，盘面下行或有限</w:t>
      </w:r>
      <w:bookmarkEnd w:id="32"/>
    </w:p>
    <w:p>
      <w:pPr>
        <w:ind w:left="630" w:leftChars="300"/>
        <w:rPr>
          <w:rFonts w:ascii="楷体" w:hAnsi="楷体" w:eastAsia="楷体"/>
          <w:sz w:val="24"/>
          <w:szCs w:val="24"/>
        </w:rPr>
      </w:pPr>
      <w:r>
        <w:rPr>
          <w:rFonts w:hint="eastAsia" w:ascii="楷体" w:hAnsi="楷体" w:eastAsia="楷体"/>
          <w:sz w:val="24"/>
          <w:szCs w:val="24"/>
        </w:rPr>
        <w:t>1月9日，Si2402主力合约延续下行走势，收盘价13840元/吨，较上一收盘价涨跌幅-0.43%。从宏观面来看，国内宏观情绪转弱，工业品期货市场出现明显降温，工业硅也出现一定程度回调。从产业面来看，当前西南产区已处于开工相对低位，北方又存供应扰动暂未恢复，供应整体呈收缩趋势，预计盘面持续下行空间有限。但也要注意库存整体处于较高位置，且下游也未出现较大集中补库，盘面大幅上涨也存在压力。策略上，建议以波段操作为主，参考区间（13700，14500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13005"/>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1753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下游需求有所转弱 短期RU或仍有回落风险</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国内产区迎来冬季停割期，泰北部及越南进入落叶期，泰南部洪水炒作弱化，但原料价格高位导致工厂利润持续倒挂，胶价驱动有限。库存方面，国内社会库存回升，青岛深色胶即将呈现累库拐点，浅色库存同比去年上升。需求端来看，下游轮胎市场销量走低，工厂生产开工下滑进入淡季，需求牵制。整体看，随着海外减产落地及青岛仓库事件消化，市场情绪释放后趋于理性，短期价格驱动缺乏增量指引，胶价存震荡走弱预期。</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21089"/>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短线跟随成本端回落</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油方面，沙特大幅下调2月销往全球的原油贴水官价，反映出其对需求前景仍存担忧，中长期利空原油市场。短期油价多空博弈，维持震荡走势。PX方面，随着汽油库存累积调油逻辑弱化及广东石化260万吨装置复产，供应偏宽松。PTA方面，本周宁波逸盛和逸盛新材料装置装置负荷提升，逸盛海南PTA装置检修，至12.29 PTA装置负荷上涨至82%，环比+1.7%。本周聚酯装置检修有所增多，综合负荷有所下调。截至12.29，初步核算国内大陆地区聚酯负荷在89.2%。下游加弹织造企业多数集中在1月中下旬陆续放假，或带动下游开机率的集中走弱。后市来看，受高加工费下存量装置检修减少、新增产能投放产能增量及下游季节性走弱预期，1月PTA产量维持高增速，PTA累库预期仍存。PTA短期受成本走弱及供需累库预期驱动走弱。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7656"/>
      <w:r>
        <w:rPr>
          <w:rFonts w:hint="eastAsia" w:ascii="楷体" w:hAnsi="楷体" w:eastAsia="楷体"/>
          <w:b/>
          <w:color w:val="000000" w:themeColor="text1"/>
          <w:sz w:val="24"/>
          <w:szCs w:val="24"/>
          <w14:textFill>
            <w14:solidFill>
              <w14:schemeClr w14:val="tx1"/>
            </w14:solidFill>
          </w14:textFill>
        </w:rPr>
        <w:t>聚烯烃：成本与需求均难言乐观 聚烯烃今日或低位震荡</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权衡中东局势及需求前景担忧，且美国原油库存有下降趋势，国际油价上涨。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塑料板块整体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8818"/>
      <w:r>
        <w:rPr>
          <w:rFonts w:hint="eastAsia" w:ascii="楷体" w:hAnsi="楷体" w:eastAsia="楷体"/>
          <w:b/>
          <w:color w:val="000000" w:themeColor="text1"/>
          <w:sz w:val="24"/>
          <w:szCs w:val="24"/>
          <w14:textFill>
            <w14:solidFill>
              <w14:schemeClr w14:val="tx1"/>
            </w14:solidFill>
          </w14:textFill>
        </w:rPr>
        <w:t>MEG：供应缩减预期 乙二醇短期震荡偏强</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1.8华东主港地区MEG港口库存约103.8万吨附近，环比上期下降3.3万吨。截至12月28日，中国大陆地区乙二醇整体开工负荷在61.76%（+0.43%），其中草酸催化加氢法（合成气）制乙二醇开工负荷在58.19%（-1.02%）。 截至12月28日，国内大陆地区聚酯负荷在89.2%，节前聚酯开工高位维持。终端来看，江浙终端开工率维持，江浙加弹综合开工87%（+0%），江浙织机综合开工小幅下滑至77%（+0%），江浙印染综合开工下滑至74%（-1%）。综合来看，近期聚酯高开工维持，市场下调乙二醇2月之前进口、国产量及进口到港减少，预计1-2月乙二醇供需改善呈现紧平衡格局，供需格局转好驱动价格走势仍偏强。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3588"/>
      <w:r>
        <w:rPr>
          <w:rFonts w:hint="eastAsia" w:ascii="楷体" w:hAnsi="楷体" w:eastAsia="楷体"/>
          <w:b/>
          <w:color w:val="000000" w:themeColor="text1"/>
          <w:sz w:val="24"/>
          <w:szCs w:val="24"/>
          <w14:textFill>
            <w14:solidFill>
              <w14:schemeClr w14:val="tx1"/>
            </w14:solidFill>
          </w14:textFill>
        </w:rPr>
        <w:t>玻璃：原片厂挺价，下游开始验证冬储补库行情</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9日报道:今日浮法玻璃现货价格2027元/吨，较上一交易日+3元/吨。上周全国浮法玻璃日产量为17.37万吨，周环比持平。截至2024年1月4日，库存上，周内全国浮法玻璃样本企业总库存3225.5万重箱，环比+19.3万重箱，环比0.6%，小幅累库。需求端，南北差异较大，元旦假期沙河受北方玻璃供货冲击部分厂家降价或实行春节前保价销售策略，华北保价价格在1750-1820元/吨，华东有厂家保价价格1860元/吨;南方年底赶工，产销相对较好，南北价差较大，华中和华北发运利润尚可，原片厂联合挺价，以涨促销。盘面更多受宏观情绪和日度产销变化影响，月初期价涨至升水以后，期现商开始套利，带动现货补涨，但需求端下游分歧较大，原片厂开始提价刺激下游拿货，节前冬储补库开始验证，后市重点观察现货端下游购买意愿。操作上维持区间震荡行情判断，短线区间操作为主，主力参考区间(1800，2000)。</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9419"/>
      <w:r>
        <w:rPr>
          <w:rFonts w:hint="eastAsia" w:ascii="楷体" w:hAnsi="楷体" w:eastAsia="楷体"/>
          <w:b/>
          <w:color w:val="000000" w:themeColor="text1"/>
          <w:sz w:val="24"/>
          <w:szCs w:val="24"/>
          <w14:textFill>
            <w14:solidFill>
              <w14:schemeClr w14:val="tx1"/>
            </w14:solidFill>
          </w14:textFill>
        </w:rPr>
        <w:t>纯碱：进口碱陆续到港，供给压力开始显现</w:t>
      </w:r>
      <w:bookmarkEnd w:id="4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元旦之后纯碱现货价格持续下调。周内西北青海地区出厂价报价下调50元/吨，重碱报价2200元/吨(日环比-50元/吨):华北地区重碱最低出厂价2500-2600元/吨(周环比-200)，轻碱2300元/吨。供给方面，截至20240104，周内纯碱产量66.32万吨，涨幅1.97%，开工率</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85.19%，环比增加1.65%。周内纯碱厂家库存36.96万吨，环比+2.95万吨，涨幅8.67%，其中主要集中于轻质增加，重涨幅小。从库存结构上来看，节后山东地区环保产能开始恢复，远兴3线提负荷，产量开始抬升，进口碱陆续到港，2月进口价格在2020元/吨附近。需求端下游经过上个月补库以后采购积极性下降。盘面受现货走弱影响，震荡下跌。操作上高空为主。主力参考区间(1800，2000)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1008"/>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27044"/>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丰产压力下，期现价格偏弱运行</w:t>
      </w:r>
      <w:bookmarkEnd w:id="42"/>
    </w:p>
    <w:p>
      <w:pPr>
        <w:ind w:left="630" w:leftChars="300"/>
        <w:rPr>
          <w:rFonts w:ascii="楷体" w:hAnsi="楷体" w:eastAsia="楷体"/>
          <w:sz w:val="24"/>
          <w:szCs w:val="24"/>
        </w:rPr>
      </w:pPr>
      <w:r>
        <w:rPr>
          <w:rFonts w:hint="eastAsia" w:ascii="楷体" w:hAnsi="楷体" w:eastAsia="楷体"/>
          <w:sz w:val="24"/>
          <w:szCs w:val="24"/>
        </w:rPr>
        <w:t>在盘面跌至多年低点后，CBOT大豆期货在空头回补和技术性买盘的支持下反弹，内盘期价跌势放缓。当前市场定价中心集中在南美，巴西天气不确定性仍较大，虽种植进度落后于去年同期及五年均值水平，但在近期产区降水持续改善下，市场对其丰产预期回升，中长期南美丰产预期能否兑现仍是后续价格走势的关键，关注巴西后续天气及种植情况，现阶段天气扰动仍存。国内豆粕延续供强需弱格局，供应端进入11月份后，随着进口大豆到港增加，油厂大豆库存持续增加，但因下游需求疲软，油厂开机率较低，部分地区存胀库风险，豆粕库存较前一周增至84.86万吨，当前沿海主流油厂豆粕现货报价下调至3710-3750元/吨。但11月份进口大豆到港不及预期，为792万吨，叠加远月买船进度偏慢，远月供应端担忧仍存。需求，下游生猪养殖利润维持亏损，但在能繁存栏高位下，下游随采随用，保持安全库存，备货积极性不高。菜粕供应趋于宽松。在11月份后随着菜籽进口增加，菜粕供应转宽，目前菜籽库存以及油厂开机均有明显提升。而需求方面，随着水产消费旺季的结束，菜粕刚需减少，但在豆菜粕价差较大下提振菜粕的替代需求。策略方面，短期偏弱运行，建议豆粕短线逢高偏空操作，05暂看3100支撑，菜粕跟随豆粕偏弱运行，建议短线顺势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2554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止跌企稳，关注MPOB报告</w:t>
      </w:r>
      <w:bookmarkEnd w:id="43"/>
    </w:p>
    <w:p>
      <w:pPr>
        <w:ind w:left="630" w:leftChars="300"/>
        <w:rPr>
          <w:rFonts w:ascii="楷体" w:hAnsi="楷体" w:eastAsia="楷体"/>
          <w:sz w:val="24"/>
          <w:szCs w:val="24"/>
        </w:rPr>
      </w:pPr>
      <w:r>
        <w:rPr>
          <w:rFonts w:hint="eastAsia" w:ascii="楷体" w:hAnsi="楷体" w:eastAsia="楷体"/>
          <w:sz w:val="24"/>
          <w:szCs w:val="24"/>
        </w:rPr>
        <w:t>外部市场企稳反弹，市场预计马棕数据偏利多，对盘面带来支撑，关注今日报告落地，但当前油脂供需宽松格局尚未转变，期价反弹空间预计有限。棕榈油，产地11月份进入季节性减产周期，库存压力逐步释放，且在出口环比降低以及天气异常情况尚不明朗下，马盘价格偏弱震荡为主，短期关注MPOB报告。印尼棕榈油10月份产需双增，但产量增幅不及需求，库存继续下降。而马棕11月份产需双降，因产量降幅略高于预期，库存降幅环比达1.09%，市场担忧供应减少带动库存下滑，但当前供需矛盾尚未出现，预计12月库存降幅有限。国内棕榈油9-11月份进口到港维持高位，但在高库存抑制下月度进口环比下滑，最新商业库存减至87.4万吨，仍处于同期高位。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趋于宽松。需求方面，与豆油价差持续收窄，部分地区出现低于豆油价格的情况，下游采购需求较好，后续春节前备货也将陆续启动。短期油脂预计反弹空间有限，暂缺乏单边驱动，建议波段操作；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551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期价日内震荡</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在前期国储暂停进口拍卖并启动产区收购带动期现货反弹之后，市场预期依然悲观，现货市场余粮压力继续施压，华北产区现货持续弱势并不断创出新低，带动期价回落调整。在这种情况下，市场尚需要等待供需的边际改善，即市场供需博弈的变动，建议重点关注政策粮收购、农户售粮心态、中下游特别是饲料养殖企业备货积极性。综上所述，我们暂持中性观点，后期或转向看多，建议谨慎投资者观望，激进投资者投资者可尝试以前低作为止损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变量持续变化，现货基差支撑依然存在，副产品继续下跌，行业供需近期改善，原料成本则相对偏空，除了绝对价格之外还有华北-东北玉米价差。考虑到盘面生产利润转负，淀粉-玉米价差短期难以收窄，但与此同时，产能格局或抑制其上方空间。在这种情况下，我们暂持中性观点，后期或转向看多，单边建议暂以观望为宜，激进投资者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31196"/>
      <w:r>
        <w:rPr>
          <w:rFonts w:hint="eastAsia" w:ascii="楷体" w:hAnsi="楷体" w:eastAsia="楷体"/>
          <w:b/>
          <w:bCs/>
          <w:color w:val="000000" w:themeColor="text1"/>
          <w14:textFill>
            <w14:solidFill>
              <w14:schemeClr w14:val="tx1"/>
            </w14:solidFill>
          </w14:textFill>
        </w:rPr>
        <w:t>畜禽养殖：鸡蛋期价近弱远强分化运行</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使得猪价表现难言乐观。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养殖户补栏和淘汰积极性的变化，随着鸡蛋现货价格的下跌，蛋鸡养殖利润亦随之下滑，近期养殖户淘汰积极性有所抬头。短期则需要留意季节性因素，节前重点留意需求端的表现。从大方向来看，我们维持谨慎看空观点，但春节前或存在短期季节性需求的支撑，期价或转为震荡调整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4489"/>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10348"/>
      <w:r>
        <w:rPr>
          <w:rFonts w:hint="eastAsia" w:ascii="Times New Roman" w:hAnsi="Times New Roman" w:eastAsia="楷体"/>
          <w:b/>
          <w:color w:val="000000" w:themeColor="text1"/>
          <w:sz w:val="24"/>
          <w:szCs w:val="24"/>
          <w14:textFill>
            <w14:solidFill>
              <w14:schemeClr w14:val="tx1"/>
            </w14:solidFill>
          </w14:textFill>
        </w:rPr>
        <w:t>集运指数（欧线）：各大船司决心绕行后传出“与胡塞达协议”为局势降温，市场或进入宽幅震荡</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昨日集运指数（欧线）所有合约跌停，跌幅均为20%。</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自12月中旬红海局势升级以来，经过该航线的商船不断传出被袭击的消息，主要发起袭击者为也门的胡塞武装。因此许多船被迫绕道好望角，比平时多航行数千英里，从而限制了能够运载货物的船只数量，保守估计成本增加30%以上，并对供应链造成连锁冲击。然而据丹麦媒体ShippingWatch周一报道称，一些世界顶级航运公司现在已经与也门胡塞武装达成协议，允许其船只安全地通过红海这一世界重要航道。据悉，胡塞武装的要求是，航运公司必须保证不运载以色列货物，也不停靠以色列港口，并且需要主动作出声明。该消息除了导致集运指数期货下跌以外，航运公司的股价也有不同程度的下挫。但到目前为止，马士基与和赫伯罗特均否认其有与胡塞武装达成协议。</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即期运价方面，2024年1月8日公布SCFIS欧线数据为2098点，较上周涨70%。1月5日，SCFI欧线数据为2871美元/TEU，涨6.57%，相较于此前涨幅有所收窄。指示未来一周订舱价格涨幅开始趋缓。</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长期来看，后续运价逐步回归供需基本面。短期来看，局势降温消息引致多头集体离场观望，但供应链负面影响因素仍在，期货市场或进入宽幅动荡期，建议投资者谨慎关注。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12779"/>
      <w:bookmarkStart w:id="49" w:name="_Toc71212556"/>
      <w:bookmarkStart w:id="50" w:name="_Toc98426751"/>
      <w:bookmarkStart w:id="51" w:name="_Toc72481108"/>
      <w:bookmarkStart w:id="52" w:name="_Toc19667"/>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2024年1月10日星期三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DE660D"/>
    <w:rsid w:val="0D032A7C"/>
    <w:rsid w:val="0F662138"/>
    <w:rsid w:val="0FF35275"/>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2951C0D"/>
    <w:rsid w:val="340E7198"/>
    <w:rsid w:val="34A75784"/>
    <w:rsid w:val="373F75CC"/>
    <w:rsid w:val="38F320AA"/>
    <w:rsid w:val="399D40A5"/>
    <w:rsid w:val="3A2F6D68"/>
    <w:rsid w:val="3AC9385E"/>
    <w:rsid w:val="3B3306F0"/>
    <w:rsid w:val="3B563B4D"/>
    <w:rsid w:val="3C2825B0"/>
    <w:rsid w:val="3C2B26B7"/>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042686"/>
    <w:rsid w:val="58246D5D"/>
    <w:rsid w:val="59151C86"/>
    <w:rsid w:val="59C52328"/>
    <w:rsid w:val="5B906095"/>
    <w:rsid w:val="5BF60A75"/>
    <w:rsid w:val="5C9F2D01"/>
    <w:rsid w:val="5D5617A6"/>
    <w:rsid w:val="5EA23F15"/>
    <w:rsid w:val="5EA7685B"/>
    <w:rsid w:val="619A2BBF"/>
    <w:rsid w:val="61DF02D0"/>
    <w:rsid w:val="62710E5F"/>
    <w:rsid w:val="63FF1EA7"/>
    <w:rsid w:val="64C32497"/>
    <w:rsid w:val="66D04BBC"/>
    <w:rsid w:val="67C6389B"/>
    <w:rsid w:val="685D4EEE"/>
    <w:rsid w:val="68D53E8D"/>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2024-01-10T03:21:33Z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