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_Toc21528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_Toc31366 </w:instrText>
          </w:r>
          <w:r>
            <w:rPr>
              <w:bCs/>
            </w:rPr>
            <w:fldChar w:fldCharType="separate"/>
          </w:r>
          <w:r>
            <w:rPr>
              <w:rFonts w:hint="eastAsia" w:ascii="Times New Roman" w:hAnsi="Times New Roman" w:eastAsia="楷体"/>
              <w:szCs w:val="24"/>
            </w:rPr>
            <w:t>股指：左侧逢低轻仓布局IM多单</w:t>
          </w:r>
          <w:r>
            <w:rPr>
              <w:bCs/>
            </w:rPr>
            <w:fldChar w:fldCharType="end"/>
          </w:r>
        </w:p>
        <w:p>
          <w:pPr>
            <w:pStyle w:val="59"/>
            <w:tabs>
              <w:tab w:val="right" w:leader="dot" w:pos="8306"/>
            </w:tabs>
          </w:pPr>
          <w:r>
            <w:rPr>
              <w:bCs/>
            </w:rPr>
            <w:fldChar w:fldCharType="begin"/>
          </w:r>
          <w:r>
            <w:rPr>
              <w:bCs/>
            </w:rPr>
            <w:instrText xml:space="preserve"> HYPERLINK \l _Toc6673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_Toc12574 </w:instrText>
          </w:r>
          <w:r>
            <w:rPr>
              <w:bCs/>
            </w:rPr>
            <w:fldChar w:fldCharType="separate"/>
          </w:r>
          <w:r>
            <w:rPr>
              <w:rFonts w:hint="eastAsia" w:ascii="Times New Roman" w:hAnsi="Times New Roman" w:eastAsia="楷体"/>
              <w:szCs w:val="24"/>
            </w:rPr>
            <w:t>贵金属：美国非农就业数据超预期，贵金属价格小幅上涨</w:t>
          </w:r>
          <w:r>
            <w:rPr>
              <w:bCs/>
            </w:rPr>
            <w:fldChar w:fldCharType="end"/>
          </w:r>
        </w:p>
        <w:p>
          <w:pPr>
            <w:pStyle w:val="59"/>
            <w:tabs>
              <w:tab w:val="right" w:leader="dot" w:pos="8306"/>
            </w:tabs>
          </w:pPr>
          <w:r>
            <w:rPr>
              <w:bCs/>
            </w:rPr>
            <w:fldChar w:fldCharType="begin"/>
          </w:r>
          <w:r>
            <w:rPr>
              <w:bCs/>
            </w:rPr>
            <w:instrText xml:space="preserve"> HYPERLINK \l _Toc16474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_Toc13611 </w:instrText>
          </w:r>
          <w:r>
            <w:rPr>
              <w:bCs/>
            </w:rPr>
            <w:fldChar w:fldCharType="separate"/>
          </w:r>
          <w:r>
            <w:rPr>
              <w:rFonts w:hint="eastAsia" w:ascii="楷体" w:hAnsi="楷体" w:eastAsia="楷体"/>
              <w:szCs w:val="24"/>
            </w:rPr>
            <w:t>碳酸锂：工碳价格略微回升，期价下跌</w:t>
          </w:r>
          <w:r>
            <w:rPr>
              <w:bCs/>
            </w:rPr>
            <w:fldChar w:fldCharType="end"/>
          </w:r>
        </w:p>
        <w:p>
          <w:pPr>
            <w:pStyle w:val="74"/>
            <w:tabs>
              <w:tab w:val="right" w:leader="dot" w:pos="8306"/>
            </w:tabs>
          </w:pPr>
          <w:r>
            <w:rPr>
              <w:bCs/>
            </w:rPr>
            <w:fldChar w:fldCharType="begin"/>
          </w:r>
          <w:r>
            <w:rPr>
              <w:bCs/>
            </w:rPr>
            <w:instrText xml:space="preserve"> HYPERLINK \l _Toc20509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_Toc12358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_Toc25917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_Toc19634 </w:instrText>
          </w:r>
          <w:r>
            <w:rPr>
              <w:bCs/>
            </w:rPr>
            <w:fldChar w:fldCharType="separate"/>
          </w:r>
          <w:r>
            <w:rPr>
              <w:rFonts w:hint="eastAsia" w:ascii="楷体" w:hAnsi="楷体" w:eastAsia="楷体"/>
              <w:szCs w:val="24"/>
            </w:rPr>
            <w:t>铜：宏观利空显现，铜价高位承压运行</w:t>
          </w:r>
          <w:r>
            <w:rPr>
              <w:bCs/>
            </w:rPr>
            <w:fldChar w:fldCharType="end"/>
          </w:r>
        </w:p>
        <w:p>
          <w:pPr>
            <w:pStyle w:val="74"/>
            <w:tabs>
              <w:tab w:val="right" w:leader="dot" w:pos="8306"/>
            </w:tabs>
          </w:pPr>
          <w:r>
            <w:rPr>
              <w:bCs/>
            </w:rPr>
            <w:fldChar w:fldCharType="begin"/>
          </w:r>
          <w:r>
            <w:rPr>
              <w:bCs/>
            </w:rPr>
            <w:instrText xml:space="preserve"> HYPERLINK \l _Toc12084 </w:instrText>
          </w:r>
          <w:r>
            <w:rPr>
              <w:bCs/>
            </w:rPr>
            <w:fldChar w:fldCharType="separate"/>
          </w:r>
          <w:r>
            <w:rPr>
              <w:rFonts w:hint="eastAsia" w:ascii="楷体" w:hAnsi="楷体" w:eastAsia="楷体"/>
              <w:szCs w:val="24"/>
            </w:rPr>
            <w:t>铝：铝价承压回调</w:t>
          </w:r>
          <w:r>
            <w:rPr>
              <w:bCs/>
            </w:rPr>
            <w:fldChar w:fldCharType="end"/>
          </w:r>
        </w:p>
        <w:p>
          <w:pPr>
            <w:pStyle w:val="74"/>
            <w:tabs>
              <w:tab w:val="right" w:leader="dot" w:pos="8306"/>
            </w:tabs>
          </w:pPr>
          <w:r>
            <w:rPr>
              <w:bCs/>
            </w:rPr>
            <w:fldChar w:fldCharType="begin"/>
          </w:r>
          <w:r>
            <w:rPr>
              <w:bCs/>
            </w:rPr>
            <w:instrText xml:space="preserve"> HYPERLINK \l _Toc31036 </w:instrText>
          </w:r>
          <w:r>
            <w:rPr>
              <w:bCs/>
            </w:rPr>
            <w:fldChar w:fldCharType="separate"/>
          </w:r>
          <w:r>
            <w:rPr>
              <w:rFonts w:hint="eastAsia" w:ascii="楷体" w:hAnsi="楷体" w:eastAsia="楷体"/>
              <w:szCs w:val="24"/>
            </w:rPr>
            <w:t>锌：锌价偏弱震荡运行</w:t>
          </w:r>
          <w:r>
            <w:rPr>
              <w:bCs/>
            </w:rPr>
            <w:fldChar w:fldCharType="end"/>
          </w:r>
        </w:p>
        <w:p>
          <w:pPr>
            <w:pStyle w:val="74"/>
            <w:tabs>
              <w:tab w:val="right" w:leader="dot" w:pos="8306"/>
            </w:tabs>
          </w:pPr>
          <w:r>
            <w:rPr>
              <w:bCs/>
            </w:rPr>
            <w:fldChar w:fldCharType="begin"/>
          </w:r>
          <w:r>
            <w:rPr>
              <w:bCs/>
            </w:rPr>
            <w:instrText xml:space="preserve"> HYPERLINK \l _Toc20975 </w:instrText>
          </w:r>
          <w:r>
            <w:rPr>
              <w:bCs/>
            </w:rPr>
            <w:fldChar w:fldCharType="separate"/>
          </w:r>
          <w:r>
            <w:rPr>
              <w:rFonts w:hint="eastAsia" w:ascii="楷体" w:hAnsi="楷体" w:eastAsia="楷体"/>
              <w:szCs w:val="24"/>
            </w:rPr>
            <w:t>镍：宏观与基本面共振，预计镍价维持弱势</w:t>
          </w:r>
          <w:r>
            <w:rPr>
              <w:bCs/>
            </w:rPr>
            <w:fldChar w:fldCharType="end"/>
          </w:r>
        </w:p>
        <w:p>
          <w:pPr>
            <w:pStyle w:val="74"/>
            <w:tabs>
              <w:tab w:val="right" w:leader="dot" w:pos="8306"/>
            </w:tabs>
          </w:pPr>
          <w:r>
            <w:rPr>
              <w:bCs/>
            </w:rPr>
            <w:fldChar w:fldCharType="begin"/>
          </w:r>
          <w:r>
            <w:rPr>
              <w:bCs/>
            </w:rPr>
            <w:instrText xml:space="preserve"> HYPERLINK \l _Toc16674 </w:instrText>
          </w:r>
          <w:r>
            <w:rPr>
              <w:bCs/>
            </w:rPr>
            <w:fldChar w:fldCharType="separate"/>
          </w:r>
          <w:r>
            <w:rPr>
              <w:rFonts w:hint="eastAsia" w:ascii="楷体" w:hAnsi="楷体" w:eastAsia="楷体"/>
              <w:szCs w:val="24"/>
            </w:rPr>
            <w:t>不锈钢：基本面趋弱，不锈钢价格承压运行</w:t>
          </w:r>
          <w:r>
            <w:rPr>
              <w:bCs/>
            </w:rPr>
            <w:fldChar w:fldCharType="end"/>
          </w:r>
        </w:p>
        <w:p>
          <w:pPr>
            <w:pStyle w:val="74"/>
            <w:tabs>
              <w:tab w:val="right" w:leader="dot" w:pos="8306"/>
            </w:tabs>
          </w:pPr>
          <w:r>
            <w:rPr>
              <w:bCs/>
            </w:rPr>
            <w:fldChar w:fldCharType="begin"/>
          </w:r>
          <w:r>
            <w:rPr>
              <w:bCs/>
            </w:rPr>
            <w:instrText xml:space="preserve"> HYPERLINK \l _Toc28308 </w:instrText>
          </w:r>
          <w:r>
            <w:rPr>
              <w:bCs/>
            </w:rPr>
            <w:fldChar w:fldCharType="separate"/>
          </w:r>
          <w:r>
            <w:rPr>
              <w:rFonts w:hint="eastAsia" w:ascii="楷体" w:hAnsi="楷体" w:eastAsia="楷体"/>
              <w:szCs w:val="24"/>
            </w:rPr>
            <w:t>工业硅：供应扰动暂未恢复，盘面下行空间或有限</w:t>
          </w:r>
          <w:r>
            <w:rPr>
              <w:bCs/>
            </w:rPr>
            <w:fldChar w:fldCharType="end"/>
          </w:r>
        </w:p>
        <w:p>
          <w:pPr>
            <w:pStyle w:val="59"/>
            <w:tabs>
              <w:tab w:val="right" w:leader="dot" w:pos="8306"/>
            </w:tabs>
          </w:pPr>
          <w:r>
            <w:rPr>
              <w:bCs/>
            </w:rPr>
            <w:fldChar w:fldCharType="begin"/>
          </w:r>
          <w:r>
            <w:rPr>
              <w:bCs/>
            </w:rPr>
            <w:instrText xml:space="preserve"> HYPERLINK \l _Toc82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_Toc6986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下游需求有所转弱 短期RU或仍有回落风险</w:t>
          </w:r>
          <w:r>
            <w:rPr>
              <w:bCs/>
            </w:rPr>
            <w:fldChar w:fldCharType="end"/>
          </w:r>
        </w:p>
        <w:p>
          <w:pPr>
            <w:pStyle w:val="74"/>
            <w:tabs>
              <w:tab w:val="right" w:leader="dot" w:pos="8306"/>
            </w:tabs>
          </w:pPr>
          <w:r>
            <w:rPr>
              <w:bCs/>
            </w:rPr>
            <w:fldChar w:fldCharType="begin"/>
          </w:r>
          <w:r>
            <w:rPr>
              <w:bCs/>
            </w:rPr>
            <w:instrText xml:space="preserve"> HYPERLINK \l _Toc15996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_Toc2690 </w:instrText>
          </w:r>
          <w:r>
            <w:rPr>
              <w:bCs/>
            </w:rPr>
            <w:fldChar w:fldCharType="separate"/>
          </w:r>
          <w:r>
            <w:rPr>
              <w:rFonts w:hint="eastAsia" w:ascii="楷体" w:hAnsi="楷体" w:eastAsia="楷体"/>
              <w:szCs w:val="24"/>
            </w:rPr>
            <w:t>聚烯烃：供需偏宽松 聚烯烃今日或低位震荡</w:t>
          </w:r>
          <w:r>
            <w:rPr>
              <w:bCs/>
            </w:rPr>
            <w:fldChar w:fldCharType="end"/>
          </w:r>
        </w:p>
        <w:p>
          <w:pPr>
            <w:pStyle w:val="74"/>
            <w:tabs>
              <w:tab w:val="right" w:leader="dot" w:pos="8306"/>
            </w:tabs>
          </w:pPr>
          <w:r>
            <w:rPr>
              <w:bCs/>
            </w:rPr>
            <w:fldChar w:fldCharType="begin"/>
          </w:r>
          <w:r>
            <w:rPr>
              <w:bCs/>
            </w:rPr>
            <w:instrText xml:space="preserve"> HYPERLINK \l _Toc4042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_Toc25942 </w:instrText>
          </w:r>
          <w:r>
            <w:rPr>
              <w:bCs/>
            </w:rPr>
            <w:fldChar w:fldCharType="separate"/>
          </w:r>
          <w:r>
            <w:rPr>
              <w:rFonts w:hint="eastAsia" w:ascii="楷体" w:hAnsi="楷体" w:eastAsia="楷体"/>
              <w:szCs w:val="24"/>
            </w:rPr>
            <w:t>玻璃：期现商买现货抛盘面套利，震荡行情</w:t>
          </w:r>
          <w:r>
            <w:rPr>
              <w:bCs/>
            </w:rPr>
            <w:fldChar w:fldCharType="end"/>
          </w:r>
        </w:p>
        <w:p>
          <w:pPr>
            <w:pStyle w:val="74"/>
            <w:tabs>
              <w:tab w:val="right" w:leader="dot" w:pos="8306"/>
            </w:tabs>
          </w:pPr>
          <w:r>
            <w:rPr>
              <w:bCs/>
            </w:rPr>
            <w:fldChar w:fldCharType="begin"/>
          </w:r>
          <w:r>
            <w:rPr>
              <w:bCs/>
            </w:rPr>
            <w:instrText xml:space="preserve"> HYPERLINK \l _Toc4153 </w:instrText>
          </w:r>
          <w:r>
            <w:rPr>
              <w:bCs/>
            </w:rPr>
            <w:fldChar w:fldCharType="separate"/>
          </w:r>
          <w:r>
            <w:rPr>
              <w:rFonts w:hint="eastAsia" w:ascii="楷体" w:hAnsi="楷体" w:eastAsia="楷体"/>
              <w:szCs w:val="24"/>
            </w:rPr>
            <w:t>纯碱：价格重心继续下移，震荡走弱</w:t>
          </w:r>
          <w:r>
            <w:rPr>
              <w:bCs/>
            </w:rPr>
            <w:fldChar w:fldCharType="end"/>
          </w:r>
        </w:p>
        <w:p>
          <w:pPr>
            <w:pStyle w:val="59"/>
            <w:tabs>
              <w:tab w:val="right" w:leader="dot" w:pos="8306"/>
            </w:tabs>
          </w:pPr>
          <w:r>
            <w:rPr>
              <w:bCs/>
            </w:rPr>
            <w:fldChar w:fldCharType="begin"/>
          </w:r>
          <w:r>
            <w:rPr>
              <w:bCs/>
            </w:rPr>
            <w:instrText xml:space="preserve"> HYPERLINK \l _Toc14829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_Toc30444 </w:instrText>
          </w:r>
          <w:r>
            <w:rPr>
              <w:bCs/>
            </w:rPr>
            <w:fldChar w:fldCharType="separate"/>
          </w:r>
          <w:r>
            <w:rPr>
              <w:rFonts w:hint="eastAsia" w:ascii="楷体" w:hAnsi="楷体" w:eastAsia="楷体"/>
              <w:szCs w:val="24"/>
            </w:rPr>
            <w:t>豆粕/菜粕：基本面缺乏利好，期现价格走势偏弱</w:t>
          </w:r>
          <w:r>
            <w:rPr>
              <w:bCs/>
            </w:rPr>
            <w:fldChar w:fldCharType="end"/>
          </w:r>
        </w:p>
        <w:p>
          <w:pPr>
            <w:pStyle w:val="74"/>
            <w:tabs>
              <w:tab w:val="right" w:leader="dot" w:pos="8306"/>
            </w:tabs>
          </w:pPr>
          <w:r>
            <w:rPr>
              <w:bCs/>
            </w:rPr>
            <w:fldChar w:fldCharType="begin"/>
          </w:r>
          <w:r>
            <w:rPr>
              <w:bCs/>
            </w:rPr>
            <w:instrText xml:space="preserve"> HYPERLINK \l _Toc9743 </w:instrText>
          </w:r>
          <w:r>
            <w:rPr>
              <w:bCs/>
            </w:rPr>
            <w:fldChar w:fldCharType="separate"/>
          </w:r>
          <w:r>
            <w:rPr>
              <w:rFonts w:hint="eastAsia" w:ascii="楷体" w:hAnsi="楷体" w:eastAsia="楷体"/>
              <w:szCs w:val="24"/>
            </w:rPr>
            <w:t>油脂：基本面拐点尚未出现，期价偏弱震荡</w:t>
          </w:r>
          <w:r>
            <w:rPr>
              <w:bCs/>
            </w:rPr>
            <w:fldChar w:fldCharType="end"/>
          </w:r>
        </w:p>
        <w:p>
          <w:pPr>
            <w:pStyle w:val="74"/>
            <w:tabs>
              <w:tab w:val="right" w:leader="dot" w:pos="8306"/>
            </w:tabs>
          </w:pPr>
          <w:r>
            <w:rPr>
              <w:bCs/>
            </w:rPr>
            <w:fldChar w:fldCharType="begin"/>
          </w:r>
          <w:r>
            <w:rPr>
              <w:bCs/>
            </w:rPr>
            <w:instrText xml:space="preserve"> HYPERLINK \l _Toc26867 </w:instrText>
          </w:r>
          <w:r>
            <w:rPr>
              <w:bCs/>
            </w:rPr>
            <w:fldChar w:fldCharType="separate"/>
          </w:r>
          <w:r>
            <w:rPr>
              <w:rFonts w:hint="eastAsia" w:ascii="楷体" w:hAnsi="楷体" w:eastAsia="楷体"/>
              <w:bCs/>
            </w:rPr>
            <w:t>玉米与淀粉：</w:t>
          </w:r>
          <w:r>
            <w:rPr>
              <w:rFonts w:hint="eastAsia" w:ascii="楷体" w:hAnsi="楷体" w:eastAsia="楷体"/>
            </w:rPr>
            <w:t>期价偏弱震荡</w:t>
          </w:r>
          <w:r>
            <w:rPr>
              <w:bCs/>
            </w:rPr>
            <w:fldChar w:fldCharType="end"/>
          </w:r>
        </w:p>
        <w:p>
          <w:pPr>
            <w:pStyle w:val="74"/>
            <w:tabs>
              <w:tab w:val="right" w:leader="dot" w:pos="8306"/>
            </w:tabs>
          </w:pPr>
          <w:r>
            <w:rPr>
              <w:bCs/>
            </w:rPr>
            <w:fldChar w:fldCharType="begin"/>
          </w:r>
          <w:r>
            <w:rPr>
              <w:bCs/>
            </w:rPr>
            <w:instrText xml:space="preserve"> HYPERLINK \l _Toc26446 </w:instrText>
          </w:r>
          <w:r>
            <w:rPr>
              <w:bCs/>
            </w:rPr>
            <w:fldChar w:fldCharType="separate"/>
          </w:r>
          <w:r>
            <w:rPr>
              <w:rFonts w:hint="eastAsia" w:ascii="楷体" w:hAnsi="楷体" w:eastAsia="楷体"/>
              <w:bCs/>
            </w:rPr>
            <w:t>畜禽养殖：期价延续弱势</w:t>
          </w:r>
          <w:r>
            <w:rPr>
              <w:bCs/>
            </w:rPr>
            <w:fldChar w:fldCharType="end"/>
          </w:r>
        </w:p>
        <w:p>
          <w:pPr>
            <w:pStyle w:val="59"/>
            <w:tabs>
              <w:tab w:val="right" w:leader="dot" w:pos="8306"/>
            </w:tabs>
          </w:pPr>
          <w:r>
            <w:rPr>
              <w:bCs/>
            </w:rPr>
            <w:fldChar w:fldCharType="begin"/>
          </w:r>
          <w:r>
            <w:rPr>
              <w:bCs/>
            </w:rPr>
            <w:instrText xml:space="preserve"> HYPERLINK \l _Toc12118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_Toc1384 </w:instrText>
          </w:r>
          <w:r>
            <w:rPr>
              <w:bCs/>
            </w:rPr>
            <w:fldChar w:fldCharType="separate"/>
          </w:r>
          <w:r>
            <w:rPr>
              <w:rFonts w:hint="eastAsia" w:ascii="Times New Roman" w:hAnsi="Times New Roman" w:eastAsia="楷体"/>
              <w:szCs w:val="24"/>
            </w:rPr>
            <w:t>集运指数（欧线）：马士基预计所有船将绕行好望角，SCFI欧线数据继续上涨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152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136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左侧逢低轻仓布局IM多单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当前各宽基指数较为充分反映当前市场悲观预期，后市进一步大跌风险有限，同时隐含风险溢价、股债性价比 等长期关键指标都表明，A股底部信号已经出现。若伴随政策呵护信号发出，则有一定做多机会。PSL的重新推出，叠加资本市场改革，稳预期信号正持续释放，建议左侧逢低轻仓布局IM多单。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6673"/>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2574"/>
      <w:r>
        <w:rPr>
          <w:rFonts w:hint="eastAsia" w:ascii="Times New Roman" w:hAnsi="Times New Roman" w:eastAsia="楷体"/>
          <w:b/>
          <w:color w:val="000000" w:themeColor="text1"/>
          <w:sz w:val="24"/>
          <w:szCs w:val="24"/>
          <w14:textFill>
            <w14:solidFill>
              <w14:schemeClr w14:val="tx1"/>
            </w14:solidFill>
          </w14:textFill>
        </w:rPr>
        <w:t>贵金属：美国非农就业数据超预期，贵金属价格小幅上涨</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12月新增非农就业人数录得增21.6万人，较上月而言上升4.3万人，高于此前预期。沪金涨0.02%，沪银涨0.63%。美国失业率增3.7%，持平上月前值。美国12月ISM非制造业PMI大幅下跌至50.6，弱于预期的52.5和11月前值52.7，接近荣枯分界线；其中就业指数下降至43.3，为三年多以来新低，劳动力市场走弱。美国非农就业数据超预期表现一定程度上令降息预期有所降温，但服务业PMI数据就业分项指数大幅下跌，或提示美国服务业就业走弱迹象。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647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361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碳酸锂：工碳价格略微回升，期价下跌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现货价格持稳，工碳企业出货压力减轻，个别企业采购工碳加工为电碳后注册仓单。99.5%电池级碳酸锂均价下跌500元/吨至96500元/吨，环比下跌0.52%；99.2%工业级碳酸锂均价上涨1000元/吨至89000元/吨，环比上涨1.14%。据百川盈孚数据，截至上周碳酸锂工厂库存约30800吨，环比下降0.74%。01合约交割期间，符合交割条件的碳酸锂散单出售顺畅，市场询货量增加。近期进口锂辉石均价跌至约1000美元/吨，对应锂盐价格约9万元/吨，期价向下修复回归至矿石提锂成本附近。另外近期亦有部分生产企业复工，减停产幅度或暂不及预期。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050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12358"/>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591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9634"/>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宏观利空显现，铜价高位承压运行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(1)宏观：美国12月非农就业人数增加21.6万人，预估为增加17.5万人，前值为增加19.9万人。平均时薪同比增长4.1%，预估增长3.9%。12月失业率为3.7%，预期3.80%，前值3.70%。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(2)库存：1月5日，SHFE周库存33130吨，较上周五增2225吨；LME仓单库存163715吨，较上周五减3585吨。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(3)精废价差：1月5日，Mysteel精废价差1908，收窄136。目前价差在合理价差1389之上。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劳动力市场仍保持韧性，降息条件或仍不充分，短期美元指数难以趋势性走跌，或在100-105之间区间震荡为主，美欧中制造业PMI数据均维持疲弱态势，铜价上方空间仍被限制。基本面，临近国内春节长假，下游仍有一定补库需求，国内库存缓慢累增，供需面驱动不强，低库存仍有支撑，预计短期CU2402主波动区间参考67800-68800。关注美国12月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12084"/>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铝价承压回调</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就业数据超出市场预期，宏观情绪压制。铝土矿紧缺情况缓解，氧化铝价格快速下挫，带领电解铝价格回落前期主震荡区间，电解铝基本面来看，供应维持稳定，需求淡季叠加临近过年，有趋弱态势，但低库存现状仍存，价格走势或有小幅回调但下方空间不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31036"/>
      <w:r>
        <w:rPr>
          <w:rFonts w:hint="eastAsia" w:ascii="楷体" w:hAnsi="楷体" w:eastAsia="楷体"/>
          <w:b/>
          <w:color w:val="000000" w:themeColor="text1"/>
          <w:sz w:val="24"/>
          <w:szCs w:val="24"/>
          <w14:textFill>
            <w14:solidFill>
              <w14:schemeClr w14:val="tx1"/>
            </w14:solidFill>
          </w14:textFill>
        </w:rPr>
        <w:t>锌：锌价偏弱震荡运行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预期扰动，美国12月ADP就业数据高企，宏观情绪走弱。基本面来看，进口矿加工费TC下调较多，冶炼端利润进一步压缩，国内部分地区冶炼厂受限电和检修影响减产，精炼锌产量小幅回落，需求淡季叠加冬季寒冷影响 ，下游开工受限，社会库存小幅累积，供需两弱，锌价偏弱震荡运行。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0975"/>
      <w:r>
        <w:rPr>
          <w:rFonts w:hint="eastAsia" w:ascii="楷体" w:hAnsi="楷体" w:eastAsia="楷体"/>
          <w:b/>
          <w:color w:val="000000" w:themeColor="text1"/>
          <w:sz w:val="24"/>
          <w:szCs w:val="24"/>
          <w14:textFill>
            <w14:solidFill>
              <w14:schemeClr w14:val="tx1"/>
            </w14:solidFill>
          </w14:textFill>
        </w:rPr>
        <w:t>镍：宏观与基本面共振，预计镍价维持弱势</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纪要表态偏鹰，美国12月ADP就业人数及非农就业人数大超预期，美联储降息预期推迟，美元指数走强，施压有色金属。成本方面，据Mysteel数据，截至12月29日，一体化高冰镍生产电积镍的成本为118460元/吨，为镍价提供底部支撑。供应端，据Mysteel调研，2023年12月国内精炼镍总产量24560吨，环比增加8.94%，且2024年尚有10万吨产能新投或扩产。需求端，镍整体需求维持疲弱。库存方面，据Mysteel数据，上周中国精炼镍社会库存减少1539吨至20141吨，降幅7.10%，这主要是由于镍价走弱，下游春节前备库情绪有所提高；LME镍库存持续累库，对镍价带来明显压力。综合而言，宏观情绪边际转弱，镍元素全面过剩，库存趋势性累库，对镍价带来压力，但成本支撑下短期镍价继续深跌动能不足，预计镍价延续震荡偏弱筑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6674"/>
      <w:r>
        <w:rPr>
          <w:rFonts w:hint="eastAsia" w:ascii="楷体" w:hAnsi="楷体" w:eastAsia="楷体"/>
          <w:b/>
          <w:color w:val="000000" w:themeColor="text1"/>
          <w:sz w:val="24"/>
          <w:szCs w:val="24"/>
          <w14:textFill>
            <w14:solidFill>
              <w14:schemeClr w14:val="tx1"/>
            </w14:solidFill>
          </w14:textFill>
        </w:rPr>
        <w:t>不锈钢：基本面趋弱，不锈钢价格承压运行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美联储12月会议纪要表态偏鹰，美国12月ADP就业人数及非农就业人数大超预期，美联储降息预期推迟，施压有色金属。年底为不锈钢传统淡季，且年底存在资金回流压力，现货成交以刚需采购为主，预计 1 月下游需求偏淡。然而，供应存在增量，不锈钢厂积极复产，在 1 月排产增加。虽然上周不锈钢社库库存延续下降趋势，但降幅已收窄，往前看，不锈钢大量在途资源将到货，供需压力趋增，社库存在累库预期。综合而言，虽然镍铁价格企稳，社会库存维持去库，为不锈钢价提供一定支撑，但宏观情绪边际转弱，印尼钢厂爆炸事件对盘面刺激也已消散，加上年底不锈钢需求难有改善，而供应将有增量，社会库存具有累库预期，不锈钢价格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2830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供应扰动暂未恢复，盘面下行空间或有限</w:t>
      </w:r>
      <w:bookmarkEnd w:id="32"/>
    </w:p>
    <w:p>
      <w:pPr>
        <w:ind w:left="630" w:leftChars="300"/>
        <w:rPr>
          <w:rFonts w:ascii="楷体" w:hAnsi="楷体" w:eastAsia="楷体"/>
          <w:sz w:val="24"/>
          <w:szCs w:val="24"/>
        </w:rPr>
      </w:pPr>
      <w:r>
        <w:rPr>
          <w:rFonts w:hint="eastAsia" w:ascii="楷体" w:hAnsi="楷体" w:eastAsia="楷体"/>
          <w:sz w:val="24"/>
          <w:szCs w:val="24"/>
        </w:rPr>
        <w:t>1月5日，Si2402主力合约呈下行走势，收盘价13960元/吨，较上一收盘价涨跌幅-2.04%。在西南季节性减产背景下，北方受影响产能供应暂未恢复，且新疆石河子大气污染状况依旧严峻，环保政策存在对供应影响预期。另一方面，随着春节越来越近，下游或存在节前备货情况，需求或有望逐步增加。整体而言，供需宽松格局有望引来改善，预计盘面进一步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82"/>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698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下游需求有所转弱 短期RU或仍有回落风险</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短期价格驱动缺乏增量指引，胶价存震荡走弱预期。</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599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沙特大幅下调2月销往全球的原油贴水官价，短线多空博弈等待新的指引。PX方面，开工下滑叠加PTA提负荷，且近期受调油逻辑启动补库行情供应偏紧，短期趋势仍偏强。PTA方面，本周宁波逸盛和逸盛新材料装置装置负荷提升，逸盛海南PTA装置检修，至12.29 PTA装置负荷上涨至82%，环比+1.7%。本周聚酯装置检修有所增多，综合负荷有所下调。截至12.29，初步核算国内大陆地区聚酯负荷在89.2%。近期随着天气转冷及运费上涨，1月终端需求超预期。综合来看，下游聚酯负荷目前虽然仍维持在89-90%，供需格局小幅改善。PTA短期面临成本支撑提振及供需改善，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690"/>
      <w:r>
        <w:rPr>
          <w:rFonts w:hint="eastAsia" w:ascii="楷体" w:hAnsi="楷体" w:eastAsia="楷体"/>
          <w:b/>
          <w:color w:val="000000" w:themeColor="text1"/>
          <w:sz w:val="24"/>
          <w:szCs w:val="24"/>
          <w14:textFill>
            <w14:solidFill>
              <w14:schemeClr w14:val="tx1"/>
            </w14:solidFill>
          </w14:textFill>
        </w:rPr>
        <w:t>聚烯烃：供需偏宽松 聚烯烃今日或低位震荡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中东紧张局势加剧引发了对更广泛战争的担忧，石油供应延期的风险加剧，国际油价上涨。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4042"/>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截至1.2华东主港地区MEG港口库存约107.1万吨附近，环比上期下降6.5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原料价格走高，终端增加原料备货。综合来看，近期聚酯高开工维持，市场下调乙二醇2月之前进口及国产量及进口到港减少，预计1-2月乙二醇供需改善呈现紧平衡格局，供需格局转好驱动价格走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5942"/>
      <w:r>
        <w:rPr>
          <w:rFonts w:hint="eastAsia" w:ascii="楷体" w:hAnsi="楷体" w:eastAsia="楷体"/>
          <w:b/>
          <w:color w:val="000000" w:themeColor="text1"/>
          <w:sz w:val="24"/>
          <w:szCs w:val="24"/>
          <w14:textFill>
            <w14:solidFill>
              <w14:schemeClr w14:val="tx1"/>
            </w14:solidFill>
          </w14:textFill>
        </w:rPr>
        <w:t>玻璃：期现商买现货抛盘面套利，震荡行情</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5日报道:今日浮法玻璃现货价格2020元/吨，较上一交易日+3元/吨。本周全国浮法玻璃日产量为17.37万吨，较上周持平。截至2024年1月4日，库存上，周内全国浮法玻璃样本企业总库存3225.5万重箱，环比+19.3万重箱，环比0.6%，小幅累库。需求端，南北差异较大，元旦假期沙河受北方玻璃供货冲击部分厂家降价或实行春节前保价销售策略，节后销售好转;南方年底赶工，产销相对较好，部分企业小幅调涨。盘面更多受宏观情绪和日度产销变化影响，期价涨至升水以后，有期现商买现货抛盘面套利，短期现货产销较强，价格补涨，后市重点观察现货上涨情况。操作上关注60日线支撑位，短线区间操作为主，主力参考区间(1800，2000)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4153"/>
      <w:r>
        <w:rPr>
          <w:rFonts w:hint="eastAsia" w:ascii="楷体" w:hAnsi="楷体" w:eastAsia="楷体"/>
          <w:b/>
          <w:color w:val="000000" w:themeColor="text1"/>
          <w:sz w:val="24"/>
          <w:szCs w:val="24"/>
          <w14:textFill>
            <w14:solidFill>
              <w14:schemeClr w14:val="tx1"/>
            </w14:solidFill>
          </w14:textFill>
        </w:rPr>
        <w:t>纯碱：价格重心继续下移，震荡走弱</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元旦之后纯碱现货价格持续下调。西北青海地区出厂价报价继续下调，重碱报价2200元/吨-2300元/吨 (较前一日下降100元/吨);华北地区重碱最低出厂价2500-2600元/吨(周环比-200)，轻碱2400-2500元/吨。供给方面，截至20240104，周内纯碱产量66.32万吨，涨幅</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1.97%，开工率85.19%，环比增加1.65%。周内纯碱厂家库存36.96万吨，环比+2.95万吨，涨幅8.67%，其中主要集中于轻质增加，重涨幅小。从库存结构上来看，节后山东地区环保产能开始恢复，远兴3线提负荷，产量开始抬升。需求端下游经过上个月补库以后采购积极性下降。盘面近弱远强，市场博弈新单价格跌幅，验证降价预期，短期区间震荡，参考区间(1900，2100)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4829"/>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3044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基本面缺乏利好，期现价格走势偏弱</w:t>
      </w:r>
      <w:bookmarkEnd w:id="42"/>
    </w:p>
    <w:p>
      <w:pPr>
        <w:ind w:left="630" w:leftChars="300"/>
        <w:rPr>
          <w:rFonts w:ascii="楷体" w:hAnsi="楷体" w:eastAsia="楷体"/>
          <w:sz w:val="24"/>
          <w:szCs w:val="24"/>
        </w:rPr>
      </w:pPr>
      <w:r>
        <w:rPr>
          <w:rFonts w:hint="eastAsia" w:ascii="楷体" w:hAnsi="楷体" w:eastAsia="楷体"/>
          <w:sz w:val="24"/>
          <w:szCs w:val="24"/>
        </w:rPr>
        <w:t>因为巴西干旱地区迎来急需降雨，阿根廷好天气提振其产量前景，美国大豆销售疲软，美元反弹，CBOT大豆创近期新低，进而施压内盘期价。当前市场定价中心集中在南美，巴西天气不确定性仍较大，虽种植进度落后于去年同期及五年均值水平，但在近期产区降水持续改善下，市场对其丰产预期升温，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油厂开机率较低，部分地区存胀库风险，豆粕库存较前一周增至84.86万吨，当前沿海主流油厂豆粕现货报价下调至3830-3860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震荡，建议豆粕短线顺势操作，05暂看3150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9743"/>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基本面拐点尚未出现，期价偏弱震荡</w:t>
      </w:r>
      <w:bookmarkEnd w:id="43"/>
    </w:p>
    <w:p>
      <w:pPr>
        <w:ind w:left="630" w:leftChars="300"/>
        <w:rPr>
          <w:rFonts w:ascii="楷体" w:hAnsi="楷体" w:eastAsia="楷体"/>
          <w:sz w:val="24"/>
          <w:szCs w:val="24"/>
        </w:rPr>
      </w:pPr>
      <w:r>
        <w:rPr>
          <w:rFonts w:hint="eastAsia" w:ascii="楷体" w:hAnsi="楷体" w:eastAsia="楷体"/>
          <w:sz w:val="24"/>
          <w:szCs w:val="24"/>
        </w:rPr>
        <w:t>外部市场跌势放缓，对内盘构成一定支撑，但当前油脂供需宽松格局尚未转变，期价偏弱震荡。棕榈油，产地11月份进入季节性减产周期，库存压力逐步释放，且在出口环比降低以及天气异常情况尚不明朗下，马盘价格偏弱震荡为主，天气仍需持续关注。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-11月份进口到港维持高位，但在高库存抑制下月度进口环比下滑，最新商业库存减至87.4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需求并未出现亮眼表现，节后预计维持刚需采购。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短期油脂预计维持偏弱震荡，暂缺乏单边驱动；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686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期价偏弱震荡</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国储暂停进口拍卖并启动产区收购带动期现货反弹之后，市场预期依然悲观，现货市场余粮压力继续施压，华北产区现货持续弱势并不断创出新低，带动期价回落调整。在这种情况下，市场尚需要等待供需的边际改善，即市场供需博弈的变动，建议重点关注政策粮收购、农户售粮心态、中下游特别是饲料养殖企业备货积极性。综上所述，我们暂持中性观点，后期或转向看多，建议谨慎投资者观望，激进投资者投资者可尝试以前低作为止损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副产品继续下跌，行业供需近期改善，原料成本则相对偏空，除了绝对价格之外还有华北-东北玉米价差。考虑到盘面生产利润转负，淀粉-玉米价差短期难以收窄，但与此同时，产能格局或抑制其上方空间。在这种情况下，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26446"/>
      <w:r>
        <w:rPr>
          <w:rFonts w:hint="eastAsia" w:ascii="楷体" w:hAnsi="楷体" w:eastAsia="楷体"/>
          <w:b/>
          <w:bCs/>
          <w:color w:val="000000" w:themeColor="text1"/>
          <w14:textFill>
            <w14:solidFill>
              <w14:schemeClr w14:val="tx1"/>
            </w14:solidFill>
          </w14:textFill>
        </w:rPr>
        <w:t>畜禽养殖：期价延续弱势</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2118"/>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384"/>
      <w:r>
        <w:rPr>
          <w:rFonts w:hint="eastAsia" w:ascii="Times New Roman" w:hAnsi="Times New Roman" w:eastAsia="楷体"/>
          <w:b/>
          <w:color w:val="000000" w:themeColor="text1"/>
          <w:sz w:val="24"/>
          <w:szCs w:val="24"/>
          <w14:textFill>
            <w14:solidFill>
              <w14:schemeClr w14:val="tx1"/>
            </w14:solidFill>
          </w14:textFill>
        </w:rPr>
        <w:t>集运指数（欧线）：马士基预计所有船将绕行好望角，SCFI欧线数据继续上涨</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红海方面开始有更多船只重新绕行，1月5日，马士基表示预计所有经过红海/亚丁湾的船只都将绕过好望角，这会一定程度让船公司产生显性成本（额外燃油支出）和隐性成本（增派运力成本和空箱调运等）。</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即期运价方面，马士基欧线上的报价小幅下调至3168美元/TEU和4455美元/FEU，即期报价开始出现松动。1月5日公布SCFI欧线数据为2871美元/TEU，较上周的2694继续上涨，但增长速度有所温和。</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叠加交易所风控措施逐步施行，期货涨停同时成交量下降至低位。后续短期关注今日盘后SCFIS数据，未来长期关注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2779"/>
      <w:bookmarkStart w:id="49" w:name="_Toc71212556"/>
      <w:bookmarkStart w:id="50" w:name="_Toc72481108"/>
      <w:bookmarkStart w:id="51" w:name="_Toc19667"/>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2024年1月8日星期一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23F15"/>
    <w:rsid w:val="5EA7685B"/>
    <w:rsid w:val="619A2BBF"/>
    <w:rsid w:val="61DF02D0"/>
    <w:rsid w:val="62710E5F"/>
    <w:rsid w:val="63FF1EA7"/>
    <w:rsid w:val="64C32497"/>
    <w:rsid w:val="66D04BBC"/>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2024-01-08T03:02:50Z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