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_Toc118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_Toc16682 </w:instrText>
          </w:r>
          <w:r>
            <w:rPr>
              <w:bCs/>
            </w:rPr>
            <w:fldChar w:fldCharType="separate"/>
          </w:r>
          <w:r>
            <w:rPr>
              <w:rFonts w:hint="eastAsia" w:ascii="Times New Roman" w:hAnsi="Times New Roman" w:eastAsia="楷体"/>
              <w:szCs w:val="24"/>
            </w:rPr>
            <w:t>股指：左侧轻仓布局，若IM跌破10月前低则止损</w:t>
          </w:r>
          <w:r>
            <w:rPr>
              <w:bCs/>
            </w:rPr>
            <w:fldChar w:fldCharType="end"/>
          </w:r>
        </w:p>
        <w:p>
          <w:pPr>
            <w:pStyle w:val="59"/>
            <w:tabs>
              <w:tab w:val="right" w:leader="dot" w:pos="8306"/>
            </w:tabs>
          </w:pPr>
          <w:r>
            <w:rPr>
              <w:bCs/>
            </w:rPr>
            <w:fldChar w:fldCharType="begin"/>
          </w:r>
          <w:r>
            <w:rPr>
              <w:bCs/>
            </w:rPr>
            <w:instrText xml:space="preserve"> HYPERLINK \l _Toc11940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_Toc22180 </w:instrText>
          </w:r>
          <w:r>
            <w:rPr>
              <w:bCs/>
            </w:rPr>
            <w:fldChar w:fldCharType="separate"/>
          </w:r>
          <w:r>
            <w:rPr>
              <w:rFonts w:hint="eastAsia" w:ascii="Times New Roman" w:hAnsi="Times New Roman" w:eastAsia="楷体"/>
              <w:szCs w:val="24"/>
            </w:rPr>
            <w:t>贵金属：美国ADP就业数据表现强势，金价小幅回升</w:t>
          </w:r>
          <w:r>
            <w:rPr>
              <w:bCs/>
            </w:rPr>
            <w:fldChar w:fldCharType="end"/>
          </w:r>
        </w:p>
        <w:p>
          <w:pPr>
            <w:pStyle w:val="59"/>
            <w:tabs>
              <w:tab w:val="right" w:leader="dot" w:pos="8306"/>
            </w:tabs>
          </w:pPr>
          <w:r>
            <w:rPr>
              <w:bCs/>
            </w:rPr>
            <w:fldChar w:fldCharType="begin"/>
          </w:r>
          <w:r>
            <w:rPr>
              <w:bCs/>
            </w:rPr>
            <w:instrText xml:space="preserve"> HYPERLINK \l _Toc20428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_Toc2448 </w:instrText>
          </w:r>
          <w:r>
            <w:rPr>
              <w:bCs/>
            </w:rPr>
            <w:fldChar w:fldCharType="separate"/>
          </w:r>
          <w:r>
            <w:rPr>
              <w:rFonts w:hint="eastAsia" w:ascii="楷体" w:hAnsi="楷体" w:eastAsia="楷体"/>
              <w:szCs w:val="24"/>
            </w:rPr>
            <w:t>碳酸锂：近期进口矿石价格下行，期价向下修复</w:t>
          </w:r>
          <w:r>
            <w:rPr>
              <w:bCs/>
            </w:rPr>
            <w:fldChar w:fldCharType="end"/>
          </w:r>
        </w:p>
        <w:p>
          <w:pPr>
            <w:pStyle w:val="74"/>
            <w:tabs>
              <w:tab w:val="right" w:leader="dot" w:pos="8306"/>
            </w:tabs>
          </w:pPr>
          <w:r>
            <w:rPr>
              <w:bCs/>
            </w:rPr>
            <w:fldChar w:fldCharType="begin"/>
          </w:r>
          <w:r>
            <w:rPr>
              <w:bCs/>
            </w:rPr>
            <w:instrText xml:space="preserve"> HYPERLINK \l _Toc17022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_Toc9013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_Toc25591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_Toc10409 </w:instrText>
          </w:r>
          <w:r>
            <w:rPr>
              <w:bCs/>
            </w:rPr>
            <w:fldChar w:fldCharType="separate"/>
          </w:r>
          <w:r>
            <w:rPr>
              <w:rFonts w:hint="eastAsia" w:ascii="楷体" w:hAnsi="楷体" w:eastAsia="楷体"/>
              <w:szCs w:val="24"/>
            </w:rPr>
            <w:t>铜：高位运行，短期上下空间均有限</w:t>
          </w:r>
          <w:r>
            <w:rPr>
              <w:bCs/>
            </w:rPr>
            <w:fldChar w:fldCharType="end"/>
          </w:r>
        </w:p>
        <w:p>
          <w:pPr>
            <w:pStyle w:val="74"/>
            <w:tabs>
              <w:tab w:val="right" w:leader="dot" w:pos="8306"/>
            </w:tabs>
          </w:pPr>
          <w:r>
            <w:rPr>
              <w:bCs/>
            </w:rPr>
            <w:fldChar w:fldCharType="begin"/>
          </w:r>
          <w:r>
            <w:rPr>
              <w:bCs/>
            </w:rPr>
            <w:instrText xml:space="preserve"> HYPERLINK \l _Toc30366 </w:instrText>
          </w:r>
          <w:r>
            <w:rPr>
              <w:bCs/>
            </w:rPr>
            <w:fldChar w:fldCharType="separate"/>
          </w:r>
          <w:r>
            <w:rPr>
              <w:rFonts w:hint="eastAsia" w:ascii="楷体" w:hAnsi="楷体" w:eastAsia="楷体"/>
              <w:szCs w:val="24"/>
            </w:rPr>
            <w:t>铝：铝价承压回调</w:t>
          </w:r>
          <w:r>
            <w:rPr>
              <w:bCs/>
            </w:rPr>
            <w:fldChar w:fldCharType="end"/>
          </w:r>
        </w:p>
        <w:p>
          <w:pPr>
            <w:pStyle w:val="74"/>
            <w:tabs>
              <w:tab w:val="right" w:leader="dot" w:pos="8306"/>
            </w:tabs>
          </w:pPr>
          <w:r>
            <w:rPr>
              <w:bCs/>
            </w:rPr>
            <w:fldChar w:fldCharType="begin"/>
          </w:r>
          <w:r>
            <w:rPr>
              <w:bCs/>
            </w:rPr>
            <w:instrText xml:space="preserve"> HYPERLINK \l _Toc26066 </w:instrText>
          </w:r>
          <w:r>
            <w:rPr>
              <w:bCs/>
            </w:rPr>
            <w:fldChar w:fldCharType="separate"/>
          </w:r>
          <w:r>
            <w:rPr>
              <w:rFonts w:hint="eastAsia" w:ascii="楷体" w:hAnsi="楷体" w:eastAsia="楷体"/>
              <w:szCs w:val="24"/>
            </w:rPr>
            <w:t>锌：锌价偏弱震荡运行</w:t>
          </w:r>
          <w:r>
            <w:rPr>
              <w:bCs/>
            </w:rPr>
            <w:fldChar w:fldCharType="end"/>
          </w:r>
        </w:p>
        <w:p>
          <w:pPr>
            <w:pStyle w:val="74"/>
            <w:tabs>
              <w:tab w:val="right" w:leader="dot" w:pos="8306"/>
            </w:tabs>
          </w:pPr>
          <w:r>
            <w:rPr>
              <w:bCs/>
            </w:rPr>
            <w:fldChar w:fldCharType="begin"/>
          </w:r>
          <w:r>
            <w:rPr>
              <w:bCs/>
            </w:rPr>
            <w:instrText xml:space="preserve"> HYPERLINK \l _Toc17772 </w:instrText>
          </w:r>
          <w:r>
            <w:rPr>
              <w:bCs/>
            </w:rPr>
            <w:fldChar w:fldCharType="separate"/>
          </w:r>
          <w:r>
            <w:rPr>
              <w:rFonts w:hint="eastAsia" w:ascii="楷体" w:hAnsi="楷体" w:eastAsia="楷体"/>
              <w:szCs w:val="24"/>
            </w:rPr>
            <w:t>镍：宏观与基本面共振，镍价弱势依旧</w:t>
          </w:r>
          <w:r>
            <w:rPr>
              <w:bCs/>
            </w:rPr>
            <w:fldChar w:fldCharType="end"/>
          </w:r>
        </w:p>
        <w:p>
          <w:pPr>
            <w:pStyle w:val="74"/>
            <w:tabs>
              <w:tab w:val="right" w:leader="dot" w:pos="8306"/>
            </w:tabs>
          </w:pPr>
          <w:r>
            <w:rPr>
              <w:bCs/>
            </w:rPr>
            <w:fldChar w:fldCharType="begin"/>
          </w:r>
          <w:r>
            <w:rPr>
              <w:bCs/>
            </w:rPr>
            <w:instrText xml:space="preserve"> HYPERLINK \l _Toc13741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_Toc13230 </w:instrText>
          </w:r>
          <w:r>
            <w:rPr>
              <w:bCs/>
            </w:rPr>
            <w:fldChar w:fldCharType="separate"/>
          </w:r>
          <w:r>
            <w:rPr>
              <w:rFonts w:hint="eastAsia" w:ascii="楷体" w:hAnsi="楷体" w:eastAsia="楷体"/>
              <w:szCs w:val="24"/>
            </w:rPr>
            <w:t>不锈钢：供需压力趋增，不锈钢价承压运行</w:t>
          </w:r>
          <w:r>
            <w:rPr>
              <w:bCs/>
            </w:rPr>
            <w:fldChar w:fldCharType="end"/>
          </w:r>
        </w:p>
        <w:p>
          <w:pPr>
            <w:pStyle w:val="74"/>
            <w:tabs>
              <w:tab w:val="right" w:leader="dot" w:pos="8306"/>
            </w:tabs>
          </w:pPr>
          <w:r>
            <w:rPr>
              <w:bCs/>
            </w:rPr>
            <w:fldChar w:fldCharType="begin"/>
          </w:r>
          <w:r>
            <w:rPr>
              <w:bCs/>
            </w:rPr>
            <w:instrText xml:space="preserve"> HYPERLINK \l _Toc6540 </w:instrText>
          </w:r>
          <w:r>
            <w:rPr>
              <w:bCs/>
            </w:rPr>
            <w:fldChar w:fldCharType="separate"/>
          </w:r>
          <w:r>
            <w:rPr>
              <w:rFonts w:hint="eastAsia" w:ascii="楷体" w:hAnsi="楷体" w:eastAsia="楷体"/>
              <w:szCs w:val="24"/>
            </w:rPr>
            <w:t>工业硅：北方大气污染依旧严峻，市场对于减产担忧仍存</w:t>
          </w:r>
          <w:r>
            <w:rPr>
              <w:bCs/>
            </w:rPr>
            <w:fldChar w:fldCharType="end"/>
          </w:r>
        </w:p>
        <w:p>
          <w:pPr>
            <w:pStyle w:val="59"/>
            <w:tabs>
              <w:tab w:val="right" w:leader="dot" w:pos="8306"/>
            </w:tabs>
          </w:pPr>
          <w:r>
            <w:rPr>
              <w:bCs/>
            </w:rPr>
            <w:fldChar w:fldCharType="begin"/>
          </w:r>
          <w:r>
            <w:rPr>
              <w:bCs/>
            </w:rPr>
            <w:instrText xml:space="preserve"> HYPERLINK \l _Toc9155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_Toc32606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下游需求有所转弱 短期RU或有回落风险</w:t>
          </w:r>
          <w:r>
            <w:rPr>
              <w:bCs/>
            </w:rPr>
            <w:fldChar w:fldCharType="end"/>
          </w:r>
        </w:p>
        <w:p>
          <w:pPr>
            <w:pStyle w:val="74"/>
            <w:tabs>
              <w:tab w:val="right" w:leader="dot" w:pos="8306"/>
            </w:tabs>
          </w:pPr>
          <w:r>
            <w:rPr>
              <w:bCs/>
            </w:rPr>
            <w:fldChar w:fldCharType="begin"/>
          </w:r>
          <w:r>
            <w:rPr>
              <w:bCs/>
            </w:rPr>
            <w:instrText xml:space="preserve"> HYPERLINK \l _Toc13498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_Toc22352 </w:instrText>
          </w:r>
          <w:r>
            <w:rPr>
              <w:bCs/>
            </w:rPr>
            <w:fldChar w:fldCharType="separate"/>
          </w:r>
          <w:r>
            <w:rPr>
              <w:rFonts w:hint="eastAsia" w:ascii="楷体" w:hAnsi="楷体" w:eastAsia="楷体"/>
              <w:szCs w:val="24"/>
            </w:rPr>
            <w:t>聚烯烃：成本与需求均不占优 聚烯烃今日或低位震荡</w:t>
          </w:r>
          <w:r>
            <w:rPr>
              <w:bCs/>
            </w:rPr>
            <w:fldChar w:fldCharType="end"/>
          </w:r>
        </w:p>
        <w:p>
          <w:pPr>
            <w:pStyle w:val="74"/>
            <w:tabs>
              <w:tab w:val="right" w:leader="dot" w:pos="8306"/>
            </w:tabs>
          </w:pPr>
          <w:r>
            <w:rPr>
              <w:bCs/>
            </w:rPr>
            <w:fldChar w:fldCharType="begin"/>
          </w:r>
          <w:r>
            <w:rPr>
              <w:bCs/>
            </w:rPr>
            <w:instrText xml:space="preserve"> HYPERLINK \l _Toc5634 </w:instrText>
          </w:r>
          <w:r>
            <w:rPr>
              <w:bCs/>
            </w:rPr>
            <w:fldChar w:fldCharType="separate"/>
          </w:r>
          <w:r>
            <w:rPr>
              <w:rFonts w:hint="eastAsia" w:ascii="楷体" w:hAnsi="楷体" w:eastAsia="楷体"/>
              <w:szCs w:val="24"/>
            </w:rPr>
            <w:t>MEG：供应格局转好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_Toc23355 </w:instrText>
          </w:r>
          <w:r>
            <w:rPr>
              <w:bCs/>
            </w:rPr>
            <w:fldChar w:fldCharType="separate"/>
          </w:r>
          <w:r>
            <w:rPr>
              <w:rFonts w:hint="eastAsia" w:ascii="楷体" w:hAnsi="楷体" w:eastAsia="楷体"/>
              <w:szCs w:val="24"/>
            </w:rPr>
            <w:t>玻璃：现货补涨，需求分歧较大</w:t>
          </w:r>
          <w:r>
            <w:rPr>
              <w:bCs/>
            </w:rPr>
            <w:fldChar w:fldCharType="end"/>
          </w:r>
        </w:p>
        <w:p>
          <w:pPr>
            <w:pStyle w:val="74"/>
            <w:tabs>
              <w:tab w:val="right" w:leader="dot" w:pos="8306"/>
            </w:tabs>
          </w:pPr>
          <w:r>
            <w:rPr>
              <w:bCs/>
            </w:rPr>
            <w:fldChar w:fldCharType="begin"/>
          </w:r>
          <w:r>
            <w:rPr>
              <w:bCs/>
            </w:rPr>
            <w:instrText xml:space="preserve"> HYPERLINK \l _Toc27025 </w:instrText>
          </w:r>
          <w:r>
            <w:rPr>
              <w:bCs/>
            </w:rPr>
            <w:fldChar w:fldCharType="separate"/>
          </w:r>
          <w:r>
            <w:rPr>
              <w:rFonts w:hint="eastAsia" w:ascii="楷体" w:hAnsi="楷体" w:eastAsia="楷体"/>
              <w:szCs w:val="24"/>
            </w:rPr>
            <w:t>纯碱：近弱远强，博弈新单价格</w:t>
          </w:r>
          <w:r>
            <w:rPr>
              <w:bCs/>
            </w:rPr>
            <w:fldChar w:fldCharType="end"/>
          </w:r>
        </w:p>
        <w:p>
          <w:pPr>
            <w:pStyle w:val="59"/>
            <w:tabs>
              <w:tab w:val="right" w:leader="dot" w:pos="8306"/>
            </w:tabs>
          </w:pPr>
          <w:r>
            <w:rPr>
              <w:bCs/>
            </w:rPr>
            <w:fldChar w:fldCharType="begin"/>
          </w:r>
          <w:r>
            <w:rPr>
              <w:bCs/>
            </w:rPr>
            <w:instrText xml:space="preserve"> HYPERLINK \l _Toc16062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_Toc12318 </w:instrText>
          </w:r>
          <w:r>
            <w:rPr>
              <w:bCs/>
            </w:rPr>
            <w:fldChar w:fldCharType="separate"/>
          </w:r>
          <w:r>
            <w:rPr>
              <w:rFonts w:hint="eastAsia" w:ascii="楷体" w:hAnsi="楷体" w:eastAsia="楷体"/>
              <w:szCs w:val="24"/>
            </w:rPr>
            <w:t>豆粕/菜粕：基本面缺乏利好，期现价格偏弱震荡</w:t>
          </w:r>
          <w:r>
            <w:rPr>
              <w:bCs/>
            </w:rPr>
            <w:fldChar w:fldCharType="end"/>
          </w:r>
        </w:p>
        <w:p>
          <w:pPr>
            <w:pStyle w:val="74"/>
            <w:tabs>
              <w:tab w:val="right" w:leader="dot" w:pos="8306"/>
            </w:tabs>
          </w:pPr>
          <w:r>
            <w:rPr>
              <w:bCs/>
            </w:rPr>
            <w:fldChar w:fldCharType="begin"/>
          </w:r>
          <w:r>
            <w:rPr>
              <w:bCs/>
            </w:rPr>
            <w:instrText xml:space="preserve"> HYPERLINK \l _Toc29943 </w:instrText>
          </w:r>
          <w:r>
            <w:rPr>
              <w:bCs/>
            </w:rPr>
            <w:fldChar w:fldCharType="separate"/>
          </w:r>
          <w:r>
            <w:rPr>
              <w:rFonts w:hint="eastAsia" w:ascii="楷体" w:hAnsi="楷体" w:eastAsia="楷体"/>
              <w:szCs w:val="24"/>
            </w:rPr>
            <w:t>油脂：基本面拐点尚未出现，期价偏弱震荡</w:t>
          </w:r>
          <w:r>
            <w:rPr>
              <w:bCs/>
            </w:rPr>
            <w:fldChar w:fldCharType="end"/>
          </w:r>
        </w:p>
        <w:p>
          <w:pPr>
            <w:pStyle w:val="74"/>
            <w:tabs>
              <w:tab w:val="right" w:leader="dot" w:pos="8306"/>
            </w:tabs>
          </w:pPr>
          <w:r>
            <w:rPr>
              <w:bCs/>
            </w:rPr>
            <w:fldChar w:fldCharType="begin"/>
          </w:r>
          <w:r>
            <w:rPr>
              <w:bCs/>
            </w:rPr>
            <w:instrText xml:space="preserve"> HYPERLINK \l _Toc22638 </w:instrText>
          </w:r>
          <w:r>
            <w:rPr>
              <w:bCs/>
            </w:rPr>
            <w:fldChar w:fldCharType="separate"/>
          </w:r>
          <w:r>
            <w:rPr>
              <w:rFonts w:hint="eastAsia" w:ascii="楷体" w:hAnsi="楷体" w:eastAsia="楷体"/>
              <w:bCs/>
            </w:rPr>
            <w:t>玉米与淀粉：</w:t>
          </w:r>
          <w:r>
            <w:rPr>
              <w:rFonts w:hint="eastAsia" w:ascii="楷体" w:hAnsi="楷体" w:eastAsia="楷体"/>
            </w:rPr>
            <w:t>期价夜盘大幅回落</w:t>
          </w:r>
          <w:r>
            <w:rPr>
              <w:bCs/>
            </w:rPr>
            <w:fldChar w:fldCharType="end"/>
          </w:r>
        </w:p>
        <w:p>
          <w:pPr>
            <w:pStyle w:val="74"/>
            <w:tabs>
              <w:tab w:val="right" w:leader="dot" w:pos="8306"/>
            </w:tabs>
          </w:pPr>
          <w:r>
            <w:rPr>
              <w:bCs/>
            </w:rPr>
            <w:fldChar w:fldCharType="begin"/>
          </w:r>
          <w:r>
            <w:rPr>
              <w:bCs/>
            </w:rPr>
            <w:instrText xml:space="preserve"> HYPERLINK \l _Toc24887 </w:instrText>
          </w:r>
          <w:r>
            <w:rPr>
              <w:bCs/>
            </w:rPr>
            <w:fldChar w:fldCharType="separate"/>
          </w:r>
          <w:r>
            <w:rPr>
              <w:rFonts w:hint="eastAsia" w:ascii="楷体" w:hAnsi="楷体" w:eastAsia="楷体"/>
              <w:bCs/>
            </w:rPr>
            <w:t>畜禽养殖：期价除近月外窄幅震荡</w:t>
          </w:r>
          <w:r>
            <w:rPr>
              <w:bCs/>
            </w:rPr>
            <w:fldChar w:fldCharType="end"/>
          </w:r>
        </w:p>
        <w:p>
          <w:pPr>
            <w:pStyle w:val="74"/>
            <w:tabs>
              <w:tab w:val="right" w:leader="dot" w:pos="8306"/>
            </w:tabs>
          </w:pPr>
          <w:r>
            <w:rPr>
              <w:bCs/>
            </w:rPr>
            <w:fldChar w:fldCharType="begin"/>
          </w:r>
          <w:r>
            <w:rPr>
              <w:bCs/>
            </w:rPr>
            <w:instrText xml:space="preserve"> HYPERLINK \l _Toc4543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_Toc12841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_Toc17111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_Toc25400 </w:instrText>
          </w:r>
          <w:r>
            <w:rPr>
              <w:bCs/>
            </w:rPr>
            <w:fldChar w:fldCharType="separate"/>
          </w:r>
          <w:r>
            <w:rPr>
              <w:rFonts w:hint="eastAsia" w:ascii="Times New Roman" w:hAnsi="Times New Roman" w:eastAsia="楷体"/>
              <w:szCs w:val="24"/>
            </w:rPr>
            <w:t>集运指数（欧线）：中方表态推动红海局势降温，今日SCFI数据公布为未来走向提供指引</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1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668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左侧轻仓布局，若IM跌破10月前低则止损</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出现缩量阴跌及前期小盘股强势补跌，往往也是市场进入底部区域标志，问题是主线尚不明朗，游戏新规削弱小盘炒作氛围，加之市场对美债利率下行利好钝化，反弹时机尚不确定。目前可左侧轻仓布局，但若IM破10月前低，则做好破位下行准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940"/>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22180"/>
      <w:r>
        <w:rPr>
          <w:rFonts w:hint="eastAsia" w:ascii="Times New Roman" w:hAnsi="Times New Roman" w:eastAsia="楷体"/>
          <w:b/>
          <w:color w:val="000000" w:themeColor="text1"/>
          <w:sz w:val="24"/>
          <w:szCs w:val="24"/>
          <w14:textFill>
            <w14:solidFill>
              <w14:schemeClr w14:val="tx1"/>
            </w14:solidFill>
          </w14:textFill>
        </w:rPr>
        <w:t>贵金属：美国ADP就业数据表现强势，金价小幅回升</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微跌0.02%至102.40，美十债收益率跌0.8bp至3.999%。沪金涨0.33%，沪银跌0.03%。美国最新当周初请失业金人数录得20.2万人，较预期的21.6万人和小幅上修的上月前值22万人而言小幅回落。2023年12月美国ADP就业人数录得增16.4万人，为2023年8月以来新高。美国2023年12月Markit服务业PMI终值略微上修0.1至51.4。2023年12月欧元区服务业PMI终值录得48.8，较前值48.7及初值48.1小幅上修。关注今日晚间美国ISM非制造业PMI数据以及非农就业数据更新情况。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042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448"/>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碳酸锂：近期进口矿石价格下行，期价向下修复</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进口锂辉石均价跌至约1000美元/吨，对应锂盐价格约9万元/吨，期价向下修复，07合约收跌6.69%至100450元/吨。截至1月3日，碳酸锂注册仓单数量上升至9040手，仓单量超过01合约当前持仓量的6519手，最近一周平均单日新增约800手。近期部分生产企业复工，减停产幅度或暂不及预期。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7022"/>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9013"/>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559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10409"/>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高位运行，短期上下空间均有限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(1)宏观：美国12月ADP就业人数为16.4万人，创2023年8月来新高，预期11.5万人，前值10.3万人。</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(2)库存：1月4日，SHFE仓单库存3459吨，减599吨；LME仓单库存164450吨，减1250吨。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(3)精废价差：1月4日，Mysteel精废价差2044，收窄14。目前价差在合理价差1389之上。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公布最新会议纪要，对通胀回落有信心，但并未讨论什么时候开始降息，且美国12月制造业数据弱于预期，美元指数温和反弹，压制铜价。基本面，近期内外库存再次去化，国内现货流通货源偏紧，贴水行情未能持续，现货重回升水。当前美联储降息驱动放缓，低库存支撑逻辑仍在，预计短期铜价维持高位运行，上下空间均有限。</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30366"/>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铝价承压回调</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就业数据超出市场预期，宏观情绪压制。铝土矿紧缺情况缓解，氧化铝价格快速下挫，带领电解铝价格回落前期主震荡区间，电解铝基本面来看，供应维持稳定，需求淡季叠加临近过年，有趋弱态势，但低库存现状仍存，价格走势或有小幅回调但下方空间不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6066"/>
      <w:r>
        <w:rPr>
          <w:rFonts w:hint="eastAsia" w:ascii="楷体" w:hAnsi="楷体" w:eastAsia="楷体"/>
          <w:b/>
          <w:color w:val="000000" w:themeColor="text1"/>
          <w:sz w:val="24"/>
          <w:szCs w:val="24"/>
          <w14:textFill>
            <w14:solidFill>
              <w14:schemeClr w14:val="tx1"/>
            </w14:solidFill>
          </w14:textFill>
        </w:rPr>
        <w:t>锌：锌价偏弱震荡运行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预期扰动，美国12月ADP就业数据高企，宏观情绪走弱。基本面来看，进口矿加工费TC下调较多，冶炼端利润进一步压缩，国内部分地区冶炼厂受限电和检修影响减产，精炼锌产量小幅回落，需求淡季叠加冬季寒冷影响 ，下游开工受限，社会库存小幅累积，供需两弱，锌价偏弱震荡运行。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7772"/>
      <w:r>
        <w:rPr>
          <w:rFonts w:hint="eastAsia" w:ascii="楷体" w:hAnsi="楷体" w:eastAsia="楷体"/>
          <w:b/>
          <w:color w:val="000000" w:themeColor="text1"/>
          <w:sz w:val="24"/>
          <w:szCs w:val="24"/>
          <w14:textFill>
            <w14:solidFill>
              <w14:schemeClr w14:val="tx1"/>
            </w14:solidFill>
          </w14:textFill>
        </w:rPr>
        <w:t>镍：宏观与基本面共振，镍价弱势依旧</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12月会议纪要偏鹰且12月ADP就业数据强于预期，美元指数强势上升，施压有色金属。供应端，由于利润有所修复，精炼镍产量环比增加，且未来尚有许多产能新投或扩产。需求端，下游成交较节前稍有好转，但仍然较疲弱，虽不锈钢厂1月排产增加，但无法撼动镍供应过剩格局。库存端，海内外库存呈现趋势性累积，对镍价带来压力，尤其是沪镍库存达到近三年历史高位，LME镍库存累至近一年半以来高位。成本端，镍价获一体化高冰镍生产电积镍成本支撑，短期内继续深跌的动能不足。综合而言，宏观情绪边际转弱，镍元素全面过剩，库存趋势性累库，对镍价带来压力，但成本支撑下短期镍价继续深跌动能不足，预计镍价延续震荡偏弱筑底。</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3741"/>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3230"/>
      <w:r>
        <w:rPr>
          <w:rFonts w:hint="eastAsia" w:ascii="楷体" w:hAnsi="楷体" w:eastAsia="楷体"/>
          <w:b/>
          <w:color w:val="000000" w:themeColor="text1"/>
          <w:sz w:val="24"/>
          <w:szCs w:val="24"/>
          <w14:textFill>
            <w14:solidFill>
              <w14:schemeClr w14:val="tx1"/>
            </w14:solidFill>
          </w14:textFill>
        </w:rPr>
        <w:t>不锈钢：供需压力趋增，不锈钢价承压运行</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会议纪要表态偏鹰，12月ADP数据强于预期，市场对美联储降息预期降温，施压有色金属。年底，不锈钢消费传统淡季加上资金回流压力，现货成交以刚需采购为主，预计下游需求趋淡。然而，供应存在增量，不锈钢厂积极复产，在1月排产增加。社会库存连续下降是12月不锈钢价反弹的关键因素，但是不锈钢到货将明显增加，在需求趋弱而供应将增的情况下，社库存在累库预期。对于成本支撑而言，镍铁价格继续走强的空间有限，主要由于镍矿价格低位运行且镍铁仍然过剩。综合而言，宏观情绪边际转弱，年底不锈钢需求难有改善，而供应将有增量，社会库存具有累库预期，不锈钢价格承压运行。持续关注印尼不锈钢厂爆炸事件后续影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654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北方大气污染依旧严峻，市场对于减产担忧仍存</w:t>
      </w:r>
      <w:bookmarkEnd w:id="33"/>
    </w:p>
    <w:p>
      <w:pPr>
        <w:ind w:left="630" w:leftChars="300"/>
        <w:rPr>
          <w:rFonts w:ascii="楷体" w:hAnsi="楷体" w:eastAsia="楷体"/>
          <w:sz w:val="24"/>
          <w:szCs w:val="24"/>
        </w:rPr>
      </w:pPr>
      <w:r>
        <w:rPr>
          <w:rFonts w:hint="eastAsia" w:ascii="楷体" w:hAnsi="楷体" w:eastAsia="楷体"/>
          <w:sz w:val="24"/>
          <w:szCs w:val="24"/>
        </w:rPr>
        <w:t>1月4日，Si2402主力合约呈冲高回落走势，收盘价14250元/吨，较上一收盘价涨跌幅-0.28%。受环保、安全生产等因素影响，近期新疆伊犁、石河子部分工厂出现减产情况。就目前天气预报看，后续石河子大气污染状况依旧严峻，市场对于环保政策或将继续影响生产存在担忧，供应存在收缩预期，预计短期盘面仍有支撑。策略上，建议可继续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9155"/>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3260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下游需求有所转弱 短期RU或有回落风险</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短期价格驱动缺乏增量指引，胶价存震荡走弱预期。</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349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原油市场近期的关注点仍然集中在中东局势，关注局势升级的风险，近期多空拉锯等待新的指引。PX方面，开工大幅下滑叠加PTA提负荷，且近期受调油逻辑启动补库行情供应偏紧，短期趋势仍偏强。PTA方面，中国大陆装置变动：个别PTA装置小幅调整，由于产能基数调整，至周四PTA装置负荷调整至83.8%，环比+1.8%。1月初一套瓶片装置检修，对应负荷有所下调。截至本周四，初步核算国内大陆地区聚酯负荷在90%。PTA供需情况，短期来看PTA高加工差维持且聚酯降幅幅度不大，供需矛盾不明显。作为成本主导型品种，PTA绝对价格走势更多取决于成本端波动。短期成本支撑仍存，建议逢低偏多操作思路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2352"/>
      <w:r>
        <w:rPr>
          <w:rFonts w:hint="eastAsia" w:ascii="楷体" w:hAnsi="楷体" w:eastAsia="楷体"/>
          <w:b/>
          <w:color w:val="000000" w:themeColor="text1"/>
          <w:sz w:val="24"/>
          <w:szCs w:val="24"/>
          <w14:textFill>
            <w14:solidFill>
              <w14:schemeClr w14:val="tx1"/>
            </w14:solidFill>
          </w14:textFill>
        </w:rPr>
        <w:t>聚烯烃：成本与需求均不占优 聚烯烃今日或低位震荡</w:t>
      </w:r>
      <w:bookmarkEnd w:id="3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官方数据显示汽油和馏分油库存大幅增加，引发了人们对燃料需求的担忧，且美国原油出口量创历史新高，尽管美国原油库存下降，欧美原油期货回跌。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叠加近期原油有所回落，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5634"/>
      <w:r>
        <w:rPr>
          <w:rFonts w:hint="eastAsia" w:ascii="楷体" w:hAnsi="楷体" w:eastAsia="楷体"/>
          <w:b/>
          <w:color w:val="000000" w:themeColor="text1"/>
          <w:sz w:val="24"/>
          <w:szCs w:val="24"/>
          <w14:textFill>
            <w14:solidFill>
              <w14:schemeClr w14:val="tx1"/>
            </w14:solidFill>
          </w14:textFill>
        </w:rPr>
        <w:t>MEG：供应格局转好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截至1.2华东主港地区MEG港口库存约107.1万吨附近，环比上期下降6.5万吨，截至1月4日，中国大陆地区乙二醇整体开工负荷在59.67%（-2.09%），其中草酸催化加氢法（合成气）制乙二醇开工负荷在55.01%（-3.18%） 截至1月4日，国内大陆地区聚酯负荷在90%，节前聚酯开工高位维持。终端来看，江浙终端开工率局部下滑，终端面临放假收尾预期。江浙加弹综合开工85%（-2%），江浙织机综合开工小幅下滑至76%（-1%），江浙印染综合开工下滑至73%（-1%）。油价反弹及原料价格走高，终端增加原料备货。综合来看，供给端近期聚酯高开工维持，市场下调乙二醇2月之前进口及国产量及进口到港减少，预计1-2月乙二醇供需改善呈现紧平衡格局，供需格局转好驱动价格走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23355"/>
      <w:r>
        <w:rPr>
          <w:rFonts w:hint="eastAsia" w:ascii="楷体" w:hAnsi="楷体" w:eastAsia="楷体"/>
          <w:b/>
          <w:color w:val="000000" w:themeColor="text1"/>
          <w:sz w:val="24"/>
          <w:szCs w:val="24"/>
          <w14:textFill>
            <w14:solidFill>
              <w14:schemeClr w14:val="tx1"/>
            </w14:solidFill>
          </w14:textFill>
        </w:rPr>
        <w:t>玻璃：现货补涨，需求分歧较大</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4日报道：今日浮法玻璃现货价格2011元/吨，较上一交易日+4元/吨。本周全国浮法玻璃日产量为17.37万吨，较上周持平。截至2024年1月4日，库存上，周内全国浮法玻璃样本企业总库存3225.5万重箱，环比+19.3万重箱，环比0.6%，小幅累库。需求端，南北差异较大，元旦假期沙河受北方玻璃供货冲击部分厂家降价或实行春节前保价销售策略，节后销售好转；南方年底赶工，产销相对较好，部分企业小幅调涨。盘面更多受宏观情绪和日度产销变化影响，昨日期价涨至升水以后，带动现货补涨，但需求端下游分歧较大，深加工订单临近春节放假走弱，冬储补库需求能否如期兑现尚有存疑，后市重点观察现货情况。操作上维持区间震荡行情判断，短线区间操作为主，主力参考区间（1800，2000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27025"/>
      <w:r>
        <w:rPr>
          <w:rFonts w:hint="eastAsia" w:ascii="楷体" w:hAnsi="楷体" w:eastAsia="楷体"/>
          <w:b/>
          <w:color w:val="000000" w:themeColor="text1"/>
          <w:sz w:val="24"/>
          <w:szCs w:val="24"/>
          <w14:textFill>
            <w14:solidFill>
              <w14:schemeClr w14:val="tx1"/>
            </w14:solidFill>
          </w14:textFill>
        </w:rPr>
        <w:t>纯碱：近弱远强，博弈新单价格</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100-200元/吨，重碱报价2300元/吨；华北地区重碱最低出厂价2500-2600元/吨（周环比-200），轻碱2500元/吨，。供给方面，截至20240104，周内纯碱产量66.32万吨，涨幅1.97%，开工率85.19%，环比增加1.65%。周内纯碱厂家库存36.96万吨，环比+2.95万吨，涨幅8.67%，其中主要集中于轻质增加，重涨幅小。从库存结构上来看，节后山东地区环保产能开始恢复，远兴3线提负荷，产量开始抬升。需求端下游经过上个月补库以后采购积极性下降。盘面近弱远强，市场博弈新单价格跌幅，验证降价预期，短期震荡偏弱，参考区间（1900，2100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16062"/>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12318"/>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基本面缺乏利好，期现价格偏弱震荡</w:t>
      </w:r>
      <w:bookmarkEnd w:id="43"/>
    </w:p>
    <w:p>
      <w:pPr>
        <w:ind w:left="630" w:leftChars="300"/>
        <w:rPr>
          <w:rFonts w:ascii="楷体" w:hAnsi="楷体" w:eastAsia="楷体"/>
          <w:sz w:val="24"/>
          <w:szCs w:val="24"/>
        </w:rPr>
      </w:pPr>
      <w:r>
        <w:rPr>
          <w:rFonts w:hint="eastAsia" w:ascii="楷体" w:hAnsi="楷体" w:eastAsia="楷体"/>
          <w:sz w:val="24"/>
          <w:szCs w:val="24"/>
        </w:rPr>
        <w:t>因巴西干旱地区降雨改善，美豆出口需求令人担忧，致使CBOT大豆价格继续承压，进而施压内盘期价。当前市场定价中心集中在南美，巴西天气不确定性仍较大，虽种植进度落后于去年同期及五年均值水平，但在近期产区降水持续改善下，市场对其丰产前景仍较乐观，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油厂开机率较低，部分地区存胀库风险，豆粕库存较前一周增至84.86万吨，当前沿海主流油厂豆粕现货报价下调至3830-3860元/吨。但11月份进口大豆到港不及预期，为792万吨，叠加远月买船进度偏慢，远月供应端担忧仍存。需求，下游生猪养殖利润维持亏损，但在能繁存栏高位下，下游随采随用，保持安全库存。菜粕供应趋于宽松。在11月份后随着菜籽进口增加，菜粕供应预计转宽，目前菜籽库存以及油厂开机均有明显提升。而需求方面，随着水产消费旺季的结束，菜粕刚需减少，但在豆菜粕价差较大下提振菜粕的替代需求。策略方面，短期偏弱震荡，建议豆粕短线顺势操作，05暂看3200支撑，菜粕偏弱震荡，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29943"/>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基本面拐点尚未出现，期价偏弱震荡</w:t>
      </w:r>
      <w:bookmarkEnd w:id="44"/>
    </w:p>
    <w:p>
      <w:pPr>
        <w:ind w:left="630" w:leftChars="300"/>
        <w:rPr>
          <w:rFonts w:ascii="楷体" w:hAnsi="楷体" w:eastAsia="楷体"/>
          <w:sz w:val="24"/>
          <w:szCs w:val="24"/>
        </w:rPr>
      </w:pPr>
      <w:r>
        <w:rPr>
          <w:rFonts w:hint="eastAsia" w:ascii="楷体" w:hAnsi="楷体" w:eastAsia="楷体"/>
          <w:sz w:val="24"/>
          <w:szCs w:val="24"/>
        </w:rPr>
        <w:t>外部市场跌势放缓，对内盘构成一定支撑，但当前油脂供需宽松格局尚未转变，期价偏弱震荡。棕榈油，产地11月份进入季节性减产周期，库存压力逐步释放，且在出口环比降低以及天气异常情况尚不明朗下，马盘价格偏弱震荡为主，天气仍需持续关注。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-11月份进口到港维持高位，但在高库存抑制下月度进口环比下滑，最新商业库存减至87.4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需求并未出现亮眼表现，节后预计维持刚需采购。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短期油脂预计维持偏弱震荡，暂缺乏单边驱动；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2263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期价夜盘大幅回落</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我们暂持中性观点，后期或转向看多，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总体震荡走扩，主要源于行业供需、副产品和现货基差的带动。接下来行业供需则需要留意在高开机率下需求的持续性，副产品价格需要留意外盘美豆走势和国内豆粕供需变动，原料端即深加工企业玉米收购价亦存在较大变数，目前华北-东北玉米价差不太支持淀粉-玉米价差继续走扩。在这种情况下，考虑到行业产能过剩格局，而副产品价格已经下降至往年波动区间，再加上淀粉-玉米价差已经接近往年波动区间上沿，我们倾向于认为淀粉-玉米价差上方空间或相对有限。综上所述，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24887"/>
      <w:r>
        <w:rPr>
          <w:rFonts w:hint="eastAsia" w:ascii="楷体" w:hAnsi="楷体" w:eastAsia="楷体"/>
          <w:b/>
          <w:bCs/>
          <w:color w:val="000000" w:themeColor="text1"/>
          <w14:textFill>
            <w14:solidFill>
              <w14:schemeClr w14:val="tx1"/>
            </w14:solidFill>
          </w14:textFill>
        </w:rPr>
        <w:t>畜禽养殖：期价除近月外窄幅震荡</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4543"/>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12841"/>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17111"/>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25400"/>
      <w:r>
        <w:rPr>
          <w:rFonts w:hint="eastAsia" w:ascii="Times New Roman" w:hAnsi="Times New Roman" w:eastAsia="楷体"/>
          <w:b/>
          <w:color w:val="000000" w:themeColor="text1"/>
          <w:sz w:val="24"/>
          <w:szCs w:val="24"/>
          <w14:textFill>
            <w14:solidFill>
              <w14:schemeClr w14:val="tx1"/>
            </w14:solidFill>
          </w14:textFill>
        </w:rPr>
        <w:t>集运指数（欧线）：中方表态推动红海局势降温，今日SCFI数据公布为未来走向提供指引</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地缘局势方面，联合国召开红海公开会中方表态。中方在发言时表示，对一段时间以来在红海水域多次发生袭击和扣押商船事件表示关切，呼吁有关方面停止袭扰民用船只的行为，尊重并保障各国在红海水域的航行自由；中方表态愿继续为推动红海紧张局势降温等作出不懈努力。</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即期运价方面，CMA CGM达飞发布最新公告，自2024年1月15日（装货日期）起，从亚洲到北欧征收新的FAK费率 。每20英尺箱3200美元，每40英尺箱6000美元，直至另行通知。对比此前通知的1月1日FAK费率，正好翻倍上涨100%。12月29日公布SCFI欧线数据为2694美元/TEU，相较于11月底的779美元/TEU大涨2.46倍。</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叠加交易所风控措施逐步施行，期货涨停同时成交量下降至低位。后续短期关注今日盘后SCFI数据，未来长期关注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1212556"/>
      <w:bookmarkStart w:id="53" w:name="_Toc72481108"/>
      <w:bookmarkStart w:id="54" w:name="_Toc19667"/>
      <w:bookmarkStart w:id="55" w:name="_Toc98426751"/>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2024年1月5日星期五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23F15"/>
    <w:rsid w:val="5EA7685B"/>
    <w:rsid w:val="619A2BBF"/>
    <w:rsid w:val="61DF02D0"/>
    <w:rsid w:val="62710E5F"/>
    <w:rsid w:val="64C32497"/>
    <w:rsid w:val="66D04BBC"/>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2024-01-05T03:23:17Z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