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56" w:name="_GoBack"/>
          <w:bookmarkEnd w:id="56"/>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_Toc22842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_Toc17512 </w:instrText>
          </w:r>
          <w:r>
            <w:rPr>
              <w:bCs/>
            </w:rPr>
            <w:fldChar w:fldCharType="separate"/>
          </w:r>
          <w:r>
            <w:rPr>
              <w:rFonts w:hint="eastAsia" w:ascii="Times New Roman" w:hAnsi="Times New Roman" w:eastAsia="楷体"/>
              <w:szCs w:val="24"/>
            </w:rPr>
            <w:t>股指：左侧轻仓布局，若IM跌破10月前低则止损</w:t>
          </w:r>
          <w:r>
            <w:rPr>
              <w:bCs/>
            </w:rPr>
            <w:fldChar w:fldCharType="end"/>
          </w:r>
        </w:p>
        <w:p>
          <w:pPr>
            <w:pStyle w:val="59"/>
            <w:tabs>
              <w:tab w:val="right" w:leader="dot" w:pos="8306"/>
            </w:tabs>
          </w:pPr>
          <w:r>
            <w:rPr>
              <w:bCs/>
            </w:rPr>
            <w:fldChar w:fldCharType="begin"/>
          </w:r>
          <w:r>
            <w:rPr>
              <w:bCs/>
            </w:rPr>
            <w:instrText xml:space="preserve"> HYPERLINK \l _Toc17982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_Toc3598 </w:instrText>
          </w:r>
          <w:r>
            <w:rPr>
              <w:bCs/>
            </w:rPr>
            <w:fldChar w:fldCharType="separate"/>
          </w:r>
          <w:r>
            <w:rPr>
              <w:rFonts w:hint="eastAsia" w:ascii="Times New Roman" w:hAnsi="Times New Roman" w:eastAsia="楷体"/>
              <w:szCs w:val="24"/>
            </w:rPr>
            <w:t>贵金属：美国Markit制造业PMI终值小幅下修，贵金属价格小幅下跌</w:t>
          </w:r>
          <w:r>
            <w:rPr>
              <w:bCs/>
            </w:rPr>
            <w:fldChar w:fldCharType="end"/>
          </w:r>
        </w:p>
        <w:p>
          <w:pPr>
            <w:pStyle w:val="59"/>
            <w:tabs>
              <w:tab w:val="right" w:leader="dot" w:pos="8306"/>
            </w:tabs>
          </w:pPr>
          <w:r>
            <w:rPr>
              <w:bCs/>
            </w:rPr>
            <w:fldChar w:fldCharType="begin"/>
          </w:r>
          <w:r>
            <w:rPr>
              <w:bCs/>
            </w:rPr>
            <w:instrText xml:space="preserve"> HYPERLINK \l _Toc18516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_Toc14155 </w:instrText>
          </w:r>
          <w:r>
            <w:rPr>
              <w:bCs/>
            </w:rPr>
            <w:fldChar w:fldCharType="separate"/>
          </w:r>
          <w:r>
            <w:rPr>
              <w:rFonts w:hint="eastAsia" w:ascii="楷体" w:hAnsi="楷体" w:eastAsia="楷体"/>
              <w:szCs w:val="24"/>
            </w:rPr>
            <w:t>碳酸锂：01合约进入交割月，期价小幅上涨</w:t>
          </w:r>
          <w:r>
            <w:rPr>
              <w:bCs/>
            </w:rPr>
            <w:fldChar w:fldCharType="end"/>
          </w:r>
        </w:p>
        <w:p>
          <w:pPr>
            <w:pStyle w:val="74"/>
            <w:tabs>
              <w:tab w:val="right" w:leader="dot" w:pos="8306"/>
            </w:tabs>
          </w:pPr>
          <w:r>
            <w:rPr>
              <w:bCs/>
            </w:rPr>
            <w:fldChar w:fldCharType="begin"/>
          </w:r>
          <w:r>
            <w:rPr>
              <w:bCs/>
            </w:rPr>
            <w:instrText xml:space="preserve"> HYPERLINK \l _Toc22591 </w:instrText>
          </w:r>
          <w:r>
            <w:rPr>
              <w:bCs/>
            </w:rPr>
            <w:fldChar w:fldCharType="separate"/>
          </w:r>
          <w:r>
            <w:rPr>
              <w:rFonts w:hint="eastAsia" w:ascii="楷体" w:hAnsi="楷体" w:eastAsia="楷体"/>
              <w:szCs w:val="24"/>
            </w:rPr>
            <w:t>螺纹钢：PSL利好刺激，钢价或震荡上行</w:t>
          </w:r>
          <w:r>
            <w:rPr>
              <w:bCs/>
            </w:rPr>
            <w:fldChar w:fldCharType="end"/>
          </w:r>
        </w:p>
        <w:p>
          <w:pPr>
            <w:pStyle w:val="74"/>
            <w:tabs>
              <w:tab w:val="right" w:leader="dot" w:pos="8306"/>
            </w:tabs>
          </w:pPr>
          <w:r>
            <w:rPr>
              <w:bCs/>
            </w:rPr>
            <w:fldChar w:fldCharType="begin"/>
          </w:r>
          <w:r>
            <w:rPr>
              <w:bCs/>
            </w:rPr>
            <w:instrText xml:space="preserve"> HYPERLINK \l _Toc5706 </w:instrText>
          </w:r>
          <w:r>
            <w:rPr>
              <w:bCs/>
            </w:rPr>
            <w:fldChar w:fldCharType="separate"/>
          </w:r>
          <w:r>
            <w:rPr>
              <w:rFonts w:hint="eastAsia" w:ascii="楷体" w:hAnsi="楷体" w:eastAsia="楷体"/>
              <w:szCs w:val="24"/>
            </w:rPr>
            <w:t>焦炭：第一轮提降，震荡偏强</w:t>
          </w:r>
          <w:r>
            <w:rPr>
              <w:bCs/>
            </w:rPr>
            <w:fldChar w:fldCharType="end"/>
          </w:r>
        </w:p>
        <w:p>
          <w:pPr>
            <w:pStyle w:val="74"/>
            <w:tabs>
              <w:tab w:val="right" w:leader="dot" w:pos="8306"/>
            </w:tabs>
          </w:pPr>
          <w:r>
            <w:rPr>
              <w:bCs/>
            </w:rPr>
            <w:fldChar w:fldCharType="begin"/>
          </w:r>
          <w:r>
            <w:rPr>
              <w:bCs/>
            </w:rPr>
            <w:instrText xml:space="preserve"> HYPERLINK \l _Toc31264 </w:instrText>
          </w:r>
          <w:r>
            <w:rPr>
              <w:bCs/>
            </w:rPr>
            <w:fldChar w:fldCharType="separate"/>
          </w:r>
          <w:r>
            <w:rPr>
              <w:rFonts w:hint="eastAsia" w:ascii="楷体" w:hAnsi="楷体" w:eastAsia="楷体"/>
              <w:szCs w:val="24"/>
            </w:rPr>
            <w:t>焦煤：现货开始调整，下方空间有限，或震荡偏强</w:t>
          </w:r>
          <w:r>
            <w:rPr>
              <w:bCs/>
            </w:rPr>
            <w:fldChar w:fldCharType="end"/>
          </w:r>
        </w:p>
        <w:p>
          <w:pPr>
            <w:pStyle w:val="74"/>
            <w:tabs>
              <w:tab w:val="right" w:leader="dot" w:pos="8306"/>
            </w:tabs>
          </w:pPr>
          <w:r>
            <w:rPr>
              <w:bCs/>
            </w:rPr>
            <w:fldChar w:fldCharType="begin"/>
          </w:r>
          <w:r>
            <w:rPr>
              <w:bCs/>
            </w:rPr>
            <w:instrText xml:space="preserve"> HYPERLINK \l _Toc12972 </w:instrText>
          </w:r>
          <w:r>
            <w:rPr>
              <w:bCs/>
            </w:rPr>
            <w:fldChar w:fldCharType="separate"/>
          </w:r>
          <w:r>
            <w:rPr>
              <w:rFonts w:hint="eastAsia" w:ascii="楷体" w:hAnsi="楷体" w:eastAsia="楷体"/>
              <w:szCs w:val="24"/>
            </w:rPr>
            <w:t>铜：高位运行，短期上下空间均有限</w:t>
          </w:r>
          <w:r>
            <w:rPr>
              <w:bCs/>
            </w:rPr>
            <w:fldChar w:fldCharType="end"/>
          </w:r>
        </w:p>
        <w:p>
          <w:pPr>
            <w:pStyle w:val="74"/>
            <w:tabs>
              <w:tab w:val="right" w:leader="dot" w:pos="8306"/>
            </w:tabs>
          </w:pPr>
          <w:r>
            <w:rPr>
              <w:bCs/>
            </w:rPr>
            <w:fldChar w:fldCharType="begin"/>
          </w:r>
          <w:r>
            <w:rPr>
              <w:bCs/>
            </w:rPr>
            <w:instrText xml:space="preserve"> HYPERLINK \l _Toc25363 </w:instrText>
          </w:r>
          <w:r>
            <w:rPr>
              <w:bCs/>
            </w:rPr>
            <w:fldChar w:fldCharType="separate"/>
          </w:r>
          <w:r>
            <w:rPr>
              <w:rFonts w:hint="eastAsia" w:ascii="楷体" w:hAnsi="楷体" w:eastAsia="楷体"/>
              <w:szCs w:val="24"/>
            </w:rPr>
            <w:t>铝：成本支撑推高铝价，价格上方仍有压力</w:t>
          </w:r>
          <w:r>
            <w:rPr>
              <w:bCs/>
            </w:rPr>
            <w:fldChar w:fldCharType="end"/>
          </w:r>
        </w:p>
        <w:p>
          <w:pPr>
            <w:pStyle w:val="74"/>
            <w:tabs>
              <w:tab w:val="right" w:leader="dot" w:pos="8306"/>
            </w:tabs>
          </w:pPr>
          <w:r>
            <w:rPr>
              <w:bCs/>
            </w:rPr>
            <w:fldChar w:fldCharType="begin"/>
          </w:r>
          <w:r>
            <w:rPr>
              <w:bCs/>
            </w:rPr>
            <w:instrText xml:space="preserve"> HYPERLINK \l _Toc28968 </w:instrText>
          </w:r>
          <w:r>
            <w:rPr>
              <w:bCs/>
            </w:rPr>
            <w:fldChar w:fldCharType="separate"/>
          </w:r>
          <w:r>
            <w:rPr>
              <w:rFonts w:hint="eastAsia" w:ascii="楷体" w:hAnsi="楷体" w:eastAsia="楷体"/>
              <w:szCs w:val="24"/>
            </w:rPr>
            <w:t>锌：锌价上行压力仍存</w:t>
          </w:r>
          <w:r>
            <w:rPr>
              <w:bCs/>
            </w:rPr>
            <w:fldChar w:fldCharType="end"/>
          </w:r>
        </w:p>
        <w:p>
          <w:pPr>
            <w:pStyle w:val="74"/>
            <w:tabs>
              <w:tab w:val="right" w:leader="dot" w:pos="8306"/>
            </w:tabs>
          </w:pPr>
          <w:r>
            <w:rPr>
              <w:bCs/>
            </w:rPr>
            <w:fldChar w:fldCharType="begin"/>
          </w:r>
          <w:r>
            <w:rPr>
              <w:bCs/>
            </w:rPr>
            <w:instrText xml:space="preserve"> HYPERLINK \l _Toc8379 </w:instrText>
          </w:r>
          <w:r>
            <w:rPr>
              <w:bCs/>
            </w:rPr>
            <w:fldChar w:fldCharType="separate"/>
          </w:r>
          <w:r>
            <w:rPr>
              <w:rFonts w:hint="eastAsia" w:ascii="楷体" w:hAnsi="楷体" w:eastAsia="楷体"/>
              <w:szCs w:val="24"/>
            </w:rPr>
            <w:t>镍：库存与日俱增，镍价震荡偏弱筑底</w:t>
          </w:r>
          <w:r>
            <w:rPr>
              <w:bCs/>
            </w:rPr>
            <w:fldChar w:fldCharType="end"/>
          </w:r>
        </w:p>
        <w:p>
          <w:pPr>
            <w:pStyle w:val="74"/>
            <w:tabs>
              <w:tab w:val="right" w:leader="dot" w:pos="8306"/>
            </w:tabs>
          </w:pPr>
          <w:r>
            <w:rPr>
              <w:bCs/>
            </w:rPr>
            <w:fldChar w:fldCharType="begin"/>
          </w:r>
          <w:r>
            <w:rPr>
              <w:bCs/>
            </w:rPr>
            <w:instrText xml:space="preserve"> HYPERLINK \l _Toc7550 </w:instrText>
          </w:r>
          <w:r>
            <w:rPr>
              <w:bCs/>
            </w:rPr>
            <w:fldChar w:fldCharType="separate"/>
          </w:r>
          <w:r>
            <w:rPr>
              <w:rFonts w:hint="eastAsia" w:ascii="楷体" w:hAnsi="楷体" w:eastAsia="楷体"/>
              <w:szCs w:val="24"/>
            </w:rPr>
            <w:t>铅：铝价上方压力仍存</w:t>
          </w:r>
          <w:r>
            <w:rPr>
              <w:bCs/>
            </w:rPr>
            <w:fldChar w:fldCharType="end"/>
          </w:r>
        </w:p>
        <w:p>
          <w:pPr>
            <w:pStyle w:val="74"/>
            <w:tabs>
              <w:tab w:val="right" w:leader="dot" w:pos="8306"/>
            </w:tabs>
          </w:pPr>
          <w:r>
            <w:rPr>
              <w:bCs/>
            </w:rPr>
            <w:fldChar w:fldCharType="begin"/>
          </w:r>
          <w:r>
            <w:rPr>
              <w:bCs/>
            </w:rPr>
            <w:instrText xml:space="preserve"> HYPERLINK \l _Toc31217 </w:instrText>
          </w:r>
          <w:r>
            <w:rPr>
              <w:bCs/>
            </w:rPr>
            <w:fldChar w:fldCharType="separate"/>
          </w:r>
          <w:r>
            <w:rPr>
              <w:rFonts w:hint="eastAsia" w:ascii="楷体" w:hAnsi="楷体" w:eastAsia="楷体"/>
              <w:szCs w:val="24"/>
            </w:rPr>
            <w:t>不锈钢：供需压力趋增，存在累库预期</w:t>
          </w:r>
          <w:r>
            <w:rPr>
              <w:bCs/>
            </w:rPr>
            <w:fldChar w:fldCharType="end"/>
          </w:r>
        </w:p>
        <w:p>
          <w:pPr>
            <w:pStyle w:val="74"/>
            <w:tabs>
              <w:tab w:val="right" w:leader="dot" w:pos="8306"/>
            </w:tabs>
          </w:pPr>
          <w:r>
            <w:rPr>
              <w:bCs/>
            </w:rPr>
            <w:fldChar w:fldCharType="begin"/>
          </w:r>
          <w:r>
            <w:rPr>
              <w:bCs/>
            </w:rPr>
            <w:instrText xml:space="preserve"> HYPERLINK \l _Toc19664 </w:instrText>
          </w:r>
          <w:r>
            <w:rPr>
              <w:bCs/>
            </w:rPr>
            <w:fldChar w:fldCharType="separate"/>
          </w:r>
          <w:r>
            <w:rPr>
              <w:rFonts w:hint="eastAsia" w:ascii="楷体" w:hAnsi="楷体" w:eastAsia="楷体"/>
              <w:szCs w:val="24"/>
            </w:rPr>
            <w:t>工业硅：供应收缩预期下，短期盘面或有支撑</w:t>
          </w:r>
          <w:r>
            <w:rPr>
              <w:bCs/>
            </w:rPr>
            <w:fldChar w:fldCharType="end"/>
          </w:r>
        </w:p>
        <w:p>
          <w:pPr>
            <w:pStyle w:val="59"/>
            <w:tabs>
              <w:tab w:val="right" w:leader="dot" w:pos="8306"/>
            </w:tabs>
          </w:pPr>
          <w:r>
            <w:rPr>
              <w:bCs/>
            </w:rPr>
            <w:fldChar w:fldCharType="begin"/>
          </w:r>
          <w:r>
            <w:rPr>
              <w:bCs/>
            </w:rPr>
            <w:instrText xml:space="preserve"> HYPERLINK \l _Toc14907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_Toc9169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w:t>
          </w:r>
          <w:r>
            <w:rPr>
              <w:rFonts w:hint="eastAsia" w:ascii="楷体" w:hAnsi="楷体" w:eastAsia="楷体"/>
              <w:szCs w:val="24"/>
            </w:rPr>
            <w:t>谨防冲高回落风险</w:t>
          </w:r>
          <w:r>
            <w:rPr>
              <w:bCs/>
            </w:rPr>
            <w:fldChar w:fldCharType="end"/>
          </w:r>
        </w:p>
        <w:p>
          <w:pPr>
            <w:pStyle w:val="74"/>
            <w:tabs>
              <w:tab w:val="right" w:leader="dot" w:pos="8306"/>
            </w:tabs>
          </w:pPr>
          <w:r>
            <w:rPr>
              <w:bCs/>
            </w:rPr>
            <w:fldChar w:fldCharType="begin"/>
          </w:r>
          <w:r>
            <w:rPr>
              <w:bCs/>
            </w:rPr>
            <w:instrText xml:space="preserve"> HYPERLINK \l _Toc26041 </w:instrText>
          </w:r>
          <w:r>
            <w:rPr>
              <w:bCs/>
            </w:rPr>
            <w:fldChar w:fldCharType="separate"/>
          </w:r>
          <w:r>
            <w:rPr>
              <w:rFonts w:ascii="楷体" w:hAnsi="楷体" w:eastAsia="楷体"/>
              <w:szCs w:val="24"/>
            </w:rPr>
            <w:t>PTA</w:t>
          </w:r>
          <w:r>
            <w:rPr>
              <w:rFonts w:hint="eastAsia" w:ascii="楷体" w:hAnsi="楷体" w:eastAsia="楷体"/>
              <w:szCs w:val="24"/>
            </w:rPr>
            <w:t>：</w:t>
          </w:r>
          <w:r>
            <w:rPr>
              <w:rFonts w:hint="eastAsia" w:ascii="Calibri" w:hAnsi="Calibri" w:eastAsia="楷体" w:cs="Calibri"/>
              <w:szCs w:val="24"/>
            </w:rPr>
            <w:t>短线跟随成本端震荡偏强</w:t>
          </w:r>
          <w:r>
            <w:rPr>
              <w:bCs/>
            </w:rPr>
            <w:fldChar w:fldCharType="end"/>
          </w:r>
        </w:p>
        <w:p>
          <w:pPr>
            <w:pStyle w:val="74"/>
            <w:tabs>
              <w:tab w:val="right" w:leader="dot" w:pos="8306"/>
            </w:tabs>
          </w:pPr>
          <w:r>
            <w:rPr>
              <w:bCs/>
            </w:rPr>
            <w:fldChar w:fldCharType="begin"/>
          </w:r>
          <w:r>
            <w:rPr>
              <w:bCs/>
            </w:rPr>
            <w:instrText xml:space="preserve"> HYPERLINK \l _Toc10099 </w:instrText>
          </w:r>
          <w:r>
            <w:rPr>
              <w:bCs/>
            </w:rPr>
            <w:fldChar w:fldCharType="separate"/>
          </w:r>
          <w:r>
            <w:rPr>
              <w:rFonts w:hint="eastAsia" w:ascii="楷体" w:hAnsi="楷体" w:eastAsia="楷体"/>
              <w:szCs w:val="24"/>
            </w:rPr>
            <w:t>聚烯烃：成本端支撑减弱 聚烯烃今日或震荡下行</w:t>
          </w:r>
          <w:r>
            <w:rPr>
              <w:bCs/>
            </w:rPr>
            <w:fldChar w:fldCharType="end"/>
          </w:r>
        </w:p>
        <w:p>
          <w:pPr>
            <w:pStyle w:val="74"/>
            <w:tabs>
              <w:tab w:val="right" w:leader="dot" w:pos="8306"/>
            </w:tabs>
          </w:pPr>
          <w:r>
            <w:rPr>
              <w:bCs/>
            </w:rPr>
            <w:fldChar w:fldCharType="begin"/>
          </w:r>
          <w:r>
            <w:rPr>
              <w:bCs/>
            </w:rPr>
            <w:instrText xml:space="preserve"> HYPERLINK \l _Toc417 </w:instrText>
          </w:r>
          <w:r>
            <w:rPr>
              <w:bCs/>
            </w:rPr>
            <w:fldChar w:fldCharType="separate"/>
          </w:r>
          <w:r>
            <w:rPr>
              <w:rFonts w:hint="eastAsia" w:ascii="楷体" w:hAnsi="楷体" w:eastAsia="楷体"/>
              <w:szCs w:val="24"/>
            </w:rPr>
            <w:t>MEG：供需格局转好 乙二醇短期震荡偏强</w:t>
          </w:r>
          <w:r>
            <w:rPr>
              <w:bCs/>
            </w:rPr>
            <w:fldChar w:fldCharType="end"/>
          </w:r>
        </w:p>
        <w:p>
          <w:pPr>
            <w:pStyle w:val="74"/>
            <w:tabs>
              <w:tab w:val="right" w:leader="dot" w:pos="8306"/>
            </w:tabs>
          </w:pPr>
          <w:r>
            <w:rPr>
              <w:bCs/>
            </w:rPr>
            <w:fldChar w:fldCharType="begin"/>
          </w:r>
          <w:r>
            <w:rPr>
              <w:bCs/>
            </w:rPr>
            <w:instrText xml:space="preserve"> HYPERLINK \l _Toc13303 </w:instrText>
          </w:r>
          <w:r>
            <w:rPr>
              <w:bCs/>
            </w:rPr>
            <w:fldChar w:fldCharType="separate"/>
          </w:r>
          <w:r>
            <w:rPr>
              <w:rFonts w:hint="eastAsia" w:ascii="楷体" w:hAnsi="楷体" w:eastAsia="楷体"/>
              <w:szCs w:val="24"/>
            </w:rPr>
            <w:t>玻璃：周内预计累库，期价区间震荡</w:t>
          </w:r>
          <w:r>
            <w:rPr>
              <w:bCs/>
            </w:rPr>
            <w:fldChar w:fldCharType="end"/>
          </w:r>
        </w:p>
        <w:p>
          <w:pPr>
            <w:pStyle w:val="74"/>
            <w:tabs>
              <w:tab w:val="right" w:leader="dot" w:pos="8306"/>
            </w:tabs>
          </w:pPr>
          <w:r>
            <w:rPr>
              <w:bCs/>
            </w:rPr>
            <w:fldChar w:fldCharType="begin"/>
          </w:r>
          <w:r>
            <w:rPr>
              <w:bCs/>
            </w:rPr>
            <w:instrText xml:space="preserve"> HYPERLINK \l _Toc15752 </w:instrText>
          </w:r>
          <w:r>
            <w:rPr>
              <w:bCs/>
            </w:rPr>
            <w:fldChar w:fldCharType="separate"/>
          </w:r>
          <w:r>
            <w:rPr>
              <w:rFonts w:hint="eastAsia" w:ascii="楷体" w:hAnsi="楷体" w:eastAsia="楷体"/>
              <w:szCs w:val="24"/>
            </w:rPr>
            <w:t>纯碱：节后有累库预期，基本面走弱</w:t>
          </w:r>
          <w:r>
            <w:rPr>
              <w:bCs/>
            </w:rPr>
            <w:fldChar w:fldCharType="end"/>
          </w:r>
        </w:p>
        <w:p>
          <w:pPr>
            <w:pStyle w:val="59"/>
            <w:tabs>
              <w:tab w:val="right" w:leader="dot" w:pos="8306"/>
            </w:tabs>
          </w:pPr>
          <w:r>
            <w:rPr>
              <w:bCs/>
            </w:rPr>
            <w:fldChar w:fldCharType="begin"/>
          </w:r>
          <w:r>
            <w:rPr>
              <w:bCs/>
            </w:rPr>
            <w:instrText xml:space="preserve"> HYPERLINK \l _Toc21900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_Toc27657 </w:instrText>
          </w:r>
          <w:r>
            <w:rPr>
              <w:bCs/>
            </w:rPr>
            <w:fldChar w:fldCharType="separate"/>
          </w:r>
          <w:r>
            <w:rPr>
              <w:rFonts w:hint="eastAsia" w:ascii="楷体" w:hAnsi="楷体" w:eastAsia="楷体"/>
              <w:szCs w:val="24"/>
            </w:rPr>
            <w:t>豆粕/菜粕：成本端支撑减弱，期现价格偏弱震荡</w:t>
          </w:r>
          <w:r>
            <w:rPr>
              <w:bCs/>
            </w:rPr>
            <w:fldChar w:fldCharType="end"/>
          </w:r>
        </w:p>
        <w:p>
          <w:pPr>
            <w:pStyle w:val="74"/>
            <w:tabs>
              <w:tab w:val="right" w:leader="dot" w:pos="8306"/>
            </w:tabs>
          </w:pPr>
          <w:r>
            <w:rPr>
              <w:bCs/>
            </w:rPr>
            <w:fldChar w:fldCharType="begin"/>
          </w:r>
          <w:r>
            <w:rPr>
              <w:bCs/>
            </w:rPr>
            <w:instrText xml:space="preserve"> HYPERLINK \l _Toc22245 </w:instrText>
          </w:r>
          <w:r>
            <w:rPr>
              <w:bCs/>
            </w:rPr>
            <w:fldChar w:fldCharType="separate"/>
          </w:r>
          <w:r>
            <w:rPr>
              <w:rFonts w:hint="eastAsia" w:ascii="楷体" w:hAnsi="楷体" w:eastAsia="楷体"/>
              <w:szCs w:val="24"/>
            </w:rPr>
            <w:t>油脂：外部市场疲弱，期价存压</w:t>
          </w:r>
          <w:r>
            <w:rPr>
              <w:bCs/>
            </w:rPr>
            <w:fldChar w:fldCharType="end"/>
          </w:r>
        </w:p>
        <w:p>
          <w:pPr>
            <w:pStyle w:val="74"/>
            <w:tabs>
              <w:tab w:val="right" w:leader="dot" w:pos="8306"/>
            </w:tabs>
          </w:pPr>
          <w:r>
            <w:rPr>
              <w:bCs/>
            </w:rPr>
            <w:fldChar w:fldCharType="begin"/>
          </w:r>
          <w:r>
            <w:rPr>
              <w:bCs/>
            </w:rPr>
            <w:instrText xml:space="preserve"> HYPERLINK \l _Toc28041 </w:instrText>
          </w:r>
          <w:r>
            <w:rPr>
              <w:bCs/>
            </w:rPr>
            <w:fldChar w:fldCharType="separate"/>
          </w:r>
          <w:r>
            <w:rPr>
              <w:rFonts w:hint="eastAsia" w:ascii="楷体" w:hAnsi="楷体" w:eastAsia="楷体"/>
              <w:bCs/>
            </w:rPr>
            <w:t>玉米与淀粉：</w:t>
          </w:r>
          <w:r>
            <w:rPr>
              <w:rFonts w:hint="eastAsia" w:ascii="楷体" w:hAnsi="楷体" w:eastAsia="楷体"/>
            </w:rPr>
            <w:t>期价震荡偏强运行</w:t>
          </w:r>
          <w:r>
            <w:rPr>
              <w:bCs/>
            </w:rPr>
            <w:fldChar w:fldCharType="end"/>
          </w:r>
        </w:p>
        <w:p>
          <w:pPr>
            <w:pStyle w:val="74"/>
            <w:tabs>
              <w:tab w:val="right" w:leader="dot" w:pos="8306"/>
            </w:tabs>
          </w:pPr>
          <w:r>
            <w:rPr>
              <w:bCs/>
            </w:rPr>
            <w:fldChar w:fldCharType="begin"/>
          </w:r>
          <w:r>
            <w:rPr>
              <w:bCs/>
            </w:rPr>
            <w:instrText xml:space="preserve"> HYPERLINK \l _Toc15718 </w:instrText>
          </w:r>
          <w:r>
            <w:rPr>
              <w:bCs/>
            </w:rPr>
            <w:fldChar w:fldCharType="separate"/>
          </w:r>
          <w:r>
            <w:rPr>
              <w:rFonts w:hint="eastAsia" w:ascii="楷体" w:hAnsi="楷体" w:eastAsia="楷体"/>
              <w:bCs/>
            </w:rPr>
            <w:t>畜禽养殖：鸡蛋期价午后下跌</w:t>
          </w:r>
          <w:r>
            <w:rPr>
              <w:bCs/>
            </w:rPr>
            <w:fldChar w:fldCharType="end"/>
          </w:r>
        </w:p>
        <w:p>
          <w:pPr>
            <w:pStyle w:val="74"/>
            <w:tabs>
              <w:tab w:val="right" w:leader="dot" w:pos="8306"/>
            </w:tabs>
          </w:pPr>
          <w:r>
            <w:rPr>
              <w:bCs/>
            </w:rPr>
            <w:fldChar w:fldCharType="begin"/>
          </w:r>
          <w:r>
            <w:rPr>
              <w:bCs/>
            </w:rPr>
            <w:instrText xml:space="preserve"> HYPERLINK \l _Toc1572 </w:instrText>
          </w:r>
          <w:r>
            <w:rPr>
              <w:bCs/>
            </w:rPr>
            <w:fldChar w:fldCharType="separate"/>
          </w:r>
          <w:r>
            <w:rPr>
              <w:rFonts w:hint="eastAsia" w:ascii="楷体" w:hAnsi="楷体" w:eastAsia="楷体"/>
              <w:szCs w:val="24"/>
            </w:rPr>
            <w:t>郑棉：震荡整理</w:t>
          </w:r>
          <w:r>
            <w:rPr>
              <w:bCs/>
            </w:rPr>
            <w:fldChar w:fldCharType="end"/>
          </w:r>
        </w:p>
        <w:p>
          <w:pPr>
            <w:pStyle w:val="74"/>
            <w:tabs>
              <w:tab w:val="right" w:leader="dot" w:pos="8306"/>
            </w:tabs>
          </w:pPr>
          <w:r>
            <w:rPr>
              <w:bCs/>
            </w:rPr>
            <w:fldChar w:fldCharType="begin"/>
          </w:r>
          <w:r>
            <w:rPr>
              <w:bCs/>
            </w:rPr>
            <w:instrText xml:space="preserve"> HYPERLINK \l _Toc26587 </w:instrText>
          </w:r>
          <w:r>
            <w:rPr>
              <w:bCs/>
            </w:rPr>
            <w:fldChar w:fldCharType="separate"/>
          </w:r>
          <w:r>
            <w:rPr>
              <w:rFonts w:hint="eastAsia" w:ascii="楷体" w:hAnsi="楷体" w:eastAsia="楷体"/>
              <w:szCs w:val="24"/>
            </w:rPr>
            <w:t>白糖：震荡整理</w:t>
          </w:r>
          <w:r>
            <w:rPr>
              <w:bCs/>
            </w:rPr>
            <w:fldChar w:fldCharType="end"/>
          </w:r>
        </w:p>
        <w:p>
          <w:pPr>
            <w:pStyle w:val="59"/>
            <w:tabs>
              <w:tab w:val="right" w:leader="dot" w:pos="8306"/>
            </w:tabs>
          </w:pPr>
          <w:r>
            <w:rPr>
              <w:bCs/>
            </w:rPr>
            <w:fldChar w:fldCharType="begin"/>
          </w:r>
          <w:r>
            <w:rPr>
              <w:bCs/>
            </w:rPr>
            <w:instrText xml:space="preserve"> HYPERLINK \l _Toc8206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_Toc27614 </w:instrText>
          </w:r>
          <w:r>
            <w:rPr>
              <w:bCs/>
            </w:rPr>
            <w:fldChar w:fldCharType="separate"/>
          </w:r>
          <w:r>
            <w:rPr>
              <w:rFonts w:hint="eastAsia" w:ascii="Times New Roman" w:hAnsi="Times New Roman" w:eastAsia="楷体"/>
              <w:szCs w:val="24"/>
            </w:rPr>
            <w:t>集运指数（欧线）：胡塞武装向美军舰开火，再有25名投资者被发现关联交易并实施限制</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22842"/>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17512"/>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左侧轻仓布局，若IM跌破10月前低则止损</w:t>
      </w:r>
      <w:bookmarkEnd w:id="7"/>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近期市场出现缩量阴跌及前期小盘股强势补跌，往往也是市场进入底部区域标志，问题是主线尚不明朗，游戏新规削弱小盘炒作氛围，加之市场对美债利率下行利好钝化，反弹时机尚不确定。目前可左侧轻仓布局，但若IM破10月前低，则做好破位下行准备。</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17982"/>
      <w:r>
        <w:rPr>
          <w:rFonts w:hint="eastAsia" w:ascii="Times New Roman" w:hAnsi="Times New Roman" w:eastAsia="楷体"/>
          <w:b/>
          <w:color w:val="823C0B"/>
          <w:sz w:val="30"/>
          <w:szCs w:val="30"/>
        </w:rPr>
        <w:t>[贵金属]</w:t>
      </w:r>
      <w:bookmarkEnd w:id="8"/>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9" w:name="_Toc3598"/>
      <w:r>
        <w:rPr>
          <w:rFonts w:hint="eastAsia" w:ascii="Times New Roman" w:hAnsi="Times New Roman" w:eastAsia="楷体"/>
          <w:b/>
          <w:color w:val="000000" w:themeColor="text1"/>
          <w:sz w:val="24"/>
          <w:szCs w:val="24"/>
          <w14:textFill>
            <w14:solidFill>
              <w14:schemeClr w14:val="tx1"/>
            </w14:solidFill>
          </w14:textFill>
        </w:rPr>
        <w:t>贵金属：美国Markit制造业PMI终值小幅下修，贵金属价格小幅下跌</w:t>
      </w:r>
      <w:bookmarkEnd w:id="9"/>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美元指数涨0.91%至102.25，美十债收益率涨5.4bp至3.936%。沪金微跌0.02%，沪银跌0.23%。欧元区2023年12月Markit制造业PMI终值录得44.4，较预期及前值略微上修0.2。美国2023年12月Markit制造业PMI终值为47.9，较预期的48.4和上月前值48.2小幅下修。美国2023年11月营建支出环比升0.4%，预期升0.5%，前值由升0.6%修正至升1.2%。周三、周五晚间将分别公布美国ISM制造业及非制造业PMI数据；另外周内重点关注非农就业数据更新情况。在利率下降的环境下，对于零息资产黄金、白银而言整体利多，建议沪金、沪银逢回调轻仓试多。</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金属"/>
      <w:bookmarkStart w:id="11" w:name="_Toc3096"/>
      <w:bookmarkStart w:id="12" w:name="_Toc20891"/>
      <w:bookmarkStart w:id="13" w:name="_Toc18516"/>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ascii="楷体" w:hAnsi="楷体" w:eastAsia="楷体"/>
          <w:b/>
          <w:color w:val="000000" w:themeColor="text1"/>
          <w:sz w:val="24"/>
          <w:szCs w:val="24"/>
          <w14:textFill>
            <w14:solidFill>
              <w14:schemeClr w14:val="tx1"/>
            </w14:solidFill>
          </w14:textFill>
        </w:rPr>
      </w:pPr>
      <w:bookmarkStart w:id="15" w:name="_Toc14155"/>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碳酸锂：01合约进入交割月，期价小幅上涨</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碳酸锂现货价格低位持平，期价小幅上涨，07合约涨1.59%至108350元/吨。01合约进入交割月，持仓降至10143手。盐湖地区开工率下降，江西地区外购矿石提锂生产企业逐步减产，四川地区自有矿企业开工正常、外购矿企业逐步减产。1月起锂盐生产企业减产力度加大，整体供应量减少，截至上周碳酸锂装置开工率下降至46.92%。春节附近锂盐企业或例行检修，后续关注锂盐企业长期订单签订以及生产计划情况，建议谨慎观望，留意交易风险。</w:t>
      </w:r>
    </w:p>
    <w:p>
      <w:pPr>
        <w:ind w:left="420" w:leftChars="200"/>
        <w:outlineLvl w:val="1"/>
        <w:rPr>
          <w:rFonts w:ascii="楷体" w:hAnsi="楷体" w:eastAsia="楷体"/>
          <w:b/>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22591"/>
      <w:r>
        <w:rPr>
          <w:rFonts w:hint="eastAsia" w:ascii="楷体" w:hAnsi="楷体" w:eastAsia="楷体"/>
          <w:b/>
          <w:color w:val="000000" w:themeColor="text1"/>
          <w:sz w:val="24"/>
          <w:szCs w:val="24"/>
          <w14:textFill>
            <w14:solidFill>
              <w14:schemeClr w14:val="tx1"/>
            </w14:solidFill>
          </w14:textFill>
        </w:rPr>
        <w:t>螺纹钢：</w:t>
      </w:r>
      <w:bookmarkEnd w:id="16"/>
      <w:bookmarkEnd w:id="17"/>
      <w:r>
        <w:rPr>
          <w:rFonts w:hint="eastAsia" w:ascii="楷体" w:hAnsi="楷体" w:eastAsia="楷体"/>
          <w:b/>
          <w:color w:val="000000" w:themeColor="text1"/>
          <w:sz w:val="24"/>
          <w:szCs w:val="24"/>
          <w14:textFill>
            <w14:solidFill>
              <w14:schemeClr w14:val="tx1"/>
            </w14:solidFill>
          </w14:textFill>
        </w:rPr>
        <w:t>PSL利好刺激，钢价或震荡上行</w:t>
      </w:r>
      <w:bookmarkEnd w:id="18"/>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盘面保持升水，期现锁市场流动性，补库或陆陆续续开始，PSL刺激市场情绪，中期或维持震荡上行格局。</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9" w:name="_Toc11356"/>
      <w:bookmarkStart w:id="20" w:name="_Toc4790"/>
      <w:bookmarkStart w:id="21" w:name="_Toc5706"/>
      <w:r>
        <w:rPr>
          <w:rFonts w:hint="eastAsia" w:ascii="楷体" w:hAnsi="楷体" w:eastAsia="楷体"/>
          <w:b/>
          <w:color w:val="000000" w:themeColor="text1"/>
          <w:sz w:val="24"/>
          <w:szCs w:val="24"/>
          <w14:textFill>
            <w14:solidFill>
              <w14:schemeClr w14:val="tx1"/>
            </w14:solidFill>
          </w14:textFill>
        </w:rPr>
        <w:t>焦炭：</w:t>
      </w:r>
      <w:bookmarkEnd w:id="19"/>
      <w:bookmarkEnd w:id="20"/>
      <w:r>
        <w:rPr>
          <w:rFonts w:hint="eastAsia" w:ascii="楷体" w:hAnsi="楷体" w:eastAsia="楷体"/>
          <w:b/>
          <w:color w:val="000000" w:themeColor="text1"/>
          <w:sz w:val="24"/>
          <w:szCs w:val="24"/>
          <w14:textFill>
            <w14:solidFill>
              <w14:schemeClr w14:val="tx1"/>
            </w14:solidFill>
          </w14:textFill>
        </w:rPr>
        <w:t>第一轮提降，震荡偏强</w:t>
      </w:r>
      <w:bookmarkEnd w:id="21"/>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下游继续补库动力不足，盘面预期提降两轮，现货或开始降价。盘面估值偏低，现货向下收敛基差，预计短期或震荡上行。</w:t>
      </w:r>
    </w:p>
    <w:p>
      <w:pPr>
        <w:ind w:left="210" w:leftChars="100"/>
        <w:rPr>
          <w:rFonts w:ascii="楷体" w:hAnsi="楷体" w:eastAsia="楷体"/>
          <w:bCs/>
          <w:sz w:val="24"/>
          <w:szCs w:val="24"/>
        </w:rPr>
      </w:pPr>
    </w:p>
    <w:p>
      <w:pPr>
        <w:ind w:left="420" w:leftChars="200"/>
        <w:outlineLvl w:val="1"/>
        <w:rPr>
          <w:rFonts w:ascii="楷体" w:hAnsi="楷体" w:eastAsia="楷体"/>
          <w:b/>
          <w:sz w:val="24"/>
          <w:szCs w:val="24"/>
        </w:rPr>
      </w:pPr>
      <w:bookmarkStart w:id="22" w:name="_Toc31264"/>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现货开始调整，下方空间有限，或震荡偏强</w:t>
      </w:r>
      <w:bookmarkEnd w:id="22"/>
    </w:p>
    <w:p>
      <w:pPr>
        <w:ind w:left="630" w:leftChars="300"/>
        <w:rPr>
          <w:rFonts w:ascii="楷体" w:hAnsi="楷体" w:eastAsia="楷体"/>
          <w:bCs/>
          <w:sz w:val="24"/>
          <w:szCs w:val="24"/>
        </w:rPr>
      </w:pPr>
      <w:r>
        <w:rPr>
          <w:rFonts w:hint="eastAsia" w:ascii="楷体" w:hAnsi="楷体" w:eastAsia="楷体"/>
          <w:sz w:val="24"/>
          <w:szCs w:val="24"/>
        </w:rPr>
        <w:t>煤矿仍处于低产、低库存状态，叠加仍有部分冬储量未完成，盘面绝对价格下移后仍有支撑。前期盘面调整相对充分后，盘面震荡收敛基差，目前估值处于合理范围内，预计随成材震荡运行。</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3" w:name="_Toc9719"/>
      <w:bookmarkStart w:id="24" w:name="_Toc25617"/>
      <w:bookmarkStart w:id="25" w:name="_Toc12972"/>
      <w:r>
        <w:rPr>
          <w:rFonts w:hint="eastAsia" w:ascii="楷体" w:hAnsi="楷体" w:eastAsia="楷体"/>
          <w:b/>
          <w:color w:val="000000" w:themeColor="text1"/>
          <w:sz w:val="24"/>
          <w:szCs w:val="24"/>
          <w14:textFill>
            <w14:solidFill>
              <w14:schemeClr w14:val="tx1"/>
            </w14:solidFill>
          </w14:textFill>
        </w:rPr>
        <w:t>铜：</w:t>
      </w:r>
      <w:bookmarkEnd w:id="23"/>
      <w:bookmarkEnd w:id="24"/>
      <w:r>
        <w:rPr>
          <w:rFonts w:hint="eastAsia" w:ascii="楷体" w:hAnsi="楷体" w:eastAsia="楷体"/>
          <w:b/>
          <w:color w:val="000000" w:themeColor="text1"/>
          <w:sz w:val="24"/>
          <w:szCs w:val="24"/>
          <w14:textFill>
            <w14:solidFill>
              <w14:schemeClr w14:val="tx1"/>
            </w14:solidFill>
          </w14:textFill>
        </w:rPr>
        <w:t>高位运行，短期上下空间均有限</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(1)宏观：亚特兰大联储GDPNow模型预计美国2023年第四季度GDP增速为2.0%，此前预计为2.3%。</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美国12月Markit制造业PMI终值47.9，预期48.4，前值48.2。</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(2)库存：1月2日，SHFE仓单库存4307吨，减1670吨；LME仓单库存165700吨，减1600吨。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(3)精废价差：1月2日，Mysteel精废价差2022，收窄140。目前价差在合理价差1391之上。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隔夜公布美国制造业数据弱于预期，美元指数止跌反弹，压制铜价。基本面，近期内外库存再次去化，国内现货流通货源偏紧，贴水行情未能持续，现货重回升水。当前美联储降息驱动放缓，低库存支撑逻辑仍在，预计短期铜价维持高位运行。</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6" w:name="_Toc6247"/>
      <w:bookmarkStart w:id="27" w:name="_Toc8897"/>
      <w:bookmarkStart w:id="28" w:name="_Toc25363"/>
      <w:r>
        <w:rPr>
          <w:rFonts w:hint="eastAsia" w:ascii="楷体" w:hAnsi="楷体" w:eastAsia="楷体"/>
          <w:b/>
          <w:color w:val="000000" w:themeColor="text1"/>
          <w:sz w:val="24"/>
          <w:szCs w:val="24"/>
          <w14:textFill>
            <w14:solidFill>
              <w14:schemeClr w14:val="tx1"/>
            </w14:solidFill>
          </w14:textFill>
        </w:rPr>
        <w:t>铝：</w:t>
      </w:r>
      <w:bookmarkEnd w:id="26"/>
      <w:bookmarkEnd w:id="27"/>
      <w:r>
        <w:rPr>
          <w:rFonts w:hint="eastAsia" w:ascii="楷体" w:hAnsi="楷体" w:eastAsia="楷体"/>
          <w:b/>
          <w:color w:val="000000" w:themeColor="text1"/>
          <w:sz w:val="24"/>
          <w:szCs w:val="24"/>
          <w14:textFill>
            <w14:solidFill>
              <w14:schemeClr w14:val="tx1"/>
            </w14:solidFill>
          </w14:textFill>
        </w:rPr>
        <w:t>成本支撑推高铝价，价格上方仍有压力</w:t>
      </w:r>
      <w:bookmarkEnd w:id="2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几内亚储油罐爆炸，当地铝土矿开产受阻引发市场恐慌，氧化铝生产成本推升，国内晋豫地区矿山整治叠加环保限产导致当地氧化铝厂被迫减产，电解铝冶炼利润在氧化铝价格走高影响下有所压缩，电解铝供应暂时维持平稳运行，需求淡季及环保政策影响下，下游加工开产或进一步走弱，库存维持去化，支撑盘面价格偏强运行，实际上方空间仍有压力。</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9" w:name="_Toc28968"/>
      <w:r>
        <w:rPr>
          <w:rFonts w:hint="eastAsia" w:ascii="楷体" w:hAnsi="楷体" w:eastAsia="楷体"/>
          <w:b/>
          <w:color w:val="000000" w:themeColor="text1"/>
          <w:sz w:val="24"/>
          <w:szCs w:val="24"/>
          <w14:textFill>
            <w14:solidFill>
              <w14:schemeClr w14:val="tx1"/>
            </w14:solidFill>
          </w14:textFill>
        </w:rPr>
        <w:t>锌：锌价上行压力仍存</w:t>
      </w:r>
      <w:bookmarkEnd w:id="2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海外伦锌库存累库，进口矿加工费TC下调较多，冶炼端利润进一步压缩，国内部分地区冶炼厂受限电和检修影响减产，精炼锌产量小幅回落，需求淡季叠加冬季寒冷影响 ，下游开工受限，社会库存小幅累积，供需两弱，价格冲高但动力不足，建议多单及时止盈。</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0" w:name="_Toc8379"/>
      <w:r>
        <w:rPr>
          <w:rFonts w:hint="eastAsia" w:ascii="楷体" w:hAnsi="楷体" w:eastAsia="楷体"/>
          <w:b/>
          <w:color w:val="000000" w:themeColor="text1"/>
          <w:sz w:val="24"/>
          <w:szCs w:val="24"/>
          <w14:textFill>
            <w14:solidFill>
              <w14:schemeClr w14:val="tx1"/>
            </w14:solidFill>
          </w14:textFill>
        </w:rPr>
        <w:t>镍：库存与日俱增，镍价震荡偏弱筑底</w:t>
      </w:r>
      <w:bookmarkEnd w:id="3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应端，由于利润有所修复，精炼镍产量环比增加，且未来尚有较多产能新投或扩产。需求端，不锈钢厂1月排产增加，对镍需求有所好转；三元材料的去库压力较重，预计对镍需求维持疲弱；年底是合金和电镀消费淡季，对镍需求有限。库存端，呈现趋势性累积，对镍价带来压力，截至12月29日，国内精炼镍社库为2.17万吨，同比增加48%；沪镍库存达到近三年历史高位；LME镍库存累至近一年半以来高位，月环比增加38%。成本端，当前镍价已逼近部分企业的一体化高冰镍生产电积镍工艺的边际成本，短期内成本支撑下镍价继续深跌的动能不足。综合而言，镍维持供强需弱格局，库存趋势性累库，对镍价带来压力。然而，成本支撑下短期镍价继续深跌动能不足。预计镍价延续震荡偏弱筑底。</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7550"/>
      <w:r>
        <w:rPr>
          <w:rFonts w:hint="eastAsia" w:ascii="楷体" w:hAnsi="楷体" w:eastAsia="楷体"/>
          <w:b/>
          <w:color w:val="000000" w:themeColor="text1"/>
          <w:sz w:val="24"/>
          <w:szCs w:val="24"/>
          <w14:textFill>
            <w14:solidFill>
              <w14:schemeClr w14:val="tx1"/>
            </w14:solidFill>
          </w14:textFill>
        </w:rPr>
        <w:t>铅：铝价上方压力仍存</w:t>
      </w:r>
      <w:bookmarkEnd w:id="31"/>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巴以冲突加剧，原油价格暴涨，市场对联储加息预期走强，带动大宗整体情绪偏弱。国内电解铝运行产能高位，但复产产能多为铝水，铝棒加工费持续下行，铝棒库存被动去库，反映出铝合金下游需求偏弱。LME铝锭库存假期间出现累库迹象，国内铝市交易所库存及社库较大幅度累库，铝锭市场供应偏紧，近期铝锭进口利润窗口打开，国内原铝进口同比增长。“金九银十”旺季之下，旺季消费效应不显，订单增幅不及预期，铝价高位抑制下游采购意愿，下游企业开工率略有修复但不及预期。整体上看，国内铝锭市场供应偏紧但有进口增量补充，目前电解铝生产产能高位，铝水转化率或因铸锭量偏少的情况作出下调动作，需求维持弱修复，铝价在强供应、弱消费的现实之下，价格上行驱动有限，节日前多次尝试突破箱体运行区间上沿无果，假期海外市场情绪偏弱，预计铝价节后将重回震荡区间中枢附近，约计在18500-19000之间。</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2" w:name="_Toc31217"/>
      <w:r>
        <w:rPr>
          <w:rFonts w:hint="eastAsia" w:ascii="楷体" w:hAnsi="楷体" w:eastAsia="楷体"/>
          <w:b/>
          <w:color w:val="000000" w:themeColor="text1"/>
          <w:sz w:val="24"/>
          <w:szCs w:val="24"/>
          <w14:textFill>
            <w14:solidFill>
              <w14:schemeClr w14:val="tx1"/>
            </w14:solidFill>
          </w14:textFill>
        </w:rPr>
        <w:t>不锈钢：供需压力趋增，存在累库预期</w:t>
      </w:r>
      <w:bookmarkEnd w:id="32"/>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年底，不锈钢消费传统淡季加上资金回流压力，现货成交以刚需采购为主，预计下游需求趋淡。然而，供应存在增量，不锈钢厂积极复产，在1月排产增加。社会库存连续下降是12月不锈钢价反弹的关键因素，但是不锈钢到货将明显增加，在需求趋弱而供应将增的情况下，社库存在累库预期。对于成本支撑而言，镍铁价格难以继续走强，主要由于镍矿价格弱势运行且镍铁仍然过剩。综合而言，年底不锈钢需求难有改善，而供应将有增量，社会库存具有累库预期，不锈钢价格承压运行。持续关注印尼不锈钢厂爆炸事件后续影响。</w:t>
      </w:r>
    </w:p>
    <w:p>
      <w:pPr>
        <w:rPr>
          <w:rFonts w:ascii="楷体" w:hAnsi="楷体" w:eastAsia="楷体"/>
          <w:bCs/>
          <w:sz w:val="24"/>
          <w:szCs w:val="24"/>
        </w:rPr>
      </w:pPr>
    </w:p>
    <w:p>
      <w:pPr>
        <w:ind w:left="420" w:leftChars="200"/>
        <w:outlineLvl w:val="1"/>
        <w:rPr>
          <w:rFonts w:ascii="楷体" w:hAnsi="楷体" w:eastAsia="楷体"/>
          <w:b/>
          <w:sz w:val="24"/>
          <w:szCs w:val="24"/>
        </w:rPr>
      </w:pPr>
      <w:bookmarkStart w:id="33" w:name="_Toc19664"/>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供应收缩预期下，短期盘面或有支撑</w:t>
      </w:r>
      <w:bookmarkEnd w:id="33"/>
    </w:p>
    <w:p>
      <w:pPr>
        <w:ind w:left="630" w:leftChars="300"/>
        <w:rPr>
          <w:rFonts w:ascii="楷体" w:hAnsi="楷体" w:eastAsia="楷体"/>
          <w:sz w:val="24"/>
          <w:szCs w:val="24"/>
        </w:rPr>
      </w:pPr>
      <w:r>
        <w:rPr>
          <w:rFonts w:hint="eastAsia" w:ascii="楷体" w:hAnsi="楷体" w:eastAsia="楷体"/>
          <w:sz w:val="24"/>
          <w:szCs w:val="24"/>
        </w:rPr>
        <w:t>1月2日，Si2402主力合约呈反弹走势，收盘价14365元/吨，较上一收盘价涨跌幅+1.45%。在西南季节性减产背景下，北方供应扰动因素加剧，使得供应存在进一步收缩预期，且下游存在春节前备货现象，随着距离春节时间越来越近，需求或有望逐步迎来改善，短期盘面或有支撑。策略上，建议可尝试逢低做多机会。</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34" w:name="化工"/>
      <w:r>
        <w:rPr>
          <w:rFonts w:hint="eastAsia" w:ascii="Times New Roman" w:hAnsi="Times New Roman" w:eastAsia="楷体"/>
          <w:b/>
          <w:color w:val="823C0B"/>
          <w:sz w:val="30"/>
          <w:szCs w:val="30"/>
        </w:rPr>
        <w:t xml:space="preserve"> </w:t>
      </w:r>
      <w:bookmarkStart w:id="35" w:name="_Toc14907"/>
      <w:r>
        <w:rPr>
          <w:rFonts w:hint="eastAsia" w:ascii="Times New Roman" w:hAnsi="Times New Roman" w:eastAsia="楷体"/>
          <w:b/>
          <w:color w:val="823C0B"/>
          <w:sz w:val="30"/>
          <w:szCs w:val="30"/>
        </w:rPr>
        <w:t>[化工]</w:t>
      </w:r>
      <w:bookmarkEnd w:id="34"/>
      <w:bookmarkEnd w:id="35"/>
    </w:p>
    <w:p>
      <w:pPr>
        <w:ind w:firstLine="482" w:firstLineChars="200"/>
        <w:outlineLvl w:val="1"/>
        <w:rPr>
          <w:rFonts w:ascii="楷体" w:hAnsi="楷体" w:eastAsia="楷体"/>
          <w:b/>
          <w:sz w:val="24"/>
          <w:szCs w:val="24"/>
        </w:rPr>
      </w:pPr>
      <w:bookmarkStart w:id="36" w:name="_Toc9169"/>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谨防冲高回落风险</w:t>
      </w:r>
      <w:bookmarkEnd w:id="36"/>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供应方面，国内外工厂为冬储备库及正常生产节奏，对原料存抢占情绪，原料价格反季节性上涨给予盘面表现较强支撑，生产成本施压下胶价或继续走高。库存方面，随着海外订单陆续到港，逢下游工厂出货淡季，港口库存继续降库幅度受到压制，供需压制仍存。需求端来看，半钢胎样本企业外贸订单充足，且部分企业排产2024年订单。全钢胎样本企业出货偏慢，整体库存继续提升。终端汽车方面，11月数据同环比继续走强，汽车消费旺季来临市场景气度高。整体看，目前天胶多空充斥盘面，但供应过剩格局难以阻挡，谨防冲高回落风险。</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7" w:name="_Toc26041"/>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w:t>
      </w:r>
      <w:r>
        <w:rPr>
          <w:rFonts w:hint="eastAsia" w:ascii="Calibri" w:hAnsi="Calibri" w:eastAsia="楷体" w:cs="Calibri"/>
          <w:b/>
          <w:color w:val="000000" w:themeColor="text1"/>
          <w:sz w:val="24"/>
          <w:szCs w:val="24"/>
          <w14:textFill>
            <w14:solidFill>
              <w14:schemeClr w14:val="tx1"/>
            </w14:solidFill>
          </w14:textFill>
        </w:rPr>
        <w:t>短线跟随成本端震荡偏强</w:t>
      </w:r>
      <w:bookmarkEnd w:id="37"/>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原油方面，红海事件带动的原油涨幅回吐，原油盘面在没有更进一步利好支撑的情况下，上方空间有限。PX方面，开工下滑叠加PTA提负荷，且近期受调油逻辑启动补库行情供应偏紧，短期趋势仍偏强。PTA方面，本周宁波逸盛和逸盛新材料装置装置负荷提升，逸盛海南PTA装置检修，至12.29 PTA装置负荷上涨至82%，环比+1.7%。本周聚酯装置检修有所增多，综合负荷有所下调。截至12.29，初步核算国内大陆地区聚酯负荷在89.2%。近期随着天气转冷及运费上涨，1月终端需求超预期。综合来看，下游聚酯负荷目前虽然仍维持在89-90%，供需格局小幅改善。PTA短期面临成本支撑提振及供需改善，短线趋势偏强。仅供参考。</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8" w:name="_Toc10099"/>
      <w:r>
        <w:rPr>
          <w:rFonts w:hint="eastAsia" w:ascii="楷体" w:hAnsi="楷体" w:eastAsia="楷体"/>
          <w:b/>
          <w:color w:val="000000" w:themeColor="text1"/>
          <w:sz w:val="24"/>
          <w:szCs w:val="24"/>
          <w14:textFill>
            <w14:solidFill>
              <w14:schemeClr w14:val="tx1"/>
            </w14:solidFill>
          </w14:textFill>
        </w:rPr>
        <w:t>聚烯烃：成本端支撑减弱 聚烯烃今日或震荡下行</w:t>
      </w:r>
      <w:bookmarkEnd w:id="38"/>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红海紧张局势升级，国际油价盘中上涨2%以上，随后担心美国原油产量创纪录的同时全球需求疲软可能导致供应过剩，欧美原油期货在新年首个交易日收低。需求方面，PE下游方面，农膜整体需求平平，工厂生产清淡，棚膜工厂多停机检修；PP下游方面，BOPP市场成交刚需有量，整体量较上一交易日增加，BOPP企业未交付订单多数在一周以内。综合来看，PE供应维持偏高水平，PP装置检修规模有所增加，供应压力略有缓解，下游工厂订单跟进不足，采购积极性不佳，刚需采购为主，且后期需求有继续走弱预期，整体来看，聚烯烃供需偏宽松，叠加近期原油有所回落，塑料板块整体驱动较弱，建议逢高做空。</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9" w:name="_Toc417"/>
      <w:r>
        <w:rPr>
          <w:rFonts w:hint="eastAsia" w:ascii="楷体" w:hAnsi="楷体" w:eastAsia="楷体"/>
          <w:b/>
          <w:color w:val="000000" w:themeColor="text1"/>
          <w:sz w:val="24"/>
          <w:szCs w:val="24"/>
          <w14:textFill>
            <w14:solidFill>
              <w14:schemeClr w14:val="tx1"/>
            </w14:solidFill>
          </w14:textFill>
        </w:rPr>
        <w:t>MEG：供需格局转好 乙二醇短期震荡偏强</w:t>
      </w:r>
      <w:bookmarkEnd w:id="3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需情况，截至1.2华东主港地区MEG港口库存约107.1万吨附近，环比上期下降6.5万吨，截至12月28日，中国大陆地区乙二醇整体开工负荷在61.76%（+0.43%），其中草酸催化加氢法（合成气）制乙二醇开工负荷在58.19%（-1.02%）。 截至12月28日，国内大陆地区聚酯负荷在89.2%，节前聚酯开工高位维持。终端来看，江浙终端开工率维持，江浙加弹综合开工87%（+0%），江浙织机综合开工小幅下滑至77%（+0%），江浙印染综合开工下滑至74%（-1%）。油价反弹及原料价格走高，终端增加原料备货。综合来看，近期聚酯高开工维持，市场下调乙二醇2月之前进口及国产量及进口到港减少，预计1-2月乙二醇供需改善呈现紧平衡格局，供需格局转好驱动价格走强。仅供参考。</w:t>
      </w:r>
    </w:p>
    <w:p>
      <w:pPr>
        <w:ind w:left="630" w:leftChars="3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40" w:name="_Toc13303"/>
      <w:r>
        <w:rPr>
          <w:rFonts w:hint="eastAsia" w:ascii="楷体" w:hAnsi="楷体" w:eastAsia="楷体"/>
          <w:b/>
          <w:color w:val="000000" w:themeColor="text1"/>
          <w:sz w:val="24"/>
          <w:szCs w:val="24"/>
          <w14:textFill>
            <w14:solidFill>
              <w14:schemeClr w14:val="tx1"/>
            </w14:solidFill>
          </w14:textFill>
        </w:rPr>
        <w:t>玻璃：周内预计累库，期价区间震荡</w:t>
      </w:r>
      <w:bookmarkEnd w:id="4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1月2日报道:今日浮法玻璃现货价格2007元/吨，较上一交易日+6元/吨。本周全国浮法玻璃日产量为17.37万吨，较上周持平。截至2023年12月28日，库存上，周内全国浮法玻璃样本企业总库存3206.2万重箱，环比下滑29.1万重箱，环比-0.9%。需求端，南北差异较大，元旦假期沙河受北方玻璃供货冲击部分厂家降价或实行春节前保价销售策略，南方年底赶工，产销相对较好，部分企业小幅调涨。从综合产销来看，预计本周小幅累库，厂贸博弈冬储价格，短期无强驱动。操作上，建议区间操作为主，主力合约参考区间(1750，1950)。</w:t>
      </w:r>
    </w:p>
    <w:p>
      <w:pPr>
        <w:ind w:left="630" w:leftChars="3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41" w:name="_Toc15752"/>
      <w:r>
        <w:rPr>
          <w:rFonts w:hint="eastAsia" w:ascii="楷体" w:hAnsi="楷体" w:eastAsia="楷体"/>
          <w:b/>
          <w:color w:val="000000" w:themeColor="text1"/>
          <w:sz w:val="24"/>
          <w:szCs w:val="24"/>
          <w14:textFill>
            <w14:solidFill>
              <w14:schemeClr w14:val="tx1"/>
            </w14:solidFill>
          </w14:textFill>
        </w:rPr>
        <w:t>纯碱：节后有累库预期，基本面走弱</w:t>
      </w:r>
      <w:bookmarkEnd w:id="41"/>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元旦之后纯碱现货价格继续下调。西北青海地区出厂价报价下调100-200元/吨，重碱报价2300元/吨;华北地区重碱出厂价2600元/吨(环比-150)，轻碱2500元/吨，环比-100。供给方面，截至20231228，周内纯碱产量65.04万吨，环比增加0.34万吨，涨幅0.53%。周内国内纯碱厂家总库存34.01万吨，环比下降1.38万吨，降幅3.90%。从库存结构上来看，节后山东地区环保接近尾声，山东海化海天提负荷，预计产量开始抬升。需求端下游多家大型玻璃厂的纯碱平均库存+待发超过20天，1月的新订单表一般，轻碱下游表需较弱，重碱刚需。盘面节后产量抬升后市场博弈新单价格跌幅，验证降价预期，操作上建议反弹逢高布局空单。</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42" w:name="_Toc21900"/>
      <w:r>
        <w:rPr>
          <w:rFonts w:hint="eastAsia" w:ascii="Times New Roman" w:hAnsi="Times New Roman" w:eastAsia="楷体"/>
          <w:b/>
          <w:color w:val="823C0B"/>
          <w:sz w:val="30"/>
          <w:szCs w:val="30"/>
        </w:rPr>
        <w:t>[农产品]</w:t>
      </w:r>
      <w:bookmarkEnd w:id="14"/>
      <w:bookmarkEnd w:id="42"/>
    </w:p>
    <w:p>
      <w:pPr>
        <w:ind w:left="420" w:leftChars="200"/>
        <w:outlineLvl w:val="1"/>
        <w:rPr>
          <w:rFonts w:ascii="楷体" w:hAnsi="楷体" w:eastAsia="楷体"/>
          <w:b/>
          <w:sz w:val="24"/>
          <w:szCs w:val="24"/>
        </w:rPr>
      </w:pPr>
      <w:bookmarkStart w:id="43" w:name="_Toc27657"/>
      <w:r>
        <w:rPr>
          <w:rFonts w:hint="eastAsia" w:ascii="楷体" w:hAnsi="楷体" w:eastAsia="楷体"/>
          <w:b/>
          <w:color w:val="000000" w:themeColor="text1"/>
          <w:sz w:val="24"/>
          <w:szCs w:val="24"/>
          <w14:textFill>
            <w14:solidFill>
              <w14:schemeClr w14:val="tx1"/>
            </w14:solidFill>
          </w14:textFill>
        </w:rPr>
        <w:t>豆粕/菜粕：</w:t>
      </w:r>
      <w:r>
        <w:rPr>
          <w:rFonts w:hint="eastAsia" w:ascii="楷体" w:hAnsi="楷体" w:eastAsia="楷体"/>
          <w:b/>
          <w:sz w:val="24"/>
          <w:szCs w:val="24"/>
        </w:rPr>
        <w:t>成本端支撑减弱，期现价格偏弱震荡</w:t>
      </w:r>
      <w:bookmarkEnd w:id="43"/>
    </w:p>
    <w:p>
      <w:pPr>
        <w:ind w:left="630" w:leftChars="300"/>
        <w:rPr>
          <w:rFonts w:ascii="楷体" w:hAnsi="楷体" w:eastAsia="楷体"/>
          <w:sz w:val="24"/>
          <w:szCs w:val="24"/>
        </w:rPr>
      </w:pPr>
      <w:r>
        <w:rPr>
          <w:rFonts w:hint="eastAsia" w:ascii="楷体" w:hAnsi="楷体" w:eastAsia="楷体"/>
          <w:sz w:val="24"/>
          <w:szCs w:val="24"/>
        </w:rPr>
        <w:t>因巴西干旱地区近期迎来降雨，美豆出口检验符合预期，美元上涨也令农产品市场承压，CBOT大豆跌破1300并继续收跌，施压内盘期价。随着美豆定产后，市场定价中心逐步转向南美，巴西天气不确定性较大，目前种植进度落后于去年同期及五年均值水平为94%，虽当前美农报告对南美产量调整不及预期，但中长期南美丰产预期能否兑现仍是后续价格走势的关键，关注巴西后续天气及种植情况，现阶段天气扰动较大。国内豆粕延续供强需弱格局，供应端进入11月份后，随着进口大豆到港增加，油厂大豆库存维持高位，但因下游需求疲软部分地区存胀库风险，油厂开机率较低，豆粕库存较前一周增至81.27万吨，当前沿海主流油厂豆粕现货报价下调至3830-3870元/吨。但11月份进口大豆到港不及预期，为792万吨，叠加远月买船进度偏慢，远月供应端担忧仍存。需求，下游生猪养殖利润维持亏损，但在能繁存栏高位下，下游随采随用，保持安全库存。菜粕供应存宽松预期。在11月份后随着菜籽进口增加，菜粕供应预计转宽，目前菜籽库存以及油厂开机均有明显提升。而需求方面，随着水产消费旺季的结束，菜粕刚需减少，但在豆菜粕价差较大下提振菜粕的替代需求。策略方面，短期偏弱震荡，建议豆粕短线顺势操作，05暂看3200支撑，菜粕偏弱震荡，建议短线顺势操作，供应压力仍存。</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44" w:name="_Toc22245"/>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外部市场疲弱，期价存压</w:t>
      </w:r>
      <w:bookmarkEnd w:id="44"/>
    </w:p>
    <w:p>
      <w:pPr>
        <w:ind w:left="630" w:leftChars="300"/>
        <w:rPr>
          <w:rFonts w:ascii="楷体" w:hAnsi="楷体" w:eastAsia="楷体"/>
          <w:sz w:val="24"/>
          <w:szCs w:val="24"/>
        </w:rPr>
      </w:pPr>
      <w:r>
        <w:rPr>
          <w:rFonts w:hint="eastAsia" w:ascii="楷体" w:hAnsi="楷体" w:eastAsia="楷体"/>
          <w:sz w:val="24"/>
          <w:szCs w:val="24"/>
        </w:rPr>
        <w:t>当前红海局势缓和，国际油价大跌拖累油脂走势，且当前油脂供需宽松格局尚未转变，上行驱动或不足。棕榈油，产地11月份进入季节性减产周期，库存压力逐步释放，但中长期在厄尔尼诺现象扰动下，价格下方存支撑，天气仍需持续关注。印尼棕榈油10月份产需双增，但产量增幅不及需求，库存继续下降。而马棕11月份产需双降，因产量降幅略高于预期，库存降幅环比达1.09%，市场担忧供应减少带动库存下滑，但当前供需矛盾尚未出现，预计12月库存降幅有限。国内棕榈油9-10月份进口到港维持高位，但在高库存抑制下后续进口预计减少，最新商业库存减至93万吨，仍处于同期高位。需求端，因价格优势显著，提振下游采购需求。豆油存供需双增预期。国内随着11月后进口大豆到港增加，原料供应充裕，但下游需求疲软下油厂开机率偏低，豆油产出被动减少。需求端，当前价格优势并不明显，限制替代需求，终端需求并未出现亮眼表现，但节前提货情况改善。菜油预计供需双旺，阶段性供应压力较大。当前主产地菜籽新作处于出口阶段，集中上市压力也抑制期价走势。随着11月份后进口菜籽到港增加，菜籽开机及压榨水平提升，11月菜籽进口48万吨，环比增44.7万吨，四季度菜籽及菜油供给预期宽松。需求方面，与豆油价差持续收窄，部分地区出现低于豆油价格的情况，下游采购需求较好。短期油脂预计维持震荡走势，暂缺乏单边驱动；中长期关注天气及需求表现，维持谨慎看多观点，关注做多油粕比机会。</w:t>
      </w:r>
    </w:p>
    <w:p>
      <w:pPr>
        <w:ind w:firstLine="480" w:firstLineChars="200"/>
        <w:rPr>
          <w:rFonts w:ascii="楷体" w:hAnsi="楷体" w:eastAsia="楷体"/>
          <w:bCs/>
          <w:sz w:val="24"/>
          <w:szCs w:val="24"/>
        </w:rPr>
      </w:pPr>
    </w:p>
    <w:p>
      <w:pPr>
        <w:pStyle w:val="93"/>
        <w:spacing w:before="60" w:beforeAutospacing="0" w:after="60" w:afterAutospacing="0"/>
        <w:ind w:left="420" w:leftChars="200"/>
        <w:outlineLvl w:val="1"/>
        <w:rPr>
          <w:rFonts w:ascii="楷体" w:hAnsi="楷体" w:eastAsia="楷体"/>
          <w:b/>
        </w:rPr>
      </w:pPr>
      <w:bookmarkStart w:id="45" w:name="_Toc28041"/>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期价震荡偏强运行</w:t>
      </w:r>
      <w:bookmarkEnd w:id="4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在前期报告中我们指出，随着玉米期现货持续下跌之后，看空风险亦随之而来，中期风险在于错判产需求缺口，其一方面源于内外价差收窄之后将抑制后期高粱和大麦进口，另一方面则在于市场可能低估了下游需求特别是饲用需求；短期风险则在于成本下方继续催生惜售心理，市场进一步压缩渠道库存，而春节前下游特别是饲料养殖行业需要备货。在期价止跌回升之后，则需要持续跟踪市场供需博弈的变化，值得关注的变量包括政策粮收购、农户售粮心态，中下游备货积极性及其外盘期价走势。综上所述，我们暂持中性观点，后期或转向看多，建议谨慎投资者观望，激进投资者可考虑择机轻仓入场做多。</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近期淀粉-玉米价差总体震荡走扩，主要源于行业供需、副产品和现货基差的带动。接下来行业供需则需要留意在高开机率下需求的持续性，副产品价格需要留意外盘美豆走势和国内豆粕供需变动，原料端即深加工企业玉米收购价亦存在较大变数，目前华北-东北玉米价差不太支持淀粉-玉米价差继续走扩。在这种情况下，考虑到行业产能过剩格局，而副产品价格已经下降至往年波动区间，再加上淀粉-玉米价差已经接近往年波动区间上沿，我们倾向于认为淀粉-玉米价差上方空间或相对有限。综上所述，我们暂持中性观点，后期或转向看多，单边建议暂以观望为宜，激进投资者可以考虑择机入场做多，套利则建议持有前期价差走扩组合，后期择机获利离场。</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46" w:name="_Toc15718"/>
      <w:r>
        <w:rPr>
          <w:rFonts w:hint="eastAsia" w:ascii="楷体" w:hAnsi="楷体" w:eastAsia="楷体"/>
          <w:b/>
          <w:bCs/>
          <w:color w:val="000000" w:themeColor="text1"/>
          <w14:textFill>
            <w14:solidFill>
              <w14:schemeClr w14:val="tx1"/>
            </w14:solidFill>
          </w14:textFill>
        </w:rPr>
        <w:t>畜禽养殖：鸡蛋期价午后下跌</w:t>
      </w:r>
      <w:bookmarkEnd w:id="4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从期价表现可以看出，市场对远月供需预期相对乐观，这主要源于近期产能去化加快，这可以从各家机构数据加以验证。分合约来看，远月合约更多关注接下来的产能去化进度，需要特别留意产能去化不及预期的可能性；对于近月合约而言，与去年同期相比，供需总体改善，但已经体现在生猪养殖亏损幅度同比上，而养殖成本下滑，使得猪价表现难言乐观。接下来更多期待阶段性行情，即考虑到三季度以来生猪出栏同比大幅增加，供应压力在一定程度上得以释放，且生猪期价远期升水，节前抛售压力应该不大，而节前需求旺季之下，猪价或有机会反弹至养殖成本一线。在这种情况下，维持中性观点，更多侧重择机阶段性操作。</w:t>
      </w:r>
    </w:p>
    <w:p>
      <w:pPr>
        <w:pStyle w:val="93"/>
        <w:spacing w:before="0" w:beforeAutospacing="0" w:after="60" w:afterAutospacing="0"/>
        <w:ind w:left="630" w:leftChars="300"/>
        <w:rPr>
          <w:rFonts w:ascii="楷体" w:hAnsi="楷体" w:eastAsia="楷体"/>
        </w:rPr>
      </w:pPr>
      <w:r>
        <w:rPr>
          <w:rFonts w:hint="eastAsia" w:ascii="楷体" w:hAnsi="楷体" w:eastAsia="楷体"/>
        </w:rPr>
        <w:t>对于鸡蛋而言，从供需角度看，卓创资讯数据显示，在产蛋鸡存栏连续环比增加，考虑到今年节后以来蛋鸡苗销量均同比增加，而蛋鸡淘汰量持续处于历史低位水平，蛋鸡淘汰日龄则持续位于历史同期高位，由此可以看出，后期鸡蛋供需有望继续趋于改善，叠加整个动物蛋白供需过剩的大背景，鸡蛋期现货价格或仍有下跌空间。在这种情况下，接下来一方面需要留意养殖户淘汰和补栏积极性的变化，因其影响远期供需预期，另一方面需要留意行业现货库存变动，因其影响接下来特别是春节前后现货波动节奏。在这种情况下，市场将根据季节性旺季期间的现货表现来判断接下来特别是春节后的鸡蛋供需状况，另一个重要因素则是短期的基差变动情况。在这种情况下，维持中性观点，建议投资者暂以观望为宜，在期价反弹后择机再行入场布局春节后空单。</w:t>
      </w:r>
    </w:p>
    <w:p>
      <w:pPr>
        <w:ind w:firstLine="480" w:firstLineChars="200"/>
        <w:rPr>
          <w:rFonts w:ascii="楷体" w:hAnsi="楷体" w:eastAsia="楷体"/>
          <w:sz w:val="24"/>
          <w:szCs w:val="24"/>
        </w:rPr>
      </w:pPr>
    </w:p>
    <w:p>
      <w:pPr>
        <w:ind w:left="420" w:leftChars="200"/>
        <w:outlineLvl w:val="1"/>
        <w:rPr>
          <w:rFonts w:ascii="楷体" w:hAnsi="楷体" w:eastAsia="楷体"/>
          <w:b/>
          <w:sz w:val="24"/>
          <w:szCs w:val="24"/>
        </w:rPr>
      </w:pPr>
      <w:bookmarkStart w:id="47" w:name="_Toc1572"/>
      <w:r>
        <w:rPr>
          <w:rFonts w:hint="eastAsia" w:ascii="楷体" w:hAnsi="楷体" w:eastAsia="楷体"/>
          <w:b/>
          <w:sz w:val="24"/>
          <w:szCs w:val="24"/>
        </w:rPr>
        <w:t>郑棉：震荡整理</w:t>
      </w:r>
      <w:bookmarkEnd w:id="47"/>
    </w:p>
    <w:p>
      <w:pPr>
        <w:ind w:left="630" w:leftChars="300"/>
        <w:rPr>
          <w:rFonts w:ascii="楷体" w:hAnsi="楷体" w:eastAsia="楷体"/>
          <w:sz w:val="24"/>
          <w:szCs w:val="24"/>
        </w:rPr>
      </w:pPr>
      <w:r>
        <w:rPr>
          <w:rFonts w:hint="eastAsia" w:ascii="楷体" w:hAnsi="楷体" w:eastAsia="楷体"/>
          <w:sz w:val="24"/>
          <w:szCs w:val="24"/>
        </w:rPr>
        <w:t>因加工进度较快，国内棉花工商业库存攀升至高位。叠加进口环比继续增加，短期内供应十分充沛。纱线和坯布库存依然处于高位，而原料库存同比大幅增加，纺织企业的补库需求远低于去年同期，产业负反馈需要时间进行消化，纺织利润改善不易。郑棉仓单急速增加，仓单加有效预报已过万张，仓单与套保压力始终压制着棉花反弹高度。不过，由于红海局势带动原油以及大宗商品整体上涨，情绪提振下郑棉同样有所反弹。后续预计05在15000-15500元/吨区间内继续震荡。</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48" w:name="_Toc26587"/>
      <w:r>
        <w:rPr>
          <w:rFonts w:hint="eastAsia" w:ascii="楷体" w:hAnsi="楷体" w:eastAsia="楷体"/>
          <w:b/>
          <w:sz w:val="24"/>
          <w:szCs w:val="24"/>
        </w:rPr>
        <w:t>白糖：震荡整理</w:t>
      </w:r>
      <w:bookmarkEnd w:id="48"/>
    </w:p>
    <w:p>
      <w:pPr>
        <w:ind w:left="630" w:leftChars="300"/>
        <w:rPr>
          <w:rFonts w:ascii="楷体" w:hAnsi="楷体" w:eastAsia="楷体"/>
          <w:sz w:val="24"/>
          <w:szCs w:val="24"/>
        </w:rPr>
      </w:pPr>
      <w:r>
        <w:rPr>
          <w:rFonts w:hint="eastAsia" w:ascii="楷体" w:hAnsi="楷体" w:eastAsia="楷体"/>
          <w:sz w:val="24"/>
          <w:szCs w:val="24"/>
        </w:rPr>
        <w:t>咨询机构StoneX预计巴西中南部地区2024/25年度糖产量预计达到创纪录的4320万吨，较上年增长3.3%。巴西糖厂预计在2024/25年度将51.4%的甘蔗用于制糖，高于上年的49%。印度行政干预使得甘蔗用于生产白糖而非乙醇。国内新糖上市，传闻本榨季广西有望增产15%—20%。元旦和春节备货进行中，节日需求支撑和商品普涨背景下白糖小幅反弹，注意观察资金动向。</w:t>
      </w:r>
    </w:p>
    <w:p>
      <w:pPr>
        <w:ind w:firstLine="480" w:firstLineChars="200"/>
        <w:rPr>
          <w:rFonts w:ascii="楷体" w:hAnsi="楷体" w:eastAsia="楷体"/>
          <w:bCs/>
          <w:sz w:val="24"/>
          <w:szCs w:val="24"/>
        </w:rPr>
      </w:pPr>
    </w:p>
    <w:p>
      <w:pPr>
        <w:pBdr>
          <w:top w:val="single" w:color="auto" w:sz="4" w:space="0"/>
        </w:pBdr>
        <w:outlineLvl w:val="0"/>
        <w:rPr>
          <w:rFonts w:ascii="Times New Roman" w:hAnsi="Times New Roman" w:eastAsia="楷体"/>
          <w:b/>
          <w:color w:val="823C0B"/>
        </w:rPr>
      </w:pPr>
      <w:bookmarkStart w:id="49" w:name="_Toc8206"/>
      <w:r>
        <w:rPr>
          <w:rFonts w:hint="eastAsia" w:ascii="Times New Roman" w:hAnsi="Times New Roman" w:eastAsia="楷体"/>
          <w:b/>
          <w:color w:val="823C0B"/>
          <w:sz w:val="30"/>
          <w:szCs w:val="30"/>
        </w:rPr>
        <w:t>[指数]</w:t>
      </w:r>
      <w:bookmarkEnd w:id="49"/>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0" w:name="_Toc27614"/>
      <w:r>
        <w:rPr>
          <w:rFonts w:hint="eastAsia" w:ascii="Times New Roman" w:hAnsi="Times New Roman" w:eastAsia="楷体"/>
          <w:b/>
          <w:color w:val="000000" w:themeColor="text1"/>
          <w:sz w:val="24"/>
          <w:szCs w:val="24"/>
          <w14:textFill>
            <w14:solidFill>
              <w14:schemeClr w14:val="tx1"/>
            </w14:solidFill>
          </w14:textFill>
        </w:rPr>
        <w:t>集运指数（欧线）：胡塞武装向美军舰开火，再有25名投资者被发现关联交易并实施限制</w:t>
      </w:r>
      <w:bookmarkEnd w:id="50"/>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红海商船受袭事件后续不断发酵。根据最新消息，两大船公司开始逐步恢复红海航线，但其能否进一步扩大规模以及安全风险仍等进一步评估。根据最新消息，地中海旗下一船舶在26日再次受袭，所幸并无人员受伤。另外，在12月27日上午，美国海军“德怀特·D·艾森豪威尔”号航母（CVN-69）打击群遭遇胡赛武装的导弹袭击，并随即进行反导弹拦截。</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另一方面，在昨日对96组245名客户实施限制之后，交易所再发现7组25名客户在集运指数（欧线）期货品种交易中涉嫌未申报实际控制关系 限制其开仓1个月以及限制出金。</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市场认为对于红海局势造成的影响短期降温不太现实，叠加交易所风控措施逐步实行，近月合约升幅有所减缓，同时成交量下降，远月升幅较近月大。后续需关注本日公布SCFI指数以观察即期运价影响，以及后续停航时长、规模所带来的连锁影响、长期供强需弱格局逻辑的回归。短期波动大操作上建议谨慎关注。</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51" w:name="_Toc12779"/>
      <w:bookmarkStart w:id="52" w:name="_Toc72481108"/>
      <w:bookmarkStart w:id="53" w:name="_Toc98426751"/>
      <w:bookmarkStart w:id="54" w:name="_Toc19667"/>
      <w:bookmarkStart w:id="55" w:name="_Toc71212556"/>
      <w:r>
        <w:rPr>
          <w:rFonts w:ascii="Times New Roman" w:hAnsi="Times New Roman" w:eastAsia="楷体"/>
          <w:b/>
          <w:color w:val="411D05"/>
          <w:sz w:val="30"/>
          <w:szCs w:val="30"/>
        </w:rPr>
        <w:t>免责声明</w:t>
      </w:r>
      <w:bookmarkEnd w:id="51"/>
      <w:bookmarkEnd w:id="52"/>
      <w:bookmarkEnd w:id="53"/>
      <w:bookmarkEnd w:id="54"/>
      <w:bookmarkEnd w:id="55"/>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2024年1月3日星期三</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2E32A5D"/>
    <w:rsid w:val="057D13AE"/>
    <w:rsid w:val="06B2613D"/>
    <w:rsid w:val="06B753E3"/>
    <w:rsid w:val="09B849A4"/>
    <w:rsid w:val="09F160E3"/>
    <w:rsid w:val="0AC64130"/>
    <w:rsid w:val="0B42525D"/>
    <w:rsid w:val="0C1F7DEE"/>
    <w:rsid w:val="0CDE660D"/>
    <w:rsid w:val="0D032A7C"/>
    <w:rsid w:val="0F662138"/>
    <w:rsid w:val="0FF35275"/>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1ECB51CD"/>
    <w:rsid w:val="2056595D"/>
    <w:rsid w:val="20AE4DE8"/>
    <w:rsid w:val="216834DE"/>
    <w:rsid w:val="21996AC1"/>
    <w:rsid w:val="219F3EE2"/>
    <w:rsid w:val="21F57098"/>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2951C0D"/>
    <w:rsid w:val="340E7198"/>
    <w:rsid w:val="34A75784"/>
    <w:rsid w:val="373F75CC"/>
    <w:rsid w:val="38F320AA"/>
    <w:rsid w:val="3A2F6D68"/>
    <w:rsid w:val="3AC9385E"/>
    <w:rsid w:val="3B3306F0"/>
    <w:rsid w:val="3B563B4D"/>
    <w:rsid w:val="3C2825B0"/>
    <w:rsid w:val="3C2B26B7"/>
    <w:rsid w:val="3CB420C3"/>
    <w:rsid w:val="3D8B796D"/>
    <w:rsid w:val="3DA80A30"/>
    <w:rsid w:val="3EC32453"/>
    <w:rsid w:val="3ECC520D"/>
    <w:rsid w:val="3EE0186C"/>
    <w:rsid w:val="3EFE09FD"/>
    <w:rsid w:val="3F345DBE"/>
    <w:rsid w:val="40F15753"/>
    <w:rsid w:val="41F950F8"/>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191036A"/>
    <w:rsid w:val="546B5509"/>
    <w:rsid w:val="548642E9"/>
    <w:rsid w:val="54C12E33"/>
    <w:rsid w:val="55633225"/>
    <w:rsid w:val="56DD4D3A"/>
    <w:rsid w:val="57555A7B"/>
    <w:rsid w:val="57CB522F"/>
    <w:rsid w:val="58246D5D"/>
    <w:rsid w:val="59C52328"/>
    <w:rsid w:val="5B906095"/>
    <w:rsid w:val="5BF60A75"/>
    <w:rsid w:val="5C9F2D01"/>
    <w:rsid w:val="5D5617A6"/>
    <w:rsid w:val="5EA23F15"/>
    <w:rsid w:val="5EA7685B"/>
    <w:rsid w:val="619A2BBF"/>
    <w:rsid w:val="61DF02D0"/>
    <w:rsid w:val="62710E5F"/>
    <w:rsid w:val="64C32497"/>
    <w:rsid w:val="66D04BBC"/>
    <w:rsid w:val="685D4EEE"/>
    <w:rsid w:val="68D53E8D"/>
    <w:rsid w:val="6B292599"/>
    <w:rsid w:val="6ECB7DD2"/>
    <w:rsid w:val="6FE61065"/>
    <w:rsid w:val="70675779"/>
    <w:rsid w:val="713E0334"/>
    <w:rsid w:val="716F5E64"/>
    <w:rsid w:val="729B5F03"/>
    <w:rsid w:val="72F62A89"/>
    <w:rsid w:val="737357AF"/>
    <w:rsid w:val="74163BE4"/>
    <w:rsid w:val="75292EAC"/>
    <w:rsid w:val="755A5FEF"/>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10</Pages>
  <Words>1699</Words>
  <Characters>9686</Characters>
  <Lines>80</Lines>
  <Paragraphs>22</Paragraphs>
  <TotalTime>0</TotalTime>
  <ScaleCrop>false</ScaleCrop>
  <LinksUpToDate>false</LinksUpToDate>
  <CharactersWithSpaces>11363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2024-01-03T03:11:18Z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