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6" w:name="_GoBack"/>
          <w:bookmarkEnd w:id="5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_Toc8269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_Toc27810 </w:instrText>
          </w:r>
          <w:r>
            <w:rPr>
              <w:bCs/>
            </w:rPr>
            <w:fldChar w:fldCharType="separate"/>
          </w:r>
          <w:r>
            <w:rPr>
              <w:rFonts w:hint="eastAsia" w:ascii="Times New Roman" w:hAnsi="Times New Roman" w:eastAsia="楷体"/>
              <w:szCs w:val="24"/>
            </w:rPr>
            <w:t>股指：左侧轻仓布局，若IM跌破10月前低则止损</w:t>
          </w:r>
          <w:r>
            <w:rPr>
              <w:bCs/>
            </w:rPr>
            <w:fldChar w:fldCharType="end"/>
          </w:r>
        </w:p>
        <w:p>
          <w:pPr>
            <w:pStyle w:val="59"/>
            <w:tabs>
              <w:tab w:val="right" w:leader="dot" w:pos="8306"/>
            </w:tabs>
          </w:pPr>
          <w:r>
            <w:rPr>
              <w:bCs/>
            </w:rPr>
            <w:fldChar w:fldCharType="begin"/>
          </w:r>
          <w:r>
            <w:rPr>
              <w:bCs/>
            </w:rPr>
            <w:instrText xml:space="preserve"> HYPERLINK \l _Toc21557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_Toc21307 </w:instrText>
          </w:r>
          <w:r>
            <w:rPr>
              <w:bCs/>
            </w:rPr>
            <w:fldChar w:fldCharType="separate"/>
          </w:r>
          <w:r>
            <w:rPr>
              <w:rFonts w:hint="eastAsia" w:ascii="Times New Roman" w:hAnsi="Times New Roman" w:eastAsia="楷体"/>
              <w:szCs w:val="24"/>
            </w:rPr>
            <w:t>贵金属：黄金波动率指数上行，贵金属价格窄幅震荡</w:t>
          </w:r>
          <w:r>
            <w:rPr>
              <w:bCs/>
            </w:rPr>
            <w:fldChar w:fldCharType="end"/>
          </w:r>
        </w:p>
        <w:p>
          <w:pPr>
            <w:pStyle w:val="59"/>
            <w:tabs>
              <w:tab w:val="right" w:leader="dot" w:pos="8306"/>
            </w:tabs>
          </w:pPr>
          <w:r>
            <w:rPr>
              <w:bCs/>
            </w:rPr>
            <w:fldChar w:fldCharType="begin"/>
          </w:r>
          <w:r>
            <w:rPr>
              <w:bCs/>
            </w:rPr>
            <w:instrText xml:space="preserve"> HYPERLINK \l _Toc8858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_Toc17946 </w:instrText>
          </w:r>
          <w:r>
            <w:rPr>
              <w:bCs/>
            </w:rPr>
            <w:fldChar w:fldCharType="separate"/>
          </w:r>
          <w:r>
            <w:rPr>
              <w:rFonts w:hint="eastAsia" w:ascii="楷体" w:hAnsi="楷体" w:eastAsia="楷体"/>
              <w:szCs w:val="24"/>
            </w:rPr>
            <w:t>碳酸锂：现货价格维持跌势，期价震荡上行</w:t>
          </w:r>
          <w:r>
            <w:rPr>
              <w:bCs/>
            </w:rPr>
            <w:fldChar w:fldCharType="end"/>
          </w:r>
        </w:p>
        <w:p>
          <w:pPr>
            <w:pStyle w:val="74"/>
            <w:tabs>
              <w:tab w:val="right" w:leader="dot" w:pos="8306"/>
            </w:tabs>
          </w:pPr>
          <w:r>
            <w:rPr>
              <w:bCs/>
            </w:rPr>
            <w:fldChar w:fldCharType="begin"/>
          </w:r>
          <w:r>
            <w:rPr>
              <w:bCs/>
            </w:rPr>
            <w:instrText xml:space="preserve"> HYPERLINK \l _Toc497 </w:instrText>
          </w:r>
          <w:r>
            <w:rPr>
              <w:bCs/>
            </w:rPr>
            <w:fldChar w:fldCharType="separate"/>
          </w:r>
          <w:r>
            <w:rPr>
              <w:rFonts w:hint="eastAsia" w:ascii="楷体" w:hAnsi="楷体" w:eastAsia="楷体"/>
              <w:szCs w:val="24"/>
            </w:rPr>
            <w:t>螺纹钢：随情绪震荡运行，等待补库驱动</w:t>
          </w:r>
          <w:r>
            <w:rPr>
              <w:bCs/>
            </w:rPr>
            <w:fldChar w:fldCharType="end"/>
          </w:r>
        </w:p>
        <w:p>
          <w:pPr>
            <w:pStyle w:val="74"/>
            <w:tabs>
              <w:tab w:val="right" w:leader="dot" w:pos="8306"/>
            </w:tabs>
          </w:pPr>
          <w:r>
            <w:rPr>
              <w:bCs/>
            </w:rPr>
            <w:fldChar w:fldCharType="begin"/>
          </w:r>
          <w:r>
            <w:rPr>
              <w:bCs/>
            </w:rPr>
            <w:instrText xml:space="preserve"> HYPERLINK \l _Toc2514 </w:instrText>
          </w:r>
          <w:r>
            <w:rPr>
              <w:bCs/>
            </w:rPr>
            <w:fldChar w:fldCharType="separate"/>
          </w:r>
          <w:r>
            <w:rPr>
              <w:rFonts w:hint="eastAsia" w:ascii="楷体" w:hAnsi="楷体" w:eastAsia="楷体"/>
              <w:szCs w:val="24"/>
            </w:rPr>
            <w:t>焦炭：成本中枢下移，焦炭震荡运行</w:t>
          </w:r>
          <w:r>
            <w:rPr>
              <w:bCs/>
            </w:rPr>
            <w:fldChar w:fldCharType="end"/>
          </w:r>
        </w:p>
        <w:p>
          <w:pPr>
            <w:pStyle w:val="74"/>
            <w:tabs>
              <w:tab w:val="right" w:leader="dot" w:pos="8306"/>
            </w:tabs>
          </w:pPr>
          <w:r>
            <w:rPr>
              <w:bCs/>
            </w:rPr>
            <w:fldChar w:fldCharType="begin"/>
          </w:r>
          <w:r>
            <w:rPr>
              <w:bCs/>
            </w:rPr>
            <w:instrText xml:space="preserve"> HYPERLINK \l _Toc29871 </w:instrText>
          </w:r>
          <w:r>
            <w:rPr>
              <w:bCs/>
            </w:rPr>
            <w:fldChar w:fldCharType="separate"/>
          </w:r>
          <w:r>
            <w:rPr>
              <w:rFonts w:hint="eastAsia" w:ascii="楷体" w:hAnsi="楷体" w:eastAsia="楷体"/>
              <w:szCs w:val="24"/>
            </w:rPr>
            <w:t>焦煤：震荡运行，等待现货指引</w:t>
          </w:r>
          <w:r>
            <w:rPr>
              <w:bCs/>
            </w:rPr>
            <w:fldChar w:fldCharType="end"/>
          </w:r>
        </w:p>
        <w:p>
          <w:pPr>
            <w:pStyle w:val="74"/>
            <w:tabs>
              <w:tab w:val="right" w:leader="dot" w:pos="8306"/>
            </w:tabs>
          </w:pPr>
          <w:r>
            <w:rPr>
              <w:bCs/>
            </w:rPr>
            <w:fldChar w:fldCharType="begin"/>
          </w:r>
          <w:r>
            <w:rPr>
              <w:bCs/>
            </w:rPr>
            <w:instrText xml:space="preserve"> HYPERLINK \l _Toc20104 </w:instrText>
          </w:r>
          <w:r>
            <w:rPr>
              <w:bCs/>
            </w:rPr>
            <w:fldChar w:fldCharType="separate"/>
          </w:r>
          <w:r>
            <w:rPr>
              <w:rFonts w:hint="eastAsia" w:ascii="楷体" w:hAnsi="楷体" w:eastAsia="楷体"/>
              <w:szCs w:val="24"/>
            </w:rPr>
            <w:t>铜：短期维持高位运行</w:t>
          </w:r>
          <w:r>
            <w:rPr>
              <w:bCs/>
            </w:rPr>
            <w:fldChar w:fldCharType="end"/>
          </w:r>
        </w:p>
        <w:p>
          <w:pPr>
            <w:pStyle w:val="74"/>
            <w:tabs>
              <w:tab w:val="right" w:leader="dot" w:pos="8306"/>
            </w:tabs>
          </w:pPr>
          <w:r>
            <w:rPr>
              <w:bCs/>
            </w:rPr>
            <w:fldChar w:fldCharType="begin"/>
          </w:r>
          <w:r>
            <w:rPr>
              <w:bCs/>
            </w:rPr>
            <w:instrText xml:space="preserve"> HYPERLINK \l _Toc19420 </w:instrText>
          </w:r>
          <w:r>
            <w:rPr>
              <w:bCs/>
            </w:rPr>
            <w:fldChar w:fldCharType="separate"/>
          </w:r>
          <w:r>
            <w:rPr>
              <w:rFonts w:hint="eastAsia" w:ascii="楷体" w:hAnsi="楷体" w:eastAsia="楷体"/>
              <w:szCs w:val="24"/>
            </w:rPr>
            <w:t>铝：铝价高位震荡，但上行高度受限</w:t>
          </w:r>
          <w:r>
            <w:rPr>
              <w:bCs/>
            </w:rPr>
            <w:fldChar w:fldCharType="end"/>
          </w:r>
        </w:p>
        <w:p>
          <w:pPr>
            <w:pStyle w:val="74"/>
            <w:tabs>
              <w:tab w:val="right" w:leader="dot" w:pos="8306"/>
            </w:tabs>
          </w:pPr>
          <w:r>
            <w:rPr>
              <w:bCs/>
            </w:rPr>
            <w:fldChar w:fldCharType="begin"/>
          </w:r>
          <w:r>
            <w:rPr>
              <w:bCs/>
            </w:rPr>
            <w:instrText xml:space="preserve"> HYPERLINK \l _Toc25783 </w:instrText>
          </w:r>
          <w:r>
            <w:rPr>
              <w:bCs/>
            </w:rPr>
            <w:fldChar w:fldCharType="separate"/>
          </w:r>
          <w:r>
            <w:rPr>
              <w:rFonts w:hint="eastAsia" w:ascii="楷体" w:hAnsi="楷体" w:eastAsia="楷体"/>
              <w:szCs w:val="24"/>
            </w:rPr>
            <w:t>锌：价格冲高但上方承压</w:t>
          </w:r>
          <w:r>
            <w:rPr>
              <w:bCs/>
            </w:rPr>
            <w:fldChar w:fldCharType="end"/>
          </w:r>
        </w:p>
        <w:p>
          <w:pPr>
            <w:pStyle w:val="74"/>
            <w:tabs>
              <w:tab w:val="right" w:leader="dot" w:pos="8306"/>
            </w:tabs>
          </w:pPr>
          <w:r>
            <w:rPr>
              <w:bCs/>
            </w:rPr>
            <w:fldChar w:fldCharType="begin"/>
          </w:r>
          <w:r>
            <w:rPr>
              <w:bCs/>
            </w:rPr>
            <w:instrText xml:space="preserve"> HYPERLINK \l _Toc4945 </w:instrText>
          </w:r>
          <w:r>
            <w:rPr>
              <w:bCs/>
            </w:rPr>
            <w:fldChar w:fldCharType="separate"/>
          </w:r>
          <w:r>
            <w:rPr>
              <w:rFonts w:hint="eastAsia" w:ascii="楷体" w:hAnsi="楷体" w:eastAsia="楷体"/>
              <w:szCs w:val="24"/>
            </w:rPr>
            <w:t>镍：供应持续过剩，震荡偏弱为主</w:t>
          </w:r>
          <w:r>
            <w:rPr>
              <w:bCs/>
            </w:rPr>
            <w:fldChar w:fldCharType="end"/>
          </w:r>
        </w:p>
        <w:p>
          <w:pPr>
            <w:pStyle w:val="74"/>
            <w:tabs>
              <w:tab w:val="right" w:leader="dot" w:pos="8306"/>
            </w:tabs>
          </w:pPr>
          <w:r>
            <w:rPr>
              <w:bCs/>
            </w:rPr>
            <w:fldChar w:fldCharType="begin"/>
          </w:r>
          <w:r>
            <w:rPr>
              <w:bCs/>
            </w:rPr>
            <w:instrText xml:space="preserve"> HYPERLINK \l _Toc22772 </w:instrText>
          </w:r>
          <w:r>
            <w:rPr>
              <w:bCs/>
            </w:rPr>
            <w:fldChar w:fldCharType="separate"/>
          </w:r>
          <w:r>
            <w:rPr>
              <w:rFonts w:hint="eastAsia" w:ascii="楷体" w:hAnsi="楷体" w:eastAsia="楷体"/>
              <w:szCs w:val="24"/>
            </w:rPr>
            <w:t>铅：铝价上方压力仍存</w:t>
          </w:r>
          <w:r>
            <w:rPr>
              <w:bCs/>
            </w:rPr>
            <w:fldChar w:fldCharType="end"/>
          </w:r>
        </w:p>
        <w:p>
          <w:pPr>
            <w:pStyle w:val="74"/>
            <w:tabs>
              <w:tab w:val="right" w:leader="dot" w:pos="8306"/>
            </w:tabs>
          </w:pPr>
          <w:r>
            <w:rPr>
              <w:bCs/>
            </w:rPr>
            <w:fldChar w:fldCharType="begin"/>
          </w:r>
          <w:r>
            <w:rPr>
              <w:bCs/>
            </w:rPr>
            <w:instrText xml:space="preserve"> HYPERLINK \l _Toc7400 </w:instrText>
          </w:r>
          <w:r>
            <w:rPr>
              <w:bCs/>
            </w:rPr>
            <w:fldChar w:fldCharType="separate"/>
          </w:r>
          <w:r>
            <w:rPr>
              <w:rFonts w:hint="eastAsia" w:ascii="楷体" w:hAnsi="楷体" w:eastAsia="楷体"/>
              <w:szCs w:val="24"/>
            </w:rPr>
            <w:t>不锈钢：去库提供支撑，但供需压力仍存</w:t>
          </w:r>
          <w:r>
            <w:rPr>
              <w:bCs/>
            </w:rPr>
            <w:fldChar w:fldCharType="end"/>
          </w:r>
        </w:p>
        <w:p>
          <w:pPr>
            <w:pStyle w:val="74"/>
            <w:tabs>
              <w:tab w:val="right" w:leader="dot" w:pos="8306"/>
            </w:tabs>
          </w:pPr>
          <w:r>
            <w:rPr>
              <w:bCs/>
            </w:rPr>
            <w:fldChar w:fldCharType="begin"/>
          </w:r>
          <w:r>
            <w:rPr>
              <w:bCs/>
            </w:rPr>
            <w:instrText xml:space="preserve"> HYPERLINK \l _Toc14050 </w:instrText>
          </w:r>
          <w:r>
            <w:rPr>
              <w:bCs/>
            </w:rPr>
            <w:fldChar w:fldCharType="separate"/>
          </w:r>
          <w:r>
            <w:rPr>
              <w:rFonts w:hint="eastAsia" w:ascii="楷体" w:hAnsi="楷体" w:eastAsia="楷体"/>
              <w:szCs w:val="24"/>
            </w:rPr>
            <w:t>工业硅：北方供应扰动加剧，短期盘面或有反弹</w:t>
          </w:r>
          <w:r>
            <w:rPr>
              <w:bCs/>
            </w:rPr>
            <w:fldChar w:fldCharType="end"/>
          </w:r>
        </w:p>
        <w:p>
          <w:pPr>
            <w:pStyle w:val="59"/>
            <w:tabs>
              <w:tab w:val="right" w:leader="dot" w:pos="8306"/>
            </w:tabs>
          </w:pPr>
          <w:r>
            <w:rPr>
              <w:bCs/>
            </w:rPr>
            <w:fldChar w:fldCharType="begin"/>
          </w:r>
          <w:r>
            <w:rPr>
              <w:bCs/>
            </w:rPr>
            <w:instrText xml:space="preserve"> HYPERLINK \l _Toc2598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_Toc29878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收储炒作酝酿期间 天胶或维持偏强震荡为主</w:t>
          </w:r>
          <w:r>
            <w:rPr>
              <w:bCs/>
            </w:rPr>
            <w:fldChar w:fldCharType="end"/>
          </w:r>
        </w:p>
        <w:p>
          <w:pPr>
            <w:pStyle w:val="74"/>
            <w:tabs>
              <w:tab w:val="right" w:leader="dot" w:pos="8306"/>
            </w:tabs>
          </w:pPr>
          <w:r>
            <w:rPr>
              <w:bCs/>
            </w:rPr>
            <w:fldChar w:fldCharType="begin"/>
          </w:r>
          <w:r>
            <w:rPr>
              <w:bCs/>
            </w:rPr>
            <w:instrText xml:space="preserve"> HYPERLINK \l _Toc28704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短线跟随成本端震荡偏强</w:t>
          </w:r>
          <w:r>
            <w:rPr>
              <w:bCs/>
            </w:rPr>
            <w:fldChar w:fldCharType="end"/>
          </w:r>
        </w:p>
        <w:p>
          <w:pPr>
            <w:pStyle w:val="74"/>
            <w:tabs>
              <w:tab w:val="right" w:leader="dot" w:pos="8306"/>
            </w:tabs>
          </w:pPr>
          <w:r>
            <w:rPr>
              <w:bCs/>
            </w:rPr>
            <w:fldChar w:fldCharType="begin"/>
          </w:r>
          <w:r>
            <w:rPr>
              <w:bCs/>
            </w:rPr>
            <w:instrText xml:space="preserve"> HYPERLINK \l _Toc21505 </w:instrText>
          </w:r>
          <w:r>
            <w:rPr>
              <w:bCs/>
            </w:rPr>
            <w:fldChar w:fldCharType="separate"/>
          </w:r>
          <w:r>
            <w:rPr>
              <w:rFonts w:hint="eastAsia" w:ascii="楷体" w:hAnsi="楷体" w:eastAsia="楷体"/>
              <w:szCs w:val="24"/>
            </w:rPr>
            <w:t>聚烯烃：下游需求淡季 聚烯烃维持低位震荡</w:t>
          </w:r>
          <w:r>
            <w:rPr>
              <w:bCs/>
            </w:rPr>
            <w:fldChar w:fldCharType="end"/>
          </w:r>
        </w:p>
        <w:p>
          <w:pPr>
            <w:pStyle w:val="74"/>
            <w:tabs>
              <w:tab w:val="right" w:leader="dot" w:pos="8306"/>
            </w:tabs>
          </w:pPr>
          <w:r>
            <w:rPr>
              <w:bCs/>
            </w:rPr>
            <w:fldChar w:fldCharType="begin"/>
          </w:r>
          <w:r>
            <w:rPr>
              <w:bCs/>
            </w:rPr>
            <w:instrText xml:space="preserve"> HYPERLINK \l _Toc20401 </w:instrText>
          </w:r>
          <w:r>
            <w:rPr>
              <w:bCs/>
            </w:rPr>
            <w:fldChar w:fldCharType="separate"/>
          </w:r>
          <w:r>
            <w:rPr>
              <w:rFonts w:hint="eastAsia" w:ascii="楷体" w:hAnsi="楷体" w:eastAsia="楷体"/>
              <w:szCs w:val="24"/>
            </w:rPr>
            <w:t>MEG：供需格局转好 乙二醇短期震荡偏强</w:t>
          </w:r>
          <w:r>
            <w:rPr>
              <w:bCs/>
            </w:rPr>
            <w:fldChar w:fldCharType="end"/>
          </w:r>
        </w:p>
        <w:p>
          <w:pPr>
            <w:pStyle w:val="74"/>
            <w:tabs>
              <w:tab w:val="right" w:leader="dot" w:pos="8306"/>
            </w:tabs>
          </w:pPr>
          <w:r>
            <w:rPr>
              <w:bCs/>
            </w:rPr>
            <w:fldChar w:fldCharType="begin"/>
          </w:r>
          <w:r>
            <w:rPr>
              <w:bCs/>
            </w:rPr>
            <w:instrText xml:space="preserve"> HYPERLINK \l _Toc10646 </w:instrText>
          </w:r>
          <w:r>
            <w:rPr>
              <w:bCs/>
            </w:rPr>
            <w:fldChar w:fldCharType="separate"/>
          </w:r>
          <w:r>
            <w:rPr>
              <w:rFonts w:hint="eastAsia" w:ascii="楷体" w:hAnsi="楷体" w:eastAsia="楷体"/>
              <w:szCs w:val="24"/>
            </w:rPr>
            <w:t>玻璃：环保问题出库不畅，维持区间震荡</w:t>
          </w:r>
          <w:r>
            <w:rPr>
              <w:bCs/>
            </w:rPr>
            <w:fldChar w:fldCharType="end"/>
          </w:r>
        </w:p>
        <w:p>
          <w:pPr>
            <w:pStyle w:val="74"/>
            <w:tabs>
              <w:tab w:val="right" w:leader="dot" w:pos="8306"/>
            </w:tabs>
          </w:pPr>
          <w:r>
            <w:rPr>
              <w:bCs/>
            </w:rPr>
            <w:fldChar w:fldCharType="begin"/>
          </w:r>
          <w:r>
            <w:rPr>
              <w:bCs/>
            </w:rPr>
            <w:instrText xml:space="preserve"> HYPERLINK \l _Toc11323 </w:instrText>
          </w:r>
          <w:r>
            <w:rPr>
              <w:bCs/>
            </w:rPr>
            <w:fldChar w:fldCharType="separate"/>
          </w:r>
          <w:r>
            <w:rPr>
              <w:rFonts w:hint="eastAsia" w:ascii="楷体" w:hAnsi="楷体" w:eastAsia="楷体"/>
              <w:szCs w:val="24"/>
            </w:rPr>
            <w:t>纯碱：供给端多家短停，建议观望</w:t>
          </w:r>
          <w:r>
            <w:rPr>
              <w:bCs/>
            </w:rPr>
            <w:fldChar w:fldCharType="end"/>
          </w:r>
        </w:p>
        <w:p>
          <w:pPr>
            <w:pStyle w:val="59"/>
            <w:tabs>
              <w:tab w:val="right" w:leader="dot" w:pos="8306"/>
            </w:tabs>
          </w:pPr>
          <w:r>
            <w:rPr>
              <w:bCs/>
            </w:rPr>
            <w:fldChar w:fldCharType="begin"/>
          </w:r>
          <w:r>
            <w:rPr>
              <w:bCs/>
            </w:rPr>
            <w:instrText xml:space="preserve"> HYPERLINK \l _Toc19904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_Toc7556 </w:instrText>
          </w:r>
          <w:r>
            <w:rPr>
              <w:bCs/>
            </w:rPr>
            <w:fldChar w:fldCharType="separate"/>
          </w:r>
          <w:r>
            <w:rPr>
              <w:rFonts w:hint="eastAsia" w:ascii="楷体" w:hAnsi="楷体" w:eastAsia="楷体"/>
              <w:szCs w:val="24"/>
            </w:rPr>
            <w:t>豆粕/菜粕：供应充裕，期价上方压力仍存</w:t>
          </w:r>
          <w:r>
            <w:rPr>
              <w:bCs/>
            </w:rPr>
            <w:fldChar w:fldCharType="end"/>
          </w:r>
        </w:p>
        <w:p>
          <w:pPr>
            <w:pStyle w:val="74"/>
            <w:tabs>
              <w:tab w:val="right" w:leader="dot" w:pos="8306"/>
            </w:tabs>
          </w:pPr>
          <w:r>
            <w:rPr>
              <w:bCs/>
            </w:rPr>
            <w:fldChar w:fldCharType="begin"/>
          </w:r>
          <w:r>
            <w:rPr>
              <w:bCs/>
            </w:rPr>
            <w:instrText xml:space="preserve"> HYPERLINK \l _Toc16177 </w:instrText>
          </w:r>
          <w:r>
            <w:rPr>
              <w:bCs/>
            </w:rPr>
            <w:fldChar w:fldCharType="separate"/>
          </w:r>
          <w:r>
            <w:rPr>
              <w:rFonts w:hint="eastAsia" w:ascii="楷体" w:hAnsi="楷体" w:eastAsia="楷体"/>
              <w:szCs w:val="24"/>
            </w:rPr>
            <w:t>油脂：利好驱动不足，维持底部震荡</w:t>
          </w:r>
          <w:r>
            <w:rPr>
              <w:bCs/>
            </w:rPr>
            <w:fldChar w:fldCharType="end"/>
          </w:r>
        </w:p>
        <w:p>
          <w:pPr>
            <w:pStyle w:val="74"/>
            <w:tabs>
              <w:tab w:val="right" w:leader="dot" w:pos="8306"/>
            </w:tabs>
          </w:pPr>
          <w:r>
            <w:rPr>
              <w:bCs/>
            </w:rPr>
            <w:fldChar w:fldCharType="begin"/>
          </w:r>
          <w:r>
            <w:rPr>
              <w:bCs/>
            </w:rPr>
            <w:instrText xml:space="preserve"> HYPERLINK \l _Toc23921 </w:instrText>
          </w:r>
          <w:r>
            <w:rPr>
              <w:bCs/>
            </w:rPr>
            <w:fldChar w:fldCharType="separate"/>
          </w:r>
          <w:r>
            <w:rPr>
              <w:rFonts w:hint="eastAsia" w:ascii="楷体" w:hAnsi="楷体" w:eastAsia="楷体"/>
              <w:bCs/>
            </w:rPr>
            <w:t>玉米与淀粉：</w:t>
          </w:r>
          <w:r>
            <w:rPr>
              <w:rFonts w:hint="eastAsia" w:ascii="楷体" w:hAnsi="楷体" w:eastAsia="楷体"/>
            </w:rPr>
            <w:t>现货带动期价继续回落调整</w:t>
          </w:r>
          <w:r>
            <w:rPr>
              <w:bCs/>
            </w:rPr>
            <w:fldChar w:fldCharType="end"/>
          </w:r>
        </w:p>
        <w:p>
          <w:pPr>
            <w:pStyle w:val="74"/>
            <w:tabs>
              <w:tab w:val="right" w:leader="dot" w:pos="8306"/>
            </w:tabs>
          </w:pPr>
          <w:r>
            <w:rPr>
              <w:bCs/>
            </w:rPr>
            <w:fldChar w:fldCharType="begin"/>
          </w:r>
          <w:r>
            <w:rPr>
              <w:bCs/>
            </w:rPr>
            <w:instrText xml:space="preserve"> HYPERLINK \l _Toc5704 </w:instrText>
          </w:r>
          <w:r>
            <w:rPr>
              <w:bCs/>
            </w:rPr>
            <w:fldChar w:fldCharType="separate"/>
          </w:r>
          <w:r>
            <w:rPr>
              <w:rFonts w:hint="eastAsia" w:ascii="楷体" w:hAnsi="楷体" w:eastAsia="楷体"/>
              <w:bCs/>
            </w:rPr>
            <w:t>畜禽养殖：期价窄幅震荡分化</w:t>
          </w:r>
          <w:r>
            <w:rPr>
              <w:bCs/>
            </w:rPr>
            <w:fldChar w:fldCharType="end"/>
          </w:r>
        </w:p>
        <w:p>
          <w:pPr>
            <w:pStyle w:val="74"/>
            <w:tabs>
              <w:tab w:val="right" w:leader="dot" w:pos="8306"/>
            </w:tabs>
          </w:pPr>
          <w:r>
            <w:rPr>
              <w:bCs/>
            </w:rPr>
            <w:fldChar w:fldCharType="begin"/>
          </w:r>
          <w:r>
            <w:rPr>
              <w:bCs/>
            </w:rPr>
            <w:instrText xml:space="preserve"> HYPERLINK \l _Toc6320 </w:instrText>
          </w:r>
          <w:r>
            <w:rPr>
              <w:bCs/>
            </w:rPr>
            <w:fldChar w:fldCharType="separate"/>
          </w:r>
          <w:r>
            <w:rPr>
              <w:rFonts w:hint="eastAsia" w:ascii="楷体" w:hAnsi="楷体" w:eastAsia="楷体"/>
              <w:szCs w:val="24"/>
            </w:rPr>
            <w:t>郑棉：震荡整理</w:t>
          </w:r>
          <w:r>
            <w:rPr>
              <w:bCs/>
            </w:rPr>
            <w:fldChar w:fldCharType="end"/>
          </w:r>
        </w:p>
        <w:p>
          <w:pPr>
            <w:pStyle w:val="74"/>
            <w:tabs>
              <w:tab w:val="right" w:leader="dot" w:pos="8306"/>
            </w:tabs>
          </w:pPr>
          <w:r>
            <w:rPr>
              <w:bCs/>
            </w:rPr>
            <w:fldChar w:fldCharType="begin"/>
          </w:r>
          <w:r>
            <w:rPr>
              <w:bCs/>
            </w:rPr>
            <w:instrText xml:space="preserve"> HYPERLINK \l _Toc5023 </w:instrText>
          </w:r>
          <w:r>
            <w:rPr>
              <w:bCs/>
            </w:rPr>
            <w:fldChar w:fldCharType="separate"/>
          </w:r>
          <w:r>
            <w:rPr>
              <w:rFonts w:hint="eastAsia" w:ascii="楷体" w:hAnsi="楷体" w:eastAsia="楷体"/>
              <w:szCs w:val="24"/>
            </w:rPr>
            <w:t>白糖：震荡整理</w:t>
          </w:r>
          <w:r>
            <w:rPr>
              <w:bCs/>
            </w:rPr>
            <w:fldChar w:fldCharType="end"/>
          </w:r>
        </w:p>
        <w:p>
          <w:pPr>
            <w:pStyle w:val="59"/>
            <w:tabs>
              <w:tab w:val="right" w:leader="dot" w:pos="8306"/>
            </w:tabs>
          </w:pPr>
          <w:r>
            <w:rPr>
              <w:bCs/>
            </w:rPr>
            <w:fldChar w:fldCharType="begin"/>
          </w:r>
          <w:r>
            <w:rPr>
              <w:bCs/>
            </w:rPr>
            <w:instrText xml:space="preserve"> HYPERLINK \l _Toc16781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_Toc11269 </w:instrText>
          </w:r>
          <w:r>
            <w:rPr>
              <w:bCs/>
            </w:rPr>
            <w:fldChar w:fldCharType="separate"/>
          </w:r>
          <w:r>
            <w:rPr>
              <w:rFonts w:hint="eastAsia" w:ascii="Times New Roman" w:hAnsi="Times New Roman" w:eastAsia="楷体"/>
              <w:szCs w:val="24"/>
            </w:rPr>
            <w:t>集运指数（欧线）：复航计划细节待披露，红海再次传出多次袭击，期市续创新高</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8269"/>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781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左侧轻仓布局，若IM跌破10月前低则止损</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市场出现缩量阴跌及前期小盘股强势补跌，往往也是市场进入底部区域标志，问题是主线尚不明朗，游戏新规削弱小盘炒作氛围，加之市场对美债利率下行利好钝化，反弹时机尚不确定。目前可左侧轻仓布局，但若IM破10月前低，则做好破位下行准备。</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1557"/>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21307"/>
      <w:r>
        <w:rPr>
          <w:rFonts w:hint="eastAsia" w:ascii="Times New Roman" w:hAnsi="Times New Roman" w:eastAsia="楷体"/>
          <w:b/>
          <w:color w:val="000000" w:themeColor="text1"/>
          <w:sz w:val="24"/>
          <w:szCs w:val="24"/>
          <w14:textFill>
            <w14:solidFill>
              <w14:schemeClr w14:val="tx1"/>
            </w14:solidFill>
          </w14:textFill>
        </w:rPr>
        <w:t>贵金属：黄金波动率指数上行，贵金属价格窄幅震荡</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报101.55，美十债收益率3.896%。CME黄金波动率指数上行至15.01，沪金微跌0.07%，沪银跌0.13%。美国10月FHFA房价指数月率录得0.3%，低于前值及预期。周初外盘因假日休市，本周消息面扰动因素较少，上周公布的经济数据显示美国PCE通胀降温强化降息预期，美联储表态朝向鸽派立场转变，后续市场交易逻辑从围绕“什么时候降息”转向“降息多少”，在利率下降的环境下，对于零息资产黄金、白银而言整体利多，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885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7946"/>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碳酸锂：现货价格维持跌势，期价震荡上行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维持下跌，昨日期价震荡上行，07合约收涨4.74%至107100元/吨，近期位于8万元-10万元/吨的自有矿石提锂成本线上方震荡运行。目前现货维持阴跌，主要反映当前仍然较差的现货市场需求，下游电芯厂库存高企较少采购、正极材料厂产能过剩；期货端于成本线上方反弹上涨，反映对于明年一些碳酸锂生产企业减停产，供应减量的预期。除个别企业外，江西、青海、四川等地生产企业不同程度上考虑减停产，另外部分企业考虑待春节后根据市场情况选择是否复工。广期所公告，自2023年12月28日结算时起，碳酸锂期货合约涨跌停板幅度调整为15%，交易保证金标准调整为16%，其中碳酸锂期货LC2401、LC2402合约交易保证金标准维持20%不变。后续关注锂盐企业长期订单签订以及生产计划情况，近一个月以来品种波动幅度较大，建议谨慎观望，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497"/>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随情绪震荡运行，等待补库驱动</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短期供需矛盾不大，冬储仍在博弈中。价格随市场情绪波动，向上存在现货价格压力，向下平电支撑力度强，短期震荡为主，中期或维持震荡上行态势，关注市场补库动作。</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2514"/>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成本中枢下移，焦炭震荡运行</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下游库存相对健康，成材利润偏低情况下，下游继续补库动力不足，煤价偏弱运行，价格中枢下移。短期随成材波动，预计震荡运行，等待现货。</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29871"/>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震荡运行，等待现货指引</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20104"/>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短期维持高位运行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(1)库存：12月26日，SHFE仓单库存2478吨，持平；LME因圣诞节休市。</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(2)精废价差：12月26日，Mysteel精废价差2200，扩张64。目前价差在合理价差1395之上。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当前美联储降息预期交易或仍未结束，美元指数延续弱势，国内政策预期上仍保持相对乐观状态，对铜价仍提供正面支撑，但海外实际降息仍受约束，国内现实需求压力仍大，现货逐步转贴水，基本面有支撑但无明显驱动，预计短期价格维持高位运行，继续上行空间有限，主波动区间参考68000-70000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6247"/>
      <w:bookmarkStart w:id="27" w:name="_Toc8897"/>
      <w:bookmarkStart w:id="28" w:name="_Toc19420"/>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铝价高位震荡，但上行高度受限</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11月核心PCE物价指数年率低于预期，美国通胀压力减缩，强化了美联储转向降息预期，国内宏观面持续释放利好，基本面上看，铝锭库存去库节奏放缓，需求淡季不淡但无明显超预期表现，跨年之际，年底企业多有控制资金需要，补库意愿有所下降，预计铝市维持低库存状态，价格偏强高位震荡，但上行空间有限，前期多单建议逢高止盈，或卖虚值看跌持续持有。</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5783"/>
      <w:r>
        <w:rPr>
          <w:rFonts w:hint="eastAsia" w:ascii="楷体" w:hAnsi="楷体" w:eastAsia="楷体"/>
          <w:b/>
          <w:color w:val="000000" w:themeColor="text1"/>
          <w:sz w:val="24"/>
          <w:szCs w:val="24"/>
          <w14:textFill>
            <w14:solidFill>
              <w14:schemeClr w14:val="tx1"/>
            </w14:solidFill>
          </w14:textFill>
        </w:rPr>
        <w:t>锌：价格冲高但上方承压</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国内社会库存去库节奏放缓，消费淡季之下下游补库需求走弱，锌市基本面维持供需双向走弱，矿端TC加工费持续下行显现供应偏紧态势，冶炼厂利润压缩导致生产积极性钝化，下游企业开工表现一般，锌价上冲但空间有限，建议多单逢高止盈。</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4945"/>
      <w:r>
        <w:rPr>
          <w:rFonts w:hint="eastAsia" w:ascii="楷体" w:hAnsi="楷体" w:eastAsia="楷体"/>
          <w:b/>
          <w:color w:val="000000" w:themeColor="text1"/>
          <w:sz w:val="24"/>
          <w:szCs w:val="24"/>
          <w14:textFill>
            <w14:solidFill>
              <w14:schemeClr w14:val="tx1"/>
            </w14:solidFill>
          </w14:textFill>
        </w:rPr>
        <w:t>镍：供应持续过剩，震荡偏弱为主</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由于原料价格持续下跌，精炼镍利润有所修复，产量环比增加。需求端，不锈钢厂积极复产，对镍需求好转；三元材料仍肩负减产去库压力，对镍需求持续下降；合金和电镀对镍需求表现较为平稳，但需求量级有限。库存方面，虽需求略有改善，但仍不足以消化供应增量，海内外镍库存维持累库趋势，沪镍库存累积至三年高位，伦镍库存刷新一年新高。综合而言，镍需求未有明显改善，供应过剩格局仍然深刻，库存不断回升，给镍价带来压力，预计镍价延续震荡偏弱态势。</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2772"/>
      <w:r>
        <w:rPr>
          <w:rFonts w:hint="eastAsia" w:ascii="楷体" w:hAnsi="楷体" w:eastAsia="楷体"/>
          <w:b/>
          <w:color w:val="000000" w:themeColor="text1"/>
          <w:sz w:val="24"/>
          <w:szCs w:val="24"/>
          <w14:textFill>
            <w14:solidFill>
              <w14:schemeClr w14:val="tx1"/>
            </w14:solidFill>
          </w14:textFill>
        </w:rPr>
        <w:t>铅：铝价上方压力仍存</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7400"/>
      <w:r>
        <w:rPr>
          <w:rFonts w:hint="eastAsia" w:ascii="楷体" w:hAnsi="楷体" w:eastAsia="楷体"/>
          <w:b/>
          <w:color w:val="000000" w:themeColor="text1"/>
          <w:sz w:val="24"/>
          <w:szCs w:val="24"/>
          <w14:textFill>
            <w14:solidFill>
              <w14:schemeClr w14:val="tx1"/>
            </w14:solidFill>
          </w14:textFill>
        </w:rPr>
        <w:t>不锈钢：去库提供支撑，但供需压力仍存</w:t>
      </w:r>
      <w:bookmarkEnd w:id="32"/>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印尼青山不锈钢公司钢厂于12月24日发生爆炸，目前来看影响有限，持续关注该事件是否会对印尼镍铁和不锈钢供应带来影响。成本端，镍铁价格企稳回升，不锈钢成本支撑走强。供应端，由于利润有所修复，不锈钢厂积极复产，据Mysteel统计，12月国内300系不锈钢粗钢排产量156.4万吨，月环比增加4.9%。需求端，目前为不锈钢传统淡季，加上北方暴雪天气会对开工和运输造成影响，年内需求难有明显起色。库存端，据Mysteel数据，上周全国不锈钢社会库存为85万吨，库存连续八周下降，目前已降至去年同期水平，为不锈钢价提供一定支撑。综合而言，镍铁价格回升及社库连降为不锈钢价提供支撑，但供应将有增量，需求难有起色，供需压力下不锈钢继续上行空间有限，关注14000压力位。</w:t>
      </w:r>
    </w:p>
    <w:p>
      <w:pPr>
        <w:rPr>
          <w:rFonts w:ascii="楷体" w:hAnsi="楷体" w:eastAsia="楷体"/>
          <w:bCs/>
          <w:sz w:val="24"/>
          <w:szCs w:val="24"/>
        </w:rPr>
      </w:pPr>
    </w:p>
    <w:p>
      <w:pPr>
        <w:ind w:left="420" w:leftChars="200"/>
        <w:outlineLvl w:val="1"/>
        <w:rPr>
          <w:rFonts w:ascii="楷体" w:hAnsi="楷体" w:eastAsia="楷体"/>
          <w:b/>
          <w:sz w:val="24"/>
          <w:szCs w:val="24"/>
        </w:rPr>
      </w:pPr>
      <w:bookmarkStart w:id="33" w:name="_Toc1405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北方供应扰动加剧，短期盘面或有反弹</w:t>
      </w:r>
      <w:bookmarkEnd w:id="33"/>
    </w:p>
    <w:p>
      <w:pPr>
        <w:ind w:left="630" w:leftChars="300"/>
        <w:rPr>
          <w:rFonts w:ascii="楷体" w:hAnsi="楷体" w:eastAsia="楷体"/>
          <w:sz w:val="24"/>
          <w:szCs w:val="24"/>
        </w:rPr>
      </w:pPr>
      <w:r>
        <w:rPr>
          <w:rFonts w:hint="eastAsia" w:ascii="楷体" w:hAnsi="楷体" w:eastAsia="楷体"/>
          <w:sz w:val="24"/>
          <w:szCs w:val="24"/>
        </w:rPr>
        <w:t>12月26日，Si2402主力合约呈冲高回落走势，收盘价14235元/吨，较上一收盘价涨跌幅-0.07%。近期，北方供应出现一定程度扰动，目前由于环保、安全生产等因素，扰动因素有所加剧。据百川盈浮了解，新疆伊犁多家硅厂受到影响，其中伊东工业园四家企业，要求已开炉8台进行停产；七十三团金岗工业园五家企业，要求已开炉16台进行轮流限电，预计日产量将减少280-320吨。另外，新疆石河子相关生产企业也受到环保管控影响。综合来看，在西南季节性减产背景下，北方供应扰动加剧。整体供应存在进一步收缩预期，短期盘面或有所反弹。策略上，建议以逢低做多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4" w:name="化工"/>
      <w:r>
        <w:rPr>
          <w:rFonts w:hint="eastAsia" w:ascii="Times New Roman" w:hAnsi="Times New Roman" w:eastAsia="楷体"/>
          <w:b/>
          <w:color w:val="823C0B"/>
          <w:sz w:val="30"/>
          <w:szCs w:val="30"/>
        </w:rPr>
        <w:t xml:space="preserve"> </w:t>
      </w:r>
      <w:bookmarkStart w:id="35" w:name="_Toc2598"/>
      <w:r>
        <w:rPr>
          <w:rFonts w:hint="eastAsia" w:ascii="Times New Roman" w:hAnsi="Times New Roman" w:eastAsia="楷体"/>
          <w:b/>
          <w:color w:val="823C0B"/>
          <w:sz w:val="30"/>
          <w:szCs w:val="30"/>
        </w:rPr>
        <w:t>[化工]</w:t>
      </w:r>
      <w:bookmarkEnd w:id="34"/>
      <w:bookmarkEnd w:id="35"/>
    </w:p>
    <w:p>
      <w:pPr>
        <w:ind w:firstLine="482" w:firstLineChars="200"/>
        <w:outlineLvl w:val="1"/>
        <w:rPr>
          <w:rFonts w:ascii="楷体" w:hAnsi="楷体" w:eastAsia="楷体"/>
          <w:b/>
          <w:sz w:val="24"/>
          <w:szCs w:val="24"/>
        </w:rPr>
      </w:pPr>
      <w:bookmarkStart w:id="36" w:name="_Toc2987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收储炒作酝酿期间 天胶或维持偏强震荡为主</w:t>
      </w:r>
      <w:bookmarkEnd w:id="36"/>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近期橡胶主力合约延续小幅回暖。从技术面上来看，日线在头肩形回调到位后，近期出现反弹。近期上涨交金叉的同时、伴随较大成交量，因此预计短期天胶偏强震荡。供应方面，国内外工厂为冬储备库及正常生产节奏，对原料存抢占情绪，原料价格反季节性上涨给予盘面表现较强支撑，生产成本施压下胶价或继续走高。库存方面，随着海外订单陆续到港，逢下游工厂出货淡季，港口库存继续降库幅度受到压制，供需压制仍存。需求端来看，半钢胎样本企业外贸订单充足，且部分企业排产2024年订单。全钢胎样本企业出货偏慢，整体库存继续提升。终端汽车方面，11月数据同环比继续走强，汽车消费旺季来临市场景气度高。整体看，天胶市场利多因素仍占主导，抛收储炒作暂未落地前，胶价或继续维持偏强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8704"/>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短线跟随成本端震荡偏强</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油方面，胡塞武装继续袭扰红海地区船舶，中东局势加剧引发市场担忧，叠加市场对美联储降息前景的关注度增强，国际油价上涨。PX方面，高开工叠加PTA降负，但近期受调油逻辑启动补库行情供应偏紧，短期趋势仍偏强。PTA方面，本周宁波逸盛和逸盛新材料装置降负运行，中泰120万吨装置停车，个别装置负荷提升，至12.22 PTA装置负荷下降至80.3%，环比-3.6%。本周两套聚酯装置检修，一套开启，另外局部有装置负荷微调，综合负荷小幅下滑。截至12.22，初步核算国内大陆地区聚酯负荷在89.7%。工厂小幅降负运行，但原料价格走高后涤丝产销放量。综合来看，PTA开工小幅下滑，下游聚酯负荷目前虽然仍维持在89-90%，供需格局小幅改善。PTA短期面临成本支撑提振及TA计划外装置损失稍有改善供需，短线趋势偏强。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1505"/>
      <w:r>
        <w:rPr>
          <w:rFonts w:hint="eastAsia" w:ascii="楷体" w:hAnsi="楷体" w:eastAsia="楷体"/>
          <w:b/>
          <w:color w:val="000000" w:themeColor="text1"/>
          <w:sz w:val="24"/>
          <w:szCs w:val="24"/>
          <w14:textFill>
            <w14:solidFill>
              <w14:schemeClr w14:val="tx1"/>
            </w14:solidFill>
          </w14:textFill>
        </w:rPr>
        <w:t>聚烯烃：下游需求淡季 聚烯烃维持低位震荡</w:t>
      </w:r>
      <w:bookmarkEnd w:id="38"/>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交易员长假日后返回市场，并继续权衡红海航运船只遭受进一步袭击导致原油供应严重中断的可能性，在假日后的清淡交易中，欧美原油期货涨至月内最高。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聚烯烃供强需弱格局下，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0401"/>
      <w:r>
        <w:rPr>
          <w:rFonts w:hint="eastAsia" w:ascii="楷体" w:hAnsi="楷体" w:eastAsia="楷体"/>
          <w:b/>
          <w:color w:val="000000" w:themeColor="text1"/>
          <w:sz w:val="24"/>
          <w:szCs w:val="24"/>
          <w14:textFill>
            <w14:solidFill>
              <w14:schemeClr w14:val="tx1"/>
            </w14:solidFill>
          </w14:textFill>
        </w:rPr>
        <w:t>MEG：供需格局转好 乙二醇短期震荡偏强</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12.25华东主港地区MEG港口库存约113.6万吨，环比上期-2.24万吨，到港减少连续三周大幅去库。截至12月21日，中国大陆地区乙二醇整体开工负荷在61.33%（+1.81%），其中煤制乙二醇开工负荷在59.21%（+0.82%）。外盘沙特3套装置检修，计划检修至2月底。截至12月21日，国内大陆地区聚酯负荷在89.7%，节前聚酯开工高位维持。终端来看，新订单持续性不足，江浙终端开工率继续下降，江浙加弹综合开工87%（+0%），江浙织机综合开工小幅下滑至77%（-1%），江浙印染综合开工下滑至75%（-2%）。油价反弹及原料价格走高，终端增加原料备货。综合来看，近期聚酯高开工维持，市场下调乙二醇2月之前进口及国产量及进口到港减少，预计1-2月乙二醇供需改善呈现紧平衡格局，乙二醇期价大幅走高后短线留意4500附近压力位，建议部分多单止盈离场，新单建议回调后继续介入多单，中长期趋势看多。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10646"/>
      <w:r>
        <w:rPr>
          <w:rFonts w:hint="eastAsia" w:ascii="楷体" w:hAnsi="楷体" w:eastAsia="楷体"/>
          <w:b/>
          <w:color w:val="000000" w:themeColor="text1"/>
          <w:sz w:val="24"/>
          <w:szCs w:val="24"/>
          <w14:textFill>
            <w14:solidFill>
              <w14:schemeClr w14:val="tx1"/>
            </w14:solidFill>
          </w14:textFill>
        </w:rPr>
        <w:t>玻璃：环保问题出库不畅，维持区间震荡</w:t>
      </w:r>
      <w:bookmarkEnd w:id="4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12月25日报道：今日浮法玻璃现货价格1997元/吨，较上一交易日+3元/吨。截至2023年12月21日，全国浮法玻璃日产量为17.25万吨，较上周继续回升。库存上，周内全国浮法玻璃样本企业总库存3235.3万重箱，环比增加68.1万重箱，环比+2.15%，行业累库。需求端，华东、西南、华南区域产销率良好，北方陆运基本恢复，下游加工厂按需拿货。现货端，南稳北降，北方受天气影响项目停工，需求走弱，南方年底赶订单，现货价格较为坚挺。盘面提前博弈冬储价格，宏观偏强且厂库较低的情况下，建议以低多思路为主。主力合约参考区间（1800，1950）。</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1" w:name="_Toc11323"/>
      <w:r>
        <w:rPr>
          <w:rFonts w:hint="eastAsia" w:ascii="楷体" w:hAnsi="楷体" w:eastAsia="楷体"/>
          <w:b/>
          <w:color w:val="000000" w:themeColor="text1"/>
          <w:sz w:val="24"/>
          <w:szCs w:val="24"/>
          <w14:textFill>
            <w14:solidFill>
              <w14:schemeClr w14:val="tx1"/>
            </w14:solidFill>
          </w14:textFill>
        </w:rPr>
        <w:t>纯碱：供给端多家短停，建议观望</w:t>
      </w:r>
      <w:bookmarkEnd w:id="41"/>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价格开始松动。西北地区贸易商报价下调100-200元/吨，厂家挺价。供给方面，截至20231221，周内纯碱产量64.70万吨，跌幅1.49%。周内纯碱库存35.39万吨，环比+1.29万吨，涨幅3.78%。从库存结构上来看，厂库库存仍处于低位，供给端金山四期，江苏实联，山东海化等企业短停或降负荷，周内产能难以大幅提升。需求端下游多家大型玻璃厂的纯碱平均库存+待发超过20天，碱厂待发订单最迟到月底，下个月的新单走弱，阶段性补库进入尾声。盘面短期暂无强驱动，期短期库存较低且基差较大的情况下，远月价格或将仍有反复，后市重点观察现货下跌情况。操作上建议观望。</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2" w:name="_Toc19904"/>
      <w:r>
        <w:rPr>
          <w:rFonts w:hint="eastAsia" w:ascii="Times New Roman" w:hAnsi="Times New Roman" w:eastAsia="楷体"/>
          <w:b/>
          <w:color w:val="823C0B"/>
          <w:sz w:val="30"/>
          <w:szCs w:val="30"/>
        </w:rPr>
        <w:t>[农产品]</w:t>
      </w:r>
      <w:bookmarkEnd w:id="14"/>
      <w:bookmarkEnd w:id="42"/>
    </w:p>
    <w:p>
      <w:pPr>
        <w:ind w:left="420" w:leftChars="200"/>
        <w:outlineLvl w:val="1"/>
        <w:rPr>
          <w:rFonts w:ascii="楷体" w:hAnsi="楷体" w:eastAsia="楷体"/>
          <w:b/>
          <w:sz w:val="24"/>
          <w:szCs w:val="24"/>
        </w:rPr>
      </w:pPr>
      <w:bookmarkStart w:id="43" w:name="_Toc7556"/>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供应充裕，期价上方压力仍存</w:t>
      </w:r>
      <w:bookmarkEnd w:id="43"/>
    </w:p>
    <w:p>
      <w:pPr>
        <w:ind w:left="630" w:leftChars="300"/>
        <w:rPr>
          <w:rFonts w:ascii="楷体" w:hAnsi="楷体" w:eastAsia="楷体"/>
          <w:sz w:val="24"/>
          <w:szCs w:val="24"/>
        </w:rPr>
      </w:pPr>
      <w:r>
        <w:rPr>
          <w:rFonts w:hint="eastAsia" w:ascii="楷体" w:hAnsi="楷体" w:eastAsia="楷体"/>
          <w:sz w:val="24"/>
          <w:szCs w:val="24"/>
        </w:rPr>
        <w:t>外盘因节日休市，内盘缺乏指引，CBOT大豆1300关口支撑仍较强，南美当前仍是关键。随着美豆定产后，市场定价中心逐步转向南美，巴西天气不确定性较大，目前种植进度落后于去年同期及五年均值水平为94%，虽当前美农报告对南美产量调整不及预期，但中长期南美丰产预期能否兑现仍是后续价格走势的关键，关注巴西后续天气及种植情况，现阶段天气扰动较大。国内豆粕延续供强需弱格局，供应端进入11月份后，随着进口大豆到港增加，油厂大豆库存维持高位，油厂开机率提升，豆粕产出增加，但下游成交未见明显好转，豆粕库存较前一周增至81.27万吨，当前沿海主流油厂豆粕现货报价上调至3850-3930元/吨。但11月份进口大豆到港不及预期，为792万吨，叠加远月买船进度偏慢，远月供应端担忧仍存。需求，下游生猪养殖利润维持亏损，但在能繁存栏高位下，下游随采随用，保持安全库存，成交清淡。菜粕供应存宽松预期。在11月份后随着菜籽进口增加，菜粕供应预计转宽，目前菜籽库存以及油厂开机均有明显提升。而需求方面，随着水产消费旺季的结束，菜粕刚需减少，但在豆菜粕价差较大下提振菜粕的替代需求。策略方面，短期震荡调整，建议豆粕短线顺势操作，05暂看3300支撑，菜粕建议短线逢高空，近月压力仍较大。</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4" w:name="_Toc16177"/>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利好驱动不足，维持底部震荡</w:t>
      </w:r>
      <w:bookmarkEnd w:id="44"/>
    </w:p>
    <w:p>
      <w:pPr>
        <w:ind w:left="630" w:leftChars="300"/>
        <w:rPr>
          <w:rFonts w:ascii="楷体" w:hAnsi="楷体" w:eastAsia="楷体"/>
          <w:sz w:val="24"/>
          <w:szCs w:val="24"/>
        </w:rPr>
      </w:pPr>
      <w:r>
        <w:rPr>
          <w:rFonts w:hint="eastAsia" w:ascii="楷体" w:hAnsi="楷体" w:eastAsia="楷体"/>
          <w:sz w:val="24"/>
          <w:szCs w:val="24"/>
        </w:rPr>
        <w:t>国内豆棕油库存止升转降，且暂无外盘指引下，震荡偏强，但当前缺乏天气炒作提振，且需求无明显亮点，期价预计反弹空间有限。棕榈油，产地11月份进入季节性减产周期，库存压力逐步释放，但中长期在厄尔尼诺现象扰动下，价格下方存支撑，天气仍需持续关注。印尼棕榈油10月份产需双增，但产量增幅不及需求，库存继续下降。而马棕11月份产需双降，因产量降幅略高于预期，库存降幅环比达1.09%，市场担忧供应减少带动库存下滑，但当前供需矛盾尚未出现，中长期主要关注厄尔尼诺对产量的扰动。国内棕榈油9-10月份进口到港维持高位，但在高库存抑制下后续进口预计减少，最新商业库存减至93万吨，处于同期高位。需求端，因价格优势显著，提振下游采购需求。豆油存供需双增预期。国内随着11月后进口大豆到港增加，油厂开机有所回升，豆油供应预计将得到补充。需求端，虽四季度为豆油消费旺季，部分掺混需求预计转向豆油，但当前价格优势并不明显，限制替代需求，终端需求并未出现亮眼表现。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预期宽松。需求方面，与豆油价差持续收窄，部分地区出现低于豆油价格的情况，下游采购需求较好。短期油脂预计维持底部震荡，暂缺乏单边驱动；中长期关注天气及需求表现，维持谨慎看多观点，关注做多油粕比机会。</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5" w:name="_Toc23921"/>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现货带动期价继续回落调整</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在前期报告中我们指出，随着玉米期现货持续下跌之后，看空风险亦随之而来，中期风险在于错判产需求缺口，其一方面源于内外价差收窄之后将抑制后期高粱和大麦进口，另一方面则在于市场可能低估了下游需求特别是饲用需求；短期风险则在于成本下方继续催生惜售心理，市场进一步压缩渠道库存，而春节前下游特别是饲料养殖行业需要备货。在期价止跌回升之后，则需要持续跟踪市场供需博弈的变化，值得关注的变量包括政策粮收购、农户售粮心态，中下游备货积极性及其外盘期价走势。综上所述，考虑到市场压力最大的时候或已经过去，转为谨慎看多观点，建议谨慎投资者观望，激进投资者可考虑择机轻仓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变量持续变化，现货基差支撑依然存在，行业供需近期偏宽松，后期原料成本则有所转向，而副产品存在较大变数，与玉米相似，豆粕下游库存持续低位，后期节前备货同样有可能带来反弹。在这种情况下，后期价差走势更多取决于原料成本即玉米期现货走势。在这种情况下，我们建议单边可轻仓做多，亦可持有前期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6" w:name="_Toc5704"/>
      <w:r>
        <w:rPr>
          <w:rFonts w:hint="eastAsia" w:ascii="楷体" w:hAnsi="楷体" w:eastAsia="楷体"/>
          <w:b/>
          <w:bCs/>
          <w:color w:val="000000" w:themeColor="text1"/>
          <w14:textFill>
            <w14:solidFill>
              <w14:schemeClr w14:val="tx1"/>
            </w14:solidFill>
          </w14:textFill>
        </w:rPr>
        <w:t>畜禽养殖：期价窄幅震荡分化</w:t>
      </w:r>
      <w:bookmarkEnd w:id="4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近月即1月合约需要继续留意被动性出栏的情况，因从养殖利润和价差结构来看，主动提前出栏的积极性趋于下降，此外，需求端亦有可能趋于改善，因目前逐步进入春节前需求旺季，其反弹的可能性更大，但合约存续期相对受限。对于3月和5月合约而言，其不确定性主要源于生猪提前出栏的数量，参考农业农村部公布的季度末存栏和各家机构公布的出栏数据（商务部公布的规模以上屠宰企业屠宰量、涌益咨询公布的屠宰开机率和日度屠宰量）来看，3季度仔猪增量对应明年1季度出栏量依然较大。对于更远期合约而言，其不确定性则源于生猪产能去化的幅度， 其一可以参考去年现货崩盘后产能去化幅度，其二则是规模企业当前已公布的出栏目标。在现货大幅反弹之后，行业出栏积极性有望继续回升，市场总体表现为供需两旺，而市场悲观氛围或难以改变，这意味着短期期价或继续回落或震荡调整，这个过程中需要特别留意现货和基差走势。综上所述，基于各合约不确定性的考虑，维持中性观点，建议投资者观望为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角度看，卓创资讯数据显示，在产蛋鸡存栏连续环比增加，考虑到今年节后以来蛋鸡苗销量均同比增加，而蛋鸡淘汰量持续处于历史低位水平，蛋鸡淘汰日龄则持续位于历史同期高位，由此可以看出，后期鸡蛋供需有望继续趋于改善，叠加整个动物蛋白供需过剩的大背景，鸡蛋期现货价格或仍有下跌空间。在这种情况下，接下来一方面需要留意养殖户淘汰和补栏积极性的变化，因其影响远期供需预期，另一方面需要留意行业现货库存变动，因其影响接下来特别是春节前后现货波动节奏。在这种情况下，市场将根据季节性旺季期间的现货表现来判断接下来特别是春节后的鸡蛋供需状况，另一个重要因素则是短期的基差变动情况。在这种情况下，我们维持中性观点，建议投资者观望为宜。</w:t>
      </w:r>
    </w:p>
    <w:p>
      <w:pPr>
        <w:ind w:firstLine="480" w:firstLineChars="200"/>
        <w:rPr>
          <w:rFonts w:ascii="楷体" w:hAnsi="楷体" w:eastAsia="楷体"/>
          <w:sz w:val="24"/>
          <w:szCs w:val="24"/>
        </w:rPr>
      </w:pPr>
    </w:p>
    <w:p>
      <w:pPr>
        <w:ind w:left="420" w:leftChars="200"/>
        <w:outlineLvl w:val="1"/>
        <w:rPr>
          <w:rFonts w:ascii="楷体" w:hAnsi="楷体" w:eastAsia="楷体"/>
          <w:b/>
          <w:sz w:val="24"/>
          <w:szCs w:val="24"/>
        </w:rPr>
      </w:pPr>
      <w:bookmarkStart w:id="47" w:name="_Toc6320"/>
      <w:r>
        <w:rPr>
          <w:rFonts w:hint="eastAsia" w:ascii="楷体" w:hAnsi="楷体" w:eastAsia="楷体"/>
          <w:b/>
          <w:sz w:val="24"/>
          <w:szCs w:val="24"/>
        </w:rPr>
        <w:t>郑棉：震荡整理</w:t>
      </w:r>
      <w:bookmarkEnd w:id="47"/>
    </w:p>
    <w:p>
      <w:pPr>
        <w:ind w:left="630" w:leftChars="300"/>
        <w:rPr>
          <w:rFonts w:ascii="楷体" w:hAnsi="楷体" w:eastAsia="楷体"/>
          <w:sz w:val="24"/>
          <w:szCs w:val="24"/>
        </w:rPr>
      </w:pPr>
      <w:r>
        <w:rPr>
          <w:rFonts w:hint="eastAsia" w:ascii="楷体" w:hAnsi="楷体" w:eastAsia="楷体"/>
          <w:sz w:val="24"/>
          <w:szCs w:val="24"/>
        </w:rPr>
        <w:t>因加工进度较快，国内棉花工商业库存攀升至高位。叠加进口环比继续增加，短期内供应十分充沛。纱线和坯布库存依然处于高位，而原料库存同比大幅增加，纺织企业的补库需求远低于去年同期，产业负反馈需要时间进行消化，纺织利润改善不易。郑棉仓单急速增加，仓单加有效预报已过万张，仓单与套保压力始终压制着棉花反弹高度。不过，由于红海局势带动原油以及大宗商品整体上涨，情绪提振下郑棉同样有所反弹。后续预计05在15000-15500元/吨区间内继续震荡。</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8" w:name="_Toc5023"/>
      <w:r>
        <w:rPr>
          <w:rFonts w:hint="eastAsia" w:ascii="楷体" w:hAnsi="楷体" w:eastAsia="楷体"/>
          <w:b/>
          <w:sz w:val="24"/>
          <w:szCs w:val="24"/>
        </w:rPr>
        <w:t>白糖：震荡整理</w:t>
      </w:r>
      <w:bookmarkEnd w:id="48"/>
    </w:p>
    <w:p>
      <w:pPr>
        <w:ind w:left="630" w:leftChars="300"/>
        <w:rPr>
          <w:rFonts w:ascii="楷体" w:hAnsi="楷体" w:eastAsia="楷体"/>
          <w:sz w:val="24"/>
          <w:szCs w:val="24"/>
        </w:rPr>
      </w:pPr>
      <w:r>
        <w:rPr>
          <w:rFonts w:hint="eastAsia" w:ascii="楷体" w:hAnsi="楷体" w:eastAsia="楷体"/>
          <w:sz w:val="24"/>
          <w:szCs w:val="24"/>
        </w:rPr>
        <w:t>咨询机构StoneX预计巴西中南部地区2024/25年度糖产量预计达到创纪录的4320万吨，较上年增长3.3%。巴西糖厂预计在2024/25年度将51.4%的甘蔗用于制糖，高于上年的49%。印度行政干预使得甘蔗用于生产白糖而非乙醇。国内新糖上市，传闻本榨季广西有望增产15%—20%。元旦和春节备货进行中，节日需求支撑和商品普涨背景下白糖小幅反弹，注意观察资金动向。</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9" w:name="_Toc16781"/>
      <w:r>
        <w:rPr>
          <w:rFonts w:hint="eastAsia" w:ascii="Times New Roman" w:hAnsi="Times New Roman" w:eastAsia="楷体"/>
          <w:b/>
          <w:color w:val="823C0B"/>
          <w:sz w:val="30"/>
          <w:szCs w:val="30"/>
        </w:rPr>
        <w:t>[指数]</w:t>
      </w:r>
      <w:bookmarkEnd w:id="4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0" w:name="_Toc11269"/>
      <w:r>
        <w:rPr>
          <w:rFonts w:hint="eastAsia" w:ascii="Times New Roman" w:hAnsi="Times New Roman" w:eastAsia="楷体"/>
          <w:b/>
          <w:color w:val="000000" w:themeColor="text1"/>
          <w:sz w:val="24"/>
          <w:szCs w:val="24"/>
          <w14:textFill>
            <w14:solidFill>
              <w14:schemeClr w14:val="tx1"/>
            </w14:solidFill>
          </w14:textFill>
        </w:rPr>
        <w:t>集运指数（欧线）：复航计划细节待披露，红海再次传出多次袭击，期市续创新高</w:t>
      </w:r>
      <w:bookmarkEnd w:id="5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商船受袭事件后续不断发酵。运力排名前十大船司相继宣布停航途径红海的航线，绕行好望角成本增加30%，并且造成拥堵现象。除了交付期的延迟，还有绕行带来的额外成本以及可用运力的减少，都将推动运价上涨。美国带头组织护航行动，马士基日前启动复航计划，但对于持续性与能否进一扩大规模，市场仍有忧虑。</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现货方面，上周五盘后公布SCFI欧线数据大涨45.5%至1497美元/TEU。</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市场认为对于红海局势造成的影响短期降温不太现实，推动各ec合约涨停并修复此前跌幅。后续需关注停航时长、规模所带来的连锁影响，以及长期供强需弱格局逻辑的回归。短期波动大操作上建议谨慎关注。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51" w:name="_Toc12779"/>
      <w:bookmarkStart w:id="52" w:name="_Toc71212556"/>
      <w:bookmarkStart w:id="53" w:name="_Toc72481108"/>
      <w:bookmarkStart w:id="54" w:name="_Toc98426751"/>
      <w:bookmarkStart w:id="55" w:name="_Toc19667"/>
      <w:r>
        <w:rPr>
          <w:rFonts w:ascii="Times New Roman" w:hAnsi="Times New Roman" w:eastAsia="楷体"/>
          <w:b/>
          <w:color w:val="411D05"/>
          <w:sz w:val="30"/>
          <w:szCs w:val="30"/>
        </w:rPr>
        <w:t>免责声明</w:t>
      </w:r>
      <w:bookmarkEnd w:id="51"/>
      <w:bookmarkEnd w:id="52"/>
      <w:bookmarkEnd w:id="53"/>
      <w:bookmarkEnd w:id="54"/>
      <w:bookmarkEnd w:id="5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2023年12月27日星期三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57D13AE"/>
    <w:rsid w:val="06B2613D"/>
    <w:rsid w:val="06B753E3"/>
    <w:rsid w:val="09B849A4"/>
    <w:rsid w:val="09F160E3"/>
    <w:rsid w:val="0AC64130"/>
    <w:rsid w:val="0B42525D"/>
    <w:rsid w:val="0C1F7DEE"/>
    <w:rsid w:val="0CDE660D"/>
    <w:rsid w:val="0D032A7C"/>
    <w:rsid w:val="0F662138"/>
    <w:rsid w:val="0FF35275"/>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8F320AA"/>
    <w:rsid w:val="3A2F6D68"/>
    <w:rsid w:val="3AC9385E"/>
    <w:rsid w:val="3B3306F0"/>
    <w:rsid w:val="3B563B4D"/>
    <w:rsid w:val="3C2825B0"/>
    <w:rsid w:val="3C2B26B7"/>
    <w:rsid w:val="3CB420C3"/>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246D5D"/>
    <w:rsid w:val="59C52328"/>
    <w:rsid w:val="5B906095"/>
    <w:rsid w:val="5BF60A75"/>
    <w:rsid w:val="5C9F2D01"/>
    <w:rsid w:val="5D5617A6"/>
    <w:rsid w:val="5EA7685B"/>
    <w:rsid w:val="619A2BBF"/>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5A5FEF"/>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2023-12-27T02:59:30Z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