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_Toc17884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_Toc26972 </w:instrText>
          </w:r>
          <w:r>
            <w:rPr>
              <w:bCs/>
            </w:rPr>
            <w:fldChar w:fldCharType="separate"/>
          </w:r>
          <w:r>
            <w:rPr>
              <w:rFonts w:hint="eastAsia" w:ascii="Times New Roman" w:hAnsi="Times New Roman" w:eastAsia="楷体"/>
              <w:szCs w:val="24"/>
            </w:rPr>
            <w:t>股指：观望，待企稳后低多</w:t>
          </w:r>
          <w:r>
            <w:rPr>
              <w:bCs/>
            </w:rPr>
            <w:fldChar w:fldCharType="end"/>
          </w:r>
        </w:p>
        <w:p>
          <w:pPr>
            <w:pStyle w:val="59"/>
            <w:tabs>
              <w:tab w:val="right" w:leader="dot" w:pos="8306"/>
            </w:tabs>
          </w:pPr>
          <w:r>
            <w:rPr>
              <w:bCs/>
            </w:rPr>
            <w:fldChar w:fldCharType="begin"/>
          </w:r>
          <w:r>
            <w:rPr>
              <w:bCs/>
            </w:rPr>
            <w:instrText xml:space="preserve"> HYPERLINK \l _Toc9731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_Toc5449 </w:instrText>
          </w:r>
          <w:r>
            <w:rPr>
              <w:bCs/>
            </w:rPr>
            <w:fldChar w:fldCharType="separate"/>
          </w:r>
          <w:r>
            <w:rPr>
              <w:rFonts w:hint="eastAsia" w:ascii="Times New Roman" w:hAnsi="Times New Roman" w:eastAsia="楷体"/>
              <w:szCs w:val="24"/>
            </w:rPr>
            <w:t>贵金属：美国PCE通胀回落，贵金属价格窄幅震荡</w:t>
          </w:r>
          <w:r>
            <w:rPr>
              <w:bCs/>
            </w:rPr>
            <w:fldChar w:fldCharType="end"/>
          </w:r>
        </w:p>
        <w:p>
          <w:pPr>
            <w:pStyle w:val="59"/>
            <w:tabs>
              <w:tab w:val="right" w:leader="dot" w:pos="8306"/>
            </w:tabs>
          </w:pPr>
          <w:r>
            <w:rPr>
              <w:bCs/>
            </w:rPr>
            <w:fldChar w:fldCharType="begin"/>
          </w:r>
          <w:r>
            <w:rPr>
              <w:bCs/>
            </w:rPr>
            <w:instrText xml:space="preserve"> HYPERLINK \l _Toc18358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_Toc8162 </w:instrText>
          </w:r>
          <w:r>
            <w:rPr>
              <w:bCs/>
            </w:rPr>
            <w:fldChar w:fldCharType="separate"/>
          </w:r>
          <w:r>
            <w:rPr>
              <w:rFonts w:hint="eastAsia" w:ascii="楷体" w:hAnsi="楷体" w:eastAsia="楷体"/>
              <w:szCs w:val="24"/>
            </w:rPr>
            <w:t>碳酸锂：年后部分企业存减停产预期，期价区间震荡</w:t>
          </w:r>
          <w:r>
            <w:rPr>
              <w:bCs/>
            </w:rPr>
            <w:fldChar w:fldCharType="end"/>
          </w:r>
        </w:p>
        <w:p>
          <w:pPr>
            <w:pStyle w:val="74"/>
            <w:tabs>
              <w:tab w:val="right" w:leader="dot" w:pos="8306"/>
            </w:tabs>
          </w:pPr>
          <w:r>
            <w:rPr>
              <w:bCs/>
            </w:rPr>
            <w:fldChar w:fldCharType="begin"/>
          </w:r>
          <w:r>
            <w:rPr>
              <w:bCs/>
            </w:rPr>
            <w:instrText xml:space="preserve"> HYPERLINK \l _Toc14447 </w:instrText>
          </w:r>
          <w:r>
            <w:rPr>
              <w:bCs/>
            </w:rPr>
            <w:fldChar w:fldCharType="separate"/>
          </w:r>
          <w:r>
            <w:rPr>
              <w:rFonts w:hint="eastAsia" w:ascii="楷体" w:hAnsi="楷体" w:eastAsia="楷体"/>
              <w:szCs w:val="24"/>
            </w:rPr>
            <w:t>螺纹钢：随情绪震荡运行，等待补库驱动</w:t>
          </w:r>
          <w:r>
            <w:rPr>
              <w:bCs/>
            </w:rPr>
            <w:fldChar w:fldCharType="end"/>
          </w:r>
        </w:p>
        <w:p>
          <w:pPr>
            <w:pStyle w:val="74"/>
            <w:tabs>
              <w:tab w:val="right" w:leader="dot" w:pos="8306"/>
            </w:tabs>
          </w:pPr>
          <w:r>
            <w:rPr>
              <w:bCs/>
            </w:rPr>
            <w:fldChar w:fldCharType="begin"/>
          </w:r>
          <w:r>
            <w:rPr>
              <w:bCs/>
            </w:rPr>
            <w:instrText xml:space="preserve"> HYPERLINK \l _Toc32070 </w:instrText>
          </w:r>
          <w:r>
            <w:rPr>
              <w:bCs/>
            </w:rPr>
            <w:fldChar w:fldCharType="separate"/>
          </w:r>
          <w:r>
            <w:rPr>
              <w:rFonts w:hint="eastAsia" w:ascii="楷体" w:hAnsi="楷体" w:eastAsia="楷体"/>
              <w:szCs w:val="24"/>
            </w:rPr>
            <w:t>焦炭：成本中枢下移，焦炭震荡运行</w:t>
          </w:r>
          <w:r>
            <w:rPr>
              <w:bCs/>
            </w:rPr>
            <w:fldChar w:fldCharType="end"/>
          </w:r>
        </w:p>
        <w:p>
          <w:pPr>
            <w:pStyle w:val="74"/>
            <w:tabs>
              <w:tab w:val="right" w:leader="dot" w:pos="8306"/>
            </w:tabs>
          </w:pPr>
          <w:r>
            <w:rPr>
              <w:bCs/>
            </w:rPr>
            <w:fldChar w:fldCharType="begin"/>
          </w:r>
          <w:r>
            <w:rPr>
              <w:bCs/>
            </w:rPr>
            <w:instrText xml:space="preserve"> HYPERLINK \l _Toc28217 </w:instrText>
          </w:r>
          <w:r>
            <w:rPr>
              <w:bCs/>
            </w:rPr>
            <w:fldChar w:fldCharType="separate"/>
          </w:r>
          <w:r>
            <w:rPr>
              <w:rFonts w:hint="eastAsia" w:ascii="楷体" w:hAnsi="楷体" w:eastAsia="楷体"/>
              <w:szCs w:val="24"/>
            </w:rPr>
            <w:t>焦煤：震荡运行，等待现货指引</w:t>
          </w:r>
          <w:r>
            <w:rPr>
              <w:bCs/>
            </w:rPr>
            <w:fldChar w:fldCharType="end"/>
          </w:r>
        </w:p>
        <w:p>
          <w:pPr>
            <w:pStyle w:val="74"/>
            <w:tabs>
              <w:tab w:val="right" w:leader="dot" w:pos="8306"/>
            </w:tabs>
          </w:pPr>
          <w:r>
            <w:rPr>
              <w:bCs/>
            </w:rPr>
            <w:fldChar w:fldCharType="begin"/>
          </w:r>
          <w:r>
            <w:rPr>
              <w:bCs/>
            </w:rPr>
            <w:instrText xml:space="preserve"> HYPERLINK \l _Toc23598 </w:instrText>
          </w:r>
          <w:r>
            <w:rPr>
              <w:bCs/>
            </w:rPr>
            <w:fldChar w:fldCharType="separate"/>
          </w:r>
          <w:r>
            <w:rPr>
              <w:rFonts w:hint="eastAsia" w:ascii="楷体" w:hAnsi="楷体" w:eastAsia="楷体"/>
              <w:szCs w:val="24"/>
            </w:rPr>
            <w:t>铜：短期高位震荡偏强运行</w:t>
          </w:r>
          <w:r>
            <w:rPr>
              <w:bCs/>
            </w:rPr>
            <w:fldChar w:fldCharType="end"/>
          </w:r>
        </w:p>
        <w:p>
          <w:pPr>
            <w:pStyle w:val="74"/>
            <w:tabs>
              <w:tab w:val="right" w:leader="dot" w:pos="8306"/>
            </w:tabs>
          </w:pPr>
          <w:r>
            <w:rPr>
              <w:bCs/>
            </w:rPr>
            <w:fldChar w:fldCharType="begin"/>
          </w:r>
          <w:r>
            <w:rPr>
              <w:bCs/>
            </w:rPr>
            <w:instrText xml:space="preserve"> HYPERLINK \l _Toc4692 </w:instrText>
          </w:r>
          <w:r>
            <w:rPr>
              <w:bCs/>
            </w:rPr>
            <w:fldChar w:fldCharType="separate"/>
          </w:r>
          <w:r>
            <w:rPr>
              <w:rFonts w:hint="eastAsia" w:ascii="楷体" w:hAnsi="楷体" w:eastAsia="楷体"/>
              <w:szCs w:val="24"/>
            </w:rPr>
            <w:t>铝：铝价走势偏强，但上行高度有限</w:t>
          </w:r>
          <w:r>
            <w:rPr>
              <w:bCs/>
            </w:rPr>
            <w:fldChar w:fldCharType="end"/>
          </w:r>
        </w:p>
        <w:p>
          <w:pPr>
            <w:pStyle w:val="74"/>
            <w:tabs>
              <w:tab w:val="right" w:leader="dot" w:pos="8306"/>
            </w:tabs>
          </w:pPr>
          <w:r>
            <w:rPr>
              <w:bCs/>
            </w:rPr>
            <w:fldChar w:fldCharType="begin"/>
          </w:r>
          <w:r>
            <w:rPr>
              <w:bCs/>
            </w:rPr>
            <w:instrText xml:space="preserve"> HYPERLINK \l _Toc26752 </w:instrText>
          </w:r>
          <w:r>
            <w:rPr>
              <w:bCs/>
            </w:rPr>
            <w:fldChar w:fldCharType="separate"/>
          </w:r>
          <w:r>
            <w:rPr>
              <w:rFonts w:hint="eastAsia" w:ascii="楷体" w:hAnsi="楷体" w:eastAsia="楷体"/>
              <w:szCs w:val="24"/>
            </w:rPr>
            <w:t>锌：锌价上冲动力不足，建议适时止盈</w:t>
          </w:r>
          <w:r>
            <w:rPr>
              <w:bCs/>
            </w:rPr>
            <w:fldChar w:fldCharType="end"/>
          </w:r>
        </w:p>
        <w:p>
          <w:pPr>
            <w:pStyle w:val="74"/>
            <w:tabs>
              <w:tab w:val="right" w:leader="dot" w:pos="8306"/>
            </w:tabs>
          </w:pPr>
          <w:r>
            <w:rPr>
              <w:bCs/>
            </w:rPr>
            <w:fldChar w:fldCharType="begin"/>
          </w:r>
          <w:r>
            <w:rPr>
              <w:bCs/>
            </w:rPr>
            <w:instrText xml:space="preserve"> HYPERLINK \l _Toc21014 </w:instrText>
          </w:r>
          <w:r>
            <w:rPr>
              <w:bCs/>
            </w:rPr>
            <w:fldChar w:fldCharType="separate"/>
          </w:r>
          <w:r>
            <w:rPr>
              <w:rFonts w:hint="eastAsia" w:ascii="楷体" w:hAnsi="楷体" w:eastAsia="楷体"/>
              <w:szCs w:val="24"/>
            </w:rPr>
            <w:t>镍：供强需弱，颓势难改</w:t>
          </w:r>
          <w:r>
            <w:rPr>
              <w:bCs/>
            </w:rPr>
            <w:fldChar w:fldCharType="end"/>
          </w:r>
        </w:p>
        <w:p>
          <w:pPr>
            <w:pStyle w:val="74"/>
            <w:tabs>
              <w:tab w:val="right" w:leader="dot" w:pos="8306"/>
            </w:tabs>
          </w:pPr>
          <w:r>
            <w:rPr>
              <w:bCs/>
            </w:rPr>
            <w:fldChar w:fldCharType="begin"/>
          </w:r>
          <w:r>
            <w:rPr>
              <w:bCs/>
            </w:rPr>
            <w:instrText xml:space="preserve"> HYPERLINK \l _Toc3893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_Toc28576 </w:instrText>
          </w:r>
          <w:r>
            <w:rPr>
              <w:bCs/>
            </w:rPr>
            <w:fldChar w:fldCharType="separate"/>
          </w:r>
          <w:r>
            <w:rPr>
              <w:rFonts w:hint="eastAsia" w:ascii="楷体" w:hAnsi="楷体" w:eastAsia="楷体"/>
              <w:szCs w:val="24"/>
            </w:rPr>
            <w:t>不锈钢：成本支撑走强，但供需压力仍存</w:t>
          </w:r>
          <w:r>
            <w:rPr>
              <w:bCs/>
            </w:rPr>
            <w:fldChar w:fldCharType="end"/>
          </w:r>
        </w:p>
        <w:p>
          <w:pPr>
            <w:pStyle w:val="74"/>
            <w:tabs>
              <w:tab w:val="right" w:leader="dot" w:pos="8306"/>
            </w:tabs>
          </w:pPr>
          <w:r>
            <w:rPr>
              <w:bCs/>
            </w:rPr>
            <w:fldChar w:fldCharType="begin"/>
          </w:r>
          <w:r>
            <w:rPr>
              <w:bCs/>
            </w:rPr>
            <w:instrText xml:space="preserve"> HYPERLINK \l _Toc14007 </w:instrText>
          </w:r>
          <w:r>
            <w:rPr>
              <w:bCs/>
            </w:rPr>
            <w:fldChar w:fldCharType="separate"/>
          </w:r>
          <w:r>
            <w:rPr>
              <w:rFonts w:hint="eastAsia" w:ascii="楷体" w:hAnsi="楷体" w:eastAsia="楷体"/>
              <w:szCs w:val="24"/>
            </w:rPr>
            <w:t>工业硅：供应存在收缩预期，短期盘面或有支撑</w:t>
          </w:r>
          <w:r>
            <w:rPr>
              <w:bCs/>
            </w:rPr>
            <w:fldChar w:fldCharType="end"/>
          </w:r>
        </w:p>
        <w:p>
          <w:pPr>
            <w:pStyle w:val="59"/>
            <w:tabs>
              <w:tab w:val="right" w:leader="dot" w:pos="8306"/>
            </w:tabs>
          </w:pPr>
          <w:r>
            <w:rPr>
              <w:bCs/>
            </w:rPr>
            <w:fldChar w:fldCharType="begin"/>
          </w:r>
          <w:r>
            <w:rPr>
              <w:bCs/>
            </w:rPr>
            <w:instrText xml:space="preserve"> HYPERLINK \l _Toc22876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_Toc14049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收储炒作酝酿期间 天胶或维持偏强震荡为主</w:t>
          </w:r>
          <w:r>
            <w:rPr>
              <w:bCs/>
            </w:rPr>
            <w:fldChar w:fldCharType="end"/>
          </w:r>
        </w:p>
        <w:p>
          <w:pPr>
            <w:pStyle w:val="74"/>
            <w:tabs>
              <w:tab w:val="right" w:leader="dot" w:pos="8306"/>
            </w:tabs>
          </w:pPr>
          <w:r>
            <w:rPr>
              <w:bCs/>
            </w:rPr>
            <w:fldChar w:fldCharType="begin"/>
          </w:r>
          <w:r>
            <w:rPr>
              <w:bCs/>
            </w:rPr>
            <w:instrText xml:space="preserve"> HYPERLINK \l _Toc1639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_Toc30275 </w:instrText>
          </w:r>
          <w:r>
            <w:rPr>
              <w:bCs/>
            </w:rPr>
            <w:fldChar w:fldCharType="separate"/>
          </w:r>
          <w:r>
            <w:rPr>
              <w:rFonts w:hint="eastAsia" w:ascii="楷体" w:hAnsi="楷体" w:eastAsia="楷体"/>
              <w:szCs w:val="24"/>
            </w:rPr>
            <w:t>聚烯烃：成本与基本面均不占优 聚烯烃维持低位震荡</w:t>
          </w:r>
          <w:r>
            <w:rPr>
              <w:bCs/>
            </w:rPr>
            <w:fldChar w:fldCharType="end"/>
          </w:r>
        </w:p>
        <w:p>
          <w:pPr>
            <w:pStyle w:val="74"/>
            <w:tabs>
              <w:tab w:val="right" w:leader="dot" w:pos="8306"/>
            </w:tabs>
          </w:pPr>
          <w:r>
            <w:rPr>
              <w:bCs/>
            </w:rPr>
            <w:fldChar w:fldCharType="begin"/>
          </w:r>
          <w:r>
            <w:rPr>
              <w:bCs/>
            </w:rPr>
            <w:instrText xml:space="preserve"> HYPERLINK \l _Toc1875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_Toc32356 </w:instrText>
          </w:r>
          <w:r>
            <w:rPr>
              <w:bCs/>
            </w:rPr>
            <w:fldChar w:fldCharType="separate"/>
          </w:r>
          <w:r>
            <w:rPr>
              <w:rFonts w:hint="eastAsia" w:ascii="楷体" w:hAnsi="楷体" w:eastAsia="楷体"/>
              <w:szCs w:val="24"/>
            </w:rPr>
            <w:t>玻璃：博弈宏观和冬储预期，震荡行情</w:t>
          </w:r>
          <w:r>
            <w:rPr>
              <w:bCs/>
            </w:rPr>
            <w:fldChar w:fldCharType="end"/>
          </w:r>
        </w:p>
        <w:p>
          <w:pPr>
            <w:pStyle w:val="74"/>
            <w:tabs>
              <w:tab w:val="right" w:leader="dot" w:pos="8306"/>
            </w:tabs>
          </w:pPr>
          <w:r>
            <w:rPr>
              <w:bCs/>
            </w:rPr>
            <w:fldChar w:fldCharType="begin"/>
          </w:r>
          <w:r>
            <w:rPr>
              <w:bCs/>
            </w:rPr>
            <w:instrText xml:space="preserve"> HYPERLINK \l _Toc30179 </w:instrText>
          </w:r>
          <w:r>
            <w:rPr>
              <w:bCs/>
            </w:rPr>
            <w:fldChar w:fldCharType="separate"/>
          </w:r>
          <w:r>
            <w:rPr>
              <w:rFonts w:hint="eastAsia" w:ascii="楷体" w:hAnsi="楷体" w:eastAsia="楷体"/>
              <w:szCs w:val="24"/>
            </w:rPr>
            <w:t>纯碱：现货暗降，反弹高空</w:t>
          </w:r>
          <w:r>
            <w:rPr>
              <w:bCs/>
            </w:rPr>
            <w:fldChar w:fldCharType="end"/>
          </w:r>
        </w:p>
        <w:p>
          <w:pPr>
            <w:pStyle w:val="59"/>
            <w:tabs>
              <w:tab w:val="right" w:leader="dot" w:pos="8306"/>
            </w:tabs>
          </w:pPr>
          <w:r>
            <w:rPr>
              <w:bCs/>
            </w:rPr>
            <w:fldChar w:fldCharType="begin"/>
          </w:r>
          <w:r>
            <w:rPr>
              <w:bCs/>
            </w:rPr>
            <w:instrText xml:space="preserve"> HYPERLINK \l _Toc9990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_Toc936 </w:instrText>
          </w:r>
          <w:r>
            <w:rPr>
              <w:bCs/>
            </w:rPr>
            <w:fldChar w:fldCharType="separate"/>
          </w:r>
          <w:r>
            <w:rPr>
              <w:rFonts w:hint="eastAsia" w:ascii="楷体" w:hAnsi="楷体" w:eastAsia="楷体"/>
              <w:szCs w:val="24"/>
            </w:rPr>
            <w:t>豆粕/菜粕：供应压力抑制，期价偏弱震荡</w:t>
          </w:r>
          <w:r>
            <w:rPr>
              <w:bCs/>
            </w:rPr>
            <w:fldChar w:fldCharType="end"/>
          </w:r>
        </w:p>
        <w:p>
          <w:pPr>
            <w:pStyle w:val="74"/>
            <w:tabs>
              <w:tab w:val="right" w:leader="dot" w:pos="8306"/>
            </w:tabs>
          </w:pPr>
          <w:r>
            <w:rPr>
              <w:bCs/>
            </w:rPr>
            <w:fldChar w:fldCharType="begin"/>
          </w:r>
          <w:r>
            <w:rPr>
              <w:bCs/>
            </w:rPr>
            <w:instrText xml:space="preserve"> HYPERLINK \l _Toc14539 </w:instrText>
          </w:r>
          <w:r>
            <w:rPr>
              <w:bCs/>
            </w:rPr>
            <w:fldChar w:fldCharType="separate"/>
          </w:r>
          <w:r>
            <w:rPr>
              <w:rFonts w:hint="eastAsia" w:ascii="楷体" w:hAnsi="楷体" w:eastAsia="楷体"/>
              <w:szCs w:val="24"/>
            </w:rPr>
            <w:t>油脂：缺乏利好支撑，维持底部震荡</w:t>
          </w:r>
          <w:r>
            <w:rPr>
              <w:bCs/>
            </w:rPr>
            <w:fldChar w:fldCharType="end"/>
          </w:r>
        </w:p>
        <w:p>
          <w:pPr>
            <w:pStyle w:val="74"/>
            <w:tabs>
              <w:tab w:val="right" w:leader="dot" w:pos="8306"/>
            </w:tabs>
          </w:pPr>
          <w:r>
            <w:rPr>
              <w:bCs/>
            </w:rPr>
            <w:fldChar w:fldCharType="begin"/>
          </w:r>
          <w:r>
            <w:rPr>
              <w:bCs/>
            </w:rPr>
            <w:instrText xml:space="preserve"> HYPERLINK \l _Toc9913 </w:instrText>
          </w:r>
          <w:r>
            <w:rPr>
              <w:bCs/>
            </w:rPr>
            <w:fldChar w:fldCharType="separate"/>
          </w:r>
          <w:r>
            <w:rPr>
              <w:rFonts w:hint="eastAsia" w:ascii="楷体" w:hAnsi="楷体" w:eastAsia="楷体"/>
              <w:bCs/>
            </w:rPr>
            <w:t>玉米与淀粉：</w:t>
          </w:r>
          <w:r>
            <w:rPr>
              <w:rFonts w:hint="eastAsia" w:ascii="楷体" w:hAnsi="楷体" w:eastAsia="楷体"/>
            </w:rPr>
            <w:t>期价低位反弹</w:t>
          </w:r>
          <w:r>
            <w:rPr>
              <w:bCs/>
            </w:rPr>
            <w:fldChar w:fldCharType="end"/>
          </w:r>
        </w:p>
        <w:p>
          <w:pPr>
            <w:pStyle w:val="74"/>
            <w:tabs>
              <w:tab w:val="right" w:leader="dot" w:pos="8306"/>
            </w:tabs>
          </w:pPr>
          <w:r>
            <w:rPr>
              <w:bCs/>
            </w:rPr>
            <w:fldChar w:fldCharType="begin"/>
          </w:r>
          <w:r>
            <w:rPr>
              <w:bCs/>
            </w:rPr>
            <w:instrText xml:space="preserve"> HYPERLINK \l _Toc10656 </w:instrText>
          </w:r>
          <w:r>
            <w:rPr>
              <w:bCs/>
            </w:rPr>
            <w:fldChar w:fldCharType="separate"/>
          </w:r>
          <w:r>
            <w:rPr>
              <w:rFonts w:hint="eastAsia" w:ascii="楷体" w:hAnsi="楷体" w:eastAsia="楷体"/>
              <w:bCs/>
            </w:rPr>
            <w:t>畜禽养殖：生猪期价弱势震荡</w:t>
          </w:r>
          <w:r>
            <w:rPr>
              <w:bCs/>
            </w:rPr>
            <w:fldChar w:fldCharType="end"/>
          </w:r>
        </w:p>
        <w:p>
          <w:pPr>
            <w:pStyle w:val="74"/>
            <w:tabs>
              <w:tab w:val="right" w:leader="dot" w:pos="8306"/>
            </w:tabs>
          </w:pPr>
          <w:r>
            <w:rPr>
              <w:bCs/>
            </w:rPr>
            <w:fldChar w:fldCharType="begin"/>
          </w:r>
          <w:r>
            <w:rPr>
              <w:bCs/>
            </w:rPr>
            <w:instrText xml:space="preserve"> HYPERLINK \l _Toc7371 </w:instrText>
          </w:r>
          <w:r>
            <w:rPr>
              <w:bCs/>
            </w:rPr>
            <w:fldChar w:fldCharType="separate"/>
          </w:r>
          <w:r>
            <w:rPr>
              <w:rFonts w:hint="eastAsia" w:ascii="楷体" w:hAnsi="楷体" w:eastAsia="楷体"/>
              <w:szCs w:val="24"/>
            </w:rPr>
            <w:t>郑棉：震荡整理</w:t>
          </w:r>
          <w:r>
            <w:rPr>
              <w:bCs/>
            </w:rPr>
            <w:fldChar w:fldCharType="end"/>
          </w:r>
        </w:p>
        <w:p>
          <w:pPr>
            <w:pStyle w:val="74"/>
            <w:tabs>
              <w:tab w:val="right" w:leader="dot" w:pos="8306"/>
            </w:tabs>
          </w:pPr>
          <w:r>
            <w:rPr>
              <w:bCs/>
            </w:rPr>
            <w:fldChar w:fldCharType="begin"/>
          </w:r>
          <w:r>
            <w:rPr>
              <w:bCs/>
            </w:rPr>
            <w:instrText xml:space="preserve"> HYPERLINK \l _Toc27094 </w:instrText>
          </w:r>
          <w:r>
            <w:rPr>
              <w:bCs/>
            </w:rPr>
            <w:fldChar w:fldCharType="separate"/>
          </w:r>
          <w:r>
            <w:rPr>
              <w:rFonts w:hint="eastAsia" w:ascii="楷体" w:hAnsi="楷体" w:eastAsia="楷体"/>
              <w:szCs w:val="24"/>
            </w:rPr>
            <w:t>白糖：震荡整理</w:t>
          </w:r>
          <w:r>
            <w:rPr>
              <w:bCs/>
            </w:rPr>
            <w:fldChar w:fldCharType="end"/>
          </w:r>
        </w:p>
        <w:p>
          <w:pPr>
            <w:pStyle w:val="59"/>
            <w:tabs>
              <w:tab w:val="right" w:leader="dot" w:pos="8306"/>
            </w:tabs>
          </w:pPr>
          <w:r>
            <w:rPr>
              <w:bCs/>
            </w:rPr>
            <w:fldChar w:fldCharType="begin"/>
          </w:r>
          <w:r>
            <w:rPr>
              <w:bCs/>
            </w:rPr>
            <w:instrText xml:space="preserve"> HYPERLINK \l _Toc125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_Toc12001 </w:instrText>
          </w:r>
          <w:r>
            <w:rPr>
              <w:bCs/>
            </w:rPr>
            <w:fldChar w:fldCharType="separate"/>
          </w:r>
          <w:r>
            <w:rPr>
              <w:rFonts w:hint="eastAsia" w:ascii="Times New Roman" w:hAnsi="Times New Roman" w:eastAsia="楷体"/>
              <w:szCs w:val="24"/>
            </w:rPr>
            <w:t>集运指数（欧线）：红海局势发酵SCFI欧线大涨仅5成，交易所出控制风险措施</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788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697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观望，待企稳后低多</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核心通胀下行且经济软着陆预期升温。目前海外流动性预期计价较为充分。短期而言，当前市场对中国经济的结构性问题有充分认知，后续需关注的几个改善方向，1）有业绩的产业趋势方向出现，但现阶段，全年市场不乏产业趋势主题，但业绩兑现度尚不足，加之游戏新规带来产业政策的不确定性，小盘股短线或有一定压力；2）中美经贸关系改善，外资流出止步；3）相关改革政策逐步展开，并活跃微观主体信心。4） 房地产销售企稳，投资者预期企稳。</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9731"/>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5449"/>
      <w:r>
        <w:rPr>
          <w:rFonts w:hint="eastAsia" w:ascii="Times New Roman" w:hAnsi="Times New Roman" w:eastAsia="楷体"/>
          <w:b/>
          <w:color w:val="000000" w:themeColor="text1"/>
          <w:sz w:val="24"/>
          <w:szCs w:val="24"/>
          <w14:textFill>
            <w14:solidFill>
              <w14:schemeClr w14:val="tx1"/>
            </w14:solidFill>
          </w14:textFill>
        </w:rPr>
        <w:t>贵金属：美国PCE通胀回落，贵金属价格窄幅震荡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微跌0.02%至101.68，美十债收益率涨0.5bp至3.9%，沪金涨0.35%，沪银跌0.08%。美国11月PCE同比增2.6%，环比降0.1%，低于此前预期。剔除食品和能源的美国11月核心PCE同比增3.2%，为2021年4月以来新低；核心PCE环比增0.1%，持平上月前值，低于预期。截至12月19日当周，COMEX黄金期货管理基金净多持仓增加12748手至108276手，COMEX白银期货管理基金净多持仓增加6204手至14871手。截至12月22日，SPDR黄金ETF持仓878.25吨，周内流出1.44吨；SLV白银ETF持仓13674.3吨，周内流出31.32吨。美国PCE通胀降温强化降息预期，美联储表态朝向鸽派立场转变，后续市场交易逻辑从围绕“什么时候降息”转向“降息多少”，而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835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816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碳酸锂：年后部分企业存减停产预期，期价区间震荡</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于9万元-11万元/吨的区间以内震荡运行。因成本持续倒挂，近期江西地区生产企业较多出现减停产，青海、四川等地也有不同程度减停产，部分企业考虑待春节后根据市场情况选择是否复工。上周碳酸锂工厂库存约31850吨，较上周小幅向上修正后的库存数据环比增加1.21%。近期供应下滑但市场散单成交不足，生产企业出货受阻，库存维持累积。后续一至两个月进口端或仍为国内碳酸锂供应贡献一定的增量，关注锂盐企业长期订单签订以及生产计划情况，近一个月以来品种波动幅度较大，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14447"/>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随情绪震荡运行，等待补库驱动</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短期供需矛盾不大，冬储仍在博弈中。价格随市场情绪波动，向上存在现货价格压力，向下平电支撑力度强，短期震荡为主，中期或维持震荡上行态势，关注市场补库动作。</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32070"/>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成本中枢下移，焦炭震荡运行</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下游库存相对健康，成材利润偏低情况下，下游继续补库动力不足，煤价偏弱运行，价格中枢下移。短期随成材波动，预计震荡运行，等待现货。</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8217"/>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震荡运行，等待现货指引</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23598"/>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短期高位震荡偏强运行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(1)宏观：美国商务部最新数据显示，美联储首选通胀目标、剔除食物和能源后的11月核心PCE物价指数同比增速回落至3.2%，前值为3.5%，不及市场预期的3.3%，为2021年4月以来的最低水平。</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(2)库存：12月22日，SHFE周库存28718吨，较上周五减5678吨；LME仓单库存166675吨，较上周五减8875吨。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(3)精废价差：12月22日，Mysteel精废价差2150，扩张138。目前价差在合理价差1395之上。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11月PCE及核心PCE均环比继续下降，美联储降息预期交易或仍未结束，当前市场情绪及政策预期上内外整体仍延续乐观状态，对铜价仍提供正面支撑，但海外实际降息仍受约束，国内现实需求压力仍大，基本面有支撑但无明显驱动，预计短期价格震荡偏强，但反弹空间有限，CU2402主波动区间参考68000-70000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4692"/>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铝价走势偏强，但上行高度有限</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联储加息逐渐进入尾声，官员发言偏鸽，红海地缘发生冲突，海外市场情绪转好之中仍存危机，国内政策面利多持续释放。电解铝周度产量保持稳定，中游开工淡季不淡，LME交易所库存增加，国内社库持续 去库，因地震及北方冬季大雪阻碍铝锭运输，在途库存增加。下游需求订单不足，铝棒铝板部分企业减产，持货商逢高出货。基本面维持供强需弱，在途货物较多，流动货源偏紧，低库存现状支撑近月合约价格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6752"/>
      <w:r>
        <w:rPr>
          <w:rFonts w:hint="eastAsia" w:ascii="楷体" w:hAnsi="楷体" w:eastAsia="楷体"/>
          <w:b/>
          <w:color w:val="000000" w:themeColor="text1"/>
          <w:sz w:val="24"/>
          <w:szCs w:val="24"/>
          <w14:textFill>
            <w14:solidFill>
              <w14:schemeClr w14:val="tx1"/>
            </w14:solidFill>
          </w14:textFill>
        </w:rPr>
        <w:t>锌：锌价上冲动力不足，建议适时止盈</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多，LME库存大幅去库，支撑伦锌价格走强，国内矿端供应走紧，中游冶炼开产高位，进口盈亏窗口间歇性开启，进口在途锌锭对国内市场仍有补充，供应端维持偏多观点，需求淡季无超预期表现。前期价格快速下跌触及成本支撑，下游厂家逢低补库，国内社库库存低位，近月锌价强势运行，但基本面整体供强需弱，反弹有限，多单注意适时逢高止盈。</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1014"/>
      <w:r>
        <w:rPr>
          <w:rFonts w:hint="eastAsia" w:ascii="楷体" w:hAnsi="楷体" w:eastAsia="楷体"/>
          <w:b/>
          <w:color w:val="000000" w:themeColor="text1"/>
          <w:sz w:val="24"/>
          <w:szCs w:val="24"/>
          <w14:textFill>
            <w14:solidFill>
              <w14:schemeClr w14:val="tx1"/>
            </w14:solidFill>
          </w14:textFill>
        </w:rPr>
        <w:t>镍：供强需弱，颓势难改</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方面，对于MHP而言，回流国内数量持续增加，而下游硫酸镍减产带来需求下降，MHP价格持续下行；硫酸镍处于原料宽松、需求萎靡、年底资金占用压力大的境况，但价格已破成本线，在挺价情绪下硫酸镍价格企稳，往前看，硫酸镍进口税率降为0%，为外采硫酸镍生产精炼镍的成本支撑打开下降空间。供应端，由于原料价格持续下跌，精炼镍利润有所修复，产量环比增加。需求端，不锈钢厂积极复产，对镍需求好转；三元材料仍肩负减产去库压力，对镍需求持续下降；合金和电镀对镍需求表现较为平稳，但需求量级有限。库存方面，虽需求略有改善，但仍不足以消化供应增量，海内外镍库存维持累库趋势。综合而言，镍需求未有明显改善，供应过剩格局仍然深刻，沪伦两市镍库存增幅明显，给镍价带来压力，加上成本支撑仍存在下跌空间，预计镍价延续震荡偏弱态势。</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893"/>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8576"/>
      <w:r>
        <w:rPr>
          <w:rFonts w:hint="eastAsia" w:ascii="楷体" w:hAnsi="楷体" w:eastAsia="楷体"/>
          <w:b/>
          <w:color w:val="000000" w:themeColor="text1"/>
          <w:sz w:val="24"/>
          <w:szCs w:val="24"/>
          <w14:textFill>
            <w14:solidFill>
              <w14:schemeClr w14:val="tx1"/>
            </w14:solidFill>
          </w14:textFill>
        </w:rPr>
        <w:t>不锈钢：成本支撑走强，但供需压力仍存</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镍铁价格企稳回升，不锈钢成本支撑走强；铬铁受到红海事件和北方暴雪天气影响，供应紧缺，预计铬铁价格稳中偏强运行。供应端，由于利润有所修复，不锈钢厂积极复产，据Mysteel统计，12月国内300系不锈钢粗钢排产量156.4万吨，月环比增加4.9%。需求端，目前为不锈钢传统淡季，下游整体以刚需采购为主，加上北方暴雪天气会对开工和运输造成影响，年内需求难有起色。库存端，据Mysteel数据，本周全国不锈钢社会库存为85万吨，库存连续八周下降，目前已降至去年同期水平，为不锈钢价提供一定支撑。综合而言，镍铁价格回升及社库连降为不锈钢价提供支撑，但供应将有增量，需求难有起色，供需压力下不锈钢继续上行空间有限。</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1400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供应存在收缩预期，短期盘面或有支撑</w:t>
      </w:r>
      <w:bookmarkEnd w:id="33"/>
    </w:p>
    <w:p>
      <w:pPr>
        <w:ind w:left="630" w:leftChars="300"/>
        <w:rPr>
          <w:rFonts w:hint="eastAsia" w:ascii="楷体" w:hAnsi="楷体" w:eastAsia="楷体"/>
          <w:sz w:val="24"/>
          <w:szCs w:val="24"/>
        </w:rPr>
      </w:pPr>
      <w:r>
        <w:rPr>
          <w:rFonts w:hint="eastAsia" w:ascii="楷体" w:hAnsi="楷体" w:eastAsia="楷体"/>
          <w:sz w:val="24"/>
          <w:szCs w:val="24"/>
        </w:rPr>
        <w:t>12月22日，Si2402主力合约呈冲高回落走势，收盘价14195元/吨，较上一收盘价涨跌幅+0.25%。西南季节性减产情况下，当前北方供应出现一定程度扰动，供应存在进一步收缩预期，使得市场情绪有所提振，对盘面整体存在支撑。但当前需求整体依旧较为疲软，同时也要注意北方用电紧张后续对下游企业或存在影响，使得需求也有下降预</w:t>
      </w:r>
    </w:p>
    <w:p>
      <w:pPr>
        <w:ind w:left="630" w:leftChars="300"/>
        <w:rPr>
          <w:rFonts w:ascii="楷体" w:hAnsi="楷体" w:eastAsia="楷体"/>
          <w:sz w:val="24"/>
          <w:szCs w:val="24"/>
        </w:rPr>
      </w:pPr>
      <w:r>
        <w:rPr>
          <w:rFonts w:hint="eastAsia" w:ascii="楷体" w:hAnsi="楷体" w:eastAsia="楷体"/>
          <w:sz w:val="24"/>
          <w:szCs w:val="24"/>
        </w:rPr>
        <w:t>期，对大幅反弹存在压制作用，预计盘面将震荡偏强运行。策略上，可尝试逢低做多机会。策略上，谨慎资金可暂时观望，激进资金可尝试逢低做多机会。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22876"/>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1404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收储炒作酝酿期间 天胶或维持偏强震荡为主</w:t>
      </w:r>
      <w:bookmarkEnd w:id="36"/>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近期橡胶主力合约延续小幅回暖。从技术面上来看，日线在头肩形回调到位后，近期出现反弹。近期上涨交金叉的同时、伴随较大成交量，因此预计短期天胶偏强震荡。供应方面，国内外工厂为冬储备库及正常生产节奏，对原料存抢占情绪，原料价格反季节性上涨给予盘面表现较强支撑，生产成本施压下胶价或继续走高。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11月数据同环比继续走强，汽车消费旺季来临市场景气度高。整体看，天胶市场利多因素仍占主导，抛收储炒作暂未落地前，胶价或继续维持偏强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1639"/>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近期红海航运事件升级，VIX风险指数大涨避险情绪升温，原油放量上涨，短线继续走高。PX方面，高开工叠加PTA降负，供需偏宽松，短线跟随原油反弹。本周宁波逸盛和逸盛新材料装置降负运行，中泰120万吨装置停车，个别装置负荷提升，至周四，PTA装置负荷下降至80.3%，环比-3.6%。本周两套聚酯装置检修，一套开启，另外局部有装置负荷微调，综合负荷小幅下滑。截至本周四，初步核算国内大陆地区聚酯负荷在89.7%。工厂小幅降负运行，但原料价格走高后涤丝产销放量。综合来看，PTA开工小幅下滑，下游聚酯负荷目前虽然仍维持在89-90%，供需格局小幅改善。PTA短期面临成本支撑提振及TA计划外装置损失稍有改善供需，短线趋势偏强。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30275"/>
      <w:r>
        <w:rPr>
          <w:rFonts w:hint="eastAsia" w:ascii="楷体" w:hAnsi="楷体" w:eastAsia="楷体"/>
          <w:b/>
          <w:color w:val="000000" w:themeColor="text1"/>
          <w:sz w:val="24"/>
          <w:szCs w:val="24"/>
          <w14:textFill>
            <w14:solidFill>
              <w14:schemeClr w14:val="tx1"/>
            </w14:solidFill>
          </w14:textFill>
        </w:rPr>
        <w:t>聚烯烃：成本与基本面均不占优 聚烯烃维持低位震荡</w:t>
      </w:r>
      <w:bookmarkEnd w:id="38"/>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安哥拉决定退出OPEC导致市场对OPEC+减产的质疑仍在，国际油价下跌，但红海问题和美元走软限制跌幅。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聚烯烃供强需弱格局下，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875"/>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12.21华东主港地区MEG港口库存约108.87万吨，环比上期-4.75万吨，天气原因导致南通及张家港港口封航，到港减少连续两周大幅去库。截至12月21日，中国大陆地区乙二醇整体开工负荷在61.33%（+1.81%），其中煤制乙二醇开工负荷在59.21%（+0.82%）。外盘沙特3套装置检修，计划检修至2月底。截至12月21日，国内大陆地区聚酯负荷在89.7%，节前聚酯开工高位维持。终端来看，新订单持续性不足，江浙终端开工率继续下降，江浙加弹综合开工87%（+0%），江浙织机综合开工小幅下滑至77%（-1%），江浙印染综合开工下滑至75%（-2%）。油价反弹及原料价格走高，终端增加原料备货。综合来看，近期聚酯高开工维持，市场下调乙二醇1-2月进口及国产量及进口到港减少，预计1-2月乙二醇供需改善呈现紧平衡格局，乙二醇期价大幅走高后短线留意4500附近压力位，建议部分多单止盈离场，新单建议回调后继续介入多单，中长期趋势看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32356"/>
      <w:r>
        <w:rPr>
          <w:rFonts w:hint="eastAsia" w:ascii="楷体" w:hAnsi="楷体" w:eastAsia="楷体"/>
          <w:b/>
          <w:color w:val="000000" w:themeColor="text1"/>
          <w:sz w:val="24"/>
          <w:szCs w:val="24"/>
          <w14:textFill>
            <w14:solidFill>
              <w14:schemeClr w14:val="tx1"/>
            </w14:solidFill>
          </w14:textFill>
        </w:rPr>
        <w:t>玻璃：博弈宏观和冬储预期，震荡行情</w:t>
      </w:r>
      <w:bookmarkEnd w:id="4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12月22日报道：今日浮法玻璃现货价格1994元/吨，较上一交易日-3元/吨。截至2023年12月21日，全国浮法玻璃日产量为17.25万吨，较上周继续回升。库存上，周内全国浮法玻璃样本企业总库存3235.3万重箱，环比增加68.1万重箱，环比+2.15%，行业累库。需求端，华东、西南、华南区域产销率良好，北方陆运基本恢复，下游加工厂按需拿货。现货端，南稳北降，北方受天气影响项目停工，需求走弱，南方年底赶订单，现货价格较为坚挺。短期来看，基本面偏弱，但补库预期较强。盘面前期7连阴后反弹，当前远月合约宏观托底+博弈冬储价格预期，厂库较低产销回升的情况下，议价权在上游手里，未见大幅累库的情况下，不宜过度做空。操作上，建议以区间操作为主。主力合约参考区间（1800，1950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30179"/>
      <w:r>
        <w:rPr>
          <w:rFonts w:hint="eastAsia" w:ascii="楷体" w:hAnsi="楷体" w:eastAsia="楷体"/>
          <w:b/>
          <w:color w:val="000000" w:themeColor="text1"/>
          <w:sz w:val="24"/>
          <w:szCs w:val="24"/>
          <w14:textFill>
            <w14:solidFill>
              <w14:schemeClr w14:val="tx1"/>
            </w14:solidFill>
          </w14:textFill>
        </w:rPr>
        <w:t>纯碱：现货暗降，反弹高空</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价格开始松动。西北地区贸易商报价下调100-200元/吨，厂家挺价。供给方面，截至20231221，周内纯碱产量64.70万吨，跌幅1.49%。周内纯碱库存35.39万吨，环比+1.29万吨，涨幅3.78%。从库存结构上来看，厂库库存仍处于低位，供给端德邦和金山化工恢复生产，下周产量预计抬升，需求端下游多家大型玻璃厂的纯碱平均库存+待发超过20天，碱厂待发订单最迟到月底，下个月的新单明显走弱，阶段性补库进入尾声。盘面05合约再次进入累库预期，后市重点观察现货下跌情况。操作上建议等待反弹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9990"/>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936"/>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供应压力抑制，期价偏弱震荡</w:t>
      </w:r>
      <w:bookmarkEnd w:id="43"/>
    </w:p>
    <w:p>
      <w:pPr>
        <w:ind w:left="630" w:leftChars="300"/>
        <w:rPr>
          <w:rFonts w:ascii="楷体" w:hAnsi="楷体" w:eastAsia="楷体"/>
          <w:sz w:val="24"/>
          <w:szCs w:val="24"/>
        </w:rPr>
      </w:pPr>
      <w:r>
        <w:rPr>
          <w:rFonts w:hint="eastAsia" w:ascii="楷体" w:hAnsi="楷体" w:eastAsia="楷体"/>
          <w:sz w:val="24"/>
          <w:szCs w:val="24"/>
        </w:rPr>
        <w:t>近一周CBOT大豆价格下跌，但1300关口支撑仍较强，南美当前仍是关键。随着美豆定产后，市场定价中心逐步转向南美，巴西天气不确定性较大，目前种植进度落后于去年同期及五年均值水平为94%，虽当前美农报告对南美产量调整不及预期，但中长期南美丰产预期能否兑现仍是后续价格走势的关键，关注巴西后续天气及种植情况，现阶段天气扰动较大。国内豆粕延续供强需弱格局，供应端进入11月份后，随着进口大豆到港增加，油厂大豆库存维持高位，油厂开机率提升，豆粕产出增加，但下游成交未见明显好转，豆粕库存较前一周增至76.08万吨，当前沿海主流油厂豆粕现货报价下调至3840-3900元/吨。但11月份进口大豆到港不及预期，为792万吨，叠加远月买船进度偏慢，远月供应端担忧仍存。需求，下游生猪养殖利润维持亏损，但在能繁存栏高位下，下游随采随用，保持安全库存，下游成交清淡。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05暂看3300支撑，菜粕建议短线逢高空，近月压力仍较大。</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1453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缺乏利好支撑，维持底部震荡</w:t>
      </w:r>
      <w:bookmarkEnd w:id="44"/>
    </w:p>
    <w:p>
      <w:pPr>
        <w:ind w:left="630" w:leftChars="300"/>
        <w:rPr>
          <w:rFonts w:ascii="楷体" w:hAnsi="楷体" w:eastAsia="楷体"/>
          <w:sz w:val="24"/>
          <w:szCs w:val="24"/>
        </w:rPr>
      </w:pPr>
      <w:r>
        <w:rPr>
          <w:rFonts w:hint="eastAsia" w:ascii="楷体" w:hAnsi="楷体" w:eastAsia="楷体"/>
          <w:sz w:val="24"/>
          <w:szCs w:val="24"/>
        </w:rPr>
        <w:t>油脂当前情绪疲弱，缺乏天气炒作提振，且基本面暂无亮点，期价维持底部震荡。棕榈油，产地11月份进入季节性减产周期，库存压力逐步释放，但中长期在厄尔尼诺现象扰动下，价格下方存支撑，天气仍需持续关注。印尼棕榈油10月份产需双增，但产量增幅不及需求，库存继续下降。而马棕11月份产需双降，因产量降幅略高于预期，库存降幅环比达1.09%，市场担忧供应减少带动库存下滑，但当前供需矛盾尚未出现。中长期主要关注厄尔尼诺对产量的扰动，为潜在利多驱动。国内棕榈油9-10月份进口到港维持高位，但在高库存抑制下后续进口预计减少，最新商业库存增至97.51万吨，处于同期高位。需求端，因节前备货，叠加价格优势显著，提振下游采购需求。豆油存供需双增预期。国内随着11月后进口大豆到港增加，油厂开机有所回升，豆油供应预计将得到补充。需求端，虽四季度为豆油消费旺季，部分掺混需求预计转向豆油，但当前价格优势并不明显，限制替代需求，终端需求并未出现亮眼表现。菜油预计供需双旺，阶段性供应压力较大。当前主产地菜籽新作处于出口阶段，集中上市压力也抑制期价走势。随着11月份后进口菜籽到港增加，菜籽开机及压榨水平提升，10月菜籽进口3.4万吨，环比减89%，四季度菜籽及菜油供给预期宽松。需求方面，与豆油价差持续收窄，部分地区出现与豆油价格平水情况，下游备货需求较好。短期油脂预计维持底部震荡，等待因的指引，暂观望；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991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期价低位反弹</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报告中我们指出，随着玉米期现货持续下跌之后，看空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在期价止跌回升之后，则需要持续跟踪市场供需博弈的变化，值得关注的变量包括政策粮收购、农户售粮心态，中下游备货积极性及其外盘期价走势。综上所述，考虑到市场压力最大的时候或已经过去，转为谨慎看多观点，建议谨慎投资者观望，激进投资者可考虑择机轻仓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行业供需近期偏宽松，后期原料成本则有所转向，而副产品存在较大变数，与玉米相似，豆粕下游库存持续低位，后期节前备货同样有可能带来反弹。在这种情况下，后期价差走势更多取决于原料成本即玉米期现货走势。在这种情况下，我们建议单边可轻仓做多，亦可持有前期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10656"/>
      <w:r>
        <w:rPr>
          <w:rFonts w:hint="eastAsia" w:ascii="楷体" w:hAnsi="楷体" w:eastAsia="楷体"/>
          <w:b/>
          <w:bCs/>
          <w:color w:val="000000" w:themeColor="text1"/>
          <w14:textFill>
            <w14:solidFill>
              <w14:schemeClr w14:val="tx1"/>
            </w14:solidFill>
          </w14:textFill>
        </w:rPr>
        <w:t>畜禽养殖：生猪期价弱势震荡</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在现货大幅反弹之后，行业出栏积极性有望继续回升，市场总体表现为供需两旺，而市场悲观氛围或难以改变，这意味着短期期价或继续回落或震荡调整，这个过程中需要特别留意现货和基差走势。综上所述，基于各合约不确定性的考虑，维持中性观点，建议投资者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我们维持中性观点，建议投资者观望为宜。</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7371"/>
      <w:r>
        <w:rPr>
          <w:rFonts w:hint="eastAsia" w:ascii="楷体" w:hAnsi="楷体" w:eastAsia="楷体"/>
          <w:b/>
          <w:sz w:val="24"/>
          <w:szCs w:val="24"/>
        </w:rPr>
        <w:t>郑棉：震荡整理</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棉花工商业库存攀升至高位。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不过，由于红海局势带动原油以及大宗商品整体上涨，情绪提振下郑棉同样有所反弹。后续预计05在15000-15500元/吨区间内继续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27094"/>
      <w:r>
        <w:rPr>
          <w:rFonts w:hint="eastAsia" w:ascii="楷体" w:hAnsi="楷体" w:eastAsia="楷体"/>
          <w:b/>
          <w:sz w:val="24"/>
          <w:szCs w:val="24"/>
        </w:rPr>
        <w:t>白糖：震荡整理</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节日需求支撑和商品普涨背景下白糖小幅反弹，注意观察资金动向。</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125"/>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12001"/>
      <w:r>
        <w:rPr>
          <w:rFonts w:hint="eastAsia" w:ascii="Times New Roman" w:hAnsi="Times New Roman" w:eastAsia="楷体"/>
          <w:b/>
          <w:color w:val="000000" w:themeColor="text1"/>
          <w:sz w:val="24"/>
          <w:szCs w:val="24"/>
          <w14:textFill>
            <w14:solidFill>
              <w14:schemeClr w14:val="tx1"/>
            </w14:solidFill>
          </w14:textFill>
        </w:rPr>
        <w:t>集运指数（欧线）：红海局势发酵SCFI欧线大涨仅5成，交易所出控制风险措施</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商船受袭事件后续不断发酵。运力排名前十大船司相继宣布停航途径红海的航线，绕行好望角成本增加30%，并且造成拥堵现象。除了交付期的延迟，还有绕行带来的额外成本以及可用运力的减少，都将推动运价上涨。美国带头组织护航行动，马士基认为该行动需要2-4周时间才能运转。胡塞警告并不会停止袭击，但不会波及与以色列无关的船只。</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现货方面，上周五盘后公布SCFI欧线数据大涨45.5%至1497美元/TEU。</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因应波动风险加大，交易所今日起，各EC合约交易手续费调整为成交金额的万分之六，日内平今仓交易手续费调整为成交金额的万分之十二。</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目前短期风险较大，期货市场期限结构倒挂加深，后续需关注停航时长、规模所带来的连锁影响，以及长期供强需弱格局逻辑的回归。短期波动大操作上建议谨慎关注。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12779"/>
      <w:bookmarkStart w:id="52" w:name="_Toc19667"/>
      <w:bookmarkStart w:id="53" w:name="_Toc72481108"/>
      <w:bookmarkStart w:id="54" w:name="_Toc71212556"/>
      <w:bookmarkStart w:id="55" w:name="_Toc98426751"/>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2023年12月25日星期一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8F320AA"/>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7685B"/>
    <w:rsid w:val="619A2BBF"/>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2023-12-25T03:16:08Z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