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6" w:name="_GoBack"/>
          <w:bookmarkEnd w:id="56"/>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_Toc6867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_Toc7609 </w:instrText>
          </w:r>
          <w:r>
            <w:rPr>
              <w:bCs/>
            </w:rPr>
            <w:fldChar w:fldCharType="separate"/>
          </w:r>
          <w:r>
            <w:rPr>
              <w:rFonts w:hint="eastAsia" w:ascii="Times New Roman" w:hAnsi="Times New Roman" w:eastAsia="楷体"/>
              <w:szCs w:val="24"/>
            </w:rPr>
            <w:t>股指：波段操作，低吸IM多单</w:t>
          </w:r>
          <w:r>
            <w:rPr>
              <w:bCs/>
            </w:rPr>
            <w:fldChar w:fldCharType="end"/>
          </w:r>
        </w:p>
        <w:p>
          <w:pPr>
            <w:pStyle w:val="59"/>
            <w:tabs>
              <w:tab w:val="right" w:leader="dot" w:pos="8306"/>
            </w:tabs>
          </w:pPr>
          <w:r>
            <w:rPr>
              <w:bCs/>
            </w:rPr>
            <w:fldChar w:fldCharType="begin"/>
          </w:r>
          <w:r>
            <w:rPr>
              <w:bCs/>
            </w:rPr>
            <w:instrText xml:space="preserve"> HYPERLINK \l _Toc28515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_Toc1285 </w:instrText>
          </w:r>
          <w:r>
            <w:rPr>
              <w:bCs/>
            </w:rPr>
            <w:fldChar w:fldCharType="separate"/>
          </w:r>
          <w:r>
            <w:rPr>
              <w:rFonts w:hint="eastAsia" w:ascii="Times New Roman" w:hAnsi="Times New Roman" w:eastAsia="楷体"/>
              <w:szCs w:val="24"/>
            </w:rPr>
            <w:t>贵金属：美元指数下跌，贵金属价格小幅反弹</w:t>
          </w:r>
          <w:r>
            <w:rPr>
              <w:bCs/>
            </w:rPr>
            <w:fldChar w:fldCharType="end"/>
          </w:r>
        </w:p>
        <w:p>
          <w:pPr>
            <w:pStyle w:val="59"/>
            <w:tabs>
              <w:tab w:val="right" w:leader="dot" w:pos="8306"/>
            </w:tabs>
          </w:pPr>
          <w:r>
            <w:rPr>
              <w:bCs/>
            </w:rPr>
            <w:fldChar w:fldCharType="begin"/>
          </w:r>
          <w:r>
            <w:rPr>
              <w:bCs/>
            </w:rPr>
            <w:instrText xml:space="preserve"> HYPERLINK \l _Toc5934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_Toc20148 </w:instrText>
          </w:r>
          <w:r>
            <w:rPr>
              <w:bCs/>
            </w:rPr>
            <w:fldChar w:fldCharType="separate"/>
          </w:r>
          <w:r>
            <w:rPr>
              <w:rFonts w:hint="eastAsia" w:ascii="楷体" w:hAnsi="楷体" w:eastAsia="楷体"/>
              <w:szCs w:val="24"/>
            </w:rPr>
            <w:t>碳酸锂：部分生产企业减停产，期价小幅下跌</w:t>
          </w:r>
          <w:r>
            <w:rPr>
              <w:bCs/>
            </w:rPr>
            <w:fldChar w:fldCharType="end"/>
          </w:r>
        </w:p>
        <w:p>
          <w:pPr>
            <w:pStyle w:val="74"/>
            <w:tabs>
              <w:tab w:val="right" w:leader="dot" w:pos="8306"/>
            </w:tabs>
          </w:pPr>
          <w:r>
            <w:rPr>
              <w:bCs/>
            </w:rPr>
            <w:fldChar w:fldCharType="begin"/>
          </w:r>
          <w:r>
            <w:rPr>
              <w:bCs/>
            </w:rPr>
            <w:instrText xml:space="preserve"> HYPERLINK \l _Toc26769 </w:instrText>
          </w:r>
          <w:r>
            <w:rPr>
              <w:bCs/>
            </w:rPr>
            <w:fldChar w:fldCharType="separate"/>
          </w:r>
          <w:r>
            <w:rPr>
              <w:rFonts w:hint="eastAsia" w:ascii="楷体" w:hAnsi="楷体" w:eastAsia="楷体"/>
              <w:szCs w:val="24"/>
            </w:rPr>
            <w:t>螺纹钢：震荡测试支撑，等待新变量</w:t>
          </w:r>
          <w:r>
            <w:rPr>
              <w:bCs/>
            </w:rPr>
            <w:fldChar w:fldCharType="end"/>
          </w:r>
        </w:p>
        <w:p>
          <w:pPr>
            <w:pStyle w:val="74"/>
            <w:tabs>
              <w:tab w:val="right" w:leader="dot" w:pos="8306"/>
            </w:tabs>
          </w:pPr>
          <w:r>
            <w:rPr>
              <w:bCs/>
            </w:rPr>
            <w:fldChar w:fldCharType="begin"/>
          </w:r>
          <w:r>
            <w:rPr>
              <w:bCs/>
            </w:rPr>
            <w:instrText xml:space="preserve"> HYPERLINK \l _Toc31322 </w:instrText>
          </w:r>
          <w:r>
            <w:rPr>
              <w:bCs/>
            </w:rPr>
            <w:fldChar w:fldCharType="separate"/>
          </w:r>
          <w:r>
            <w:rPr>
              <w:rFonts w:hint="eastAsia" w:ascii="楷体" w:hAnsi="楷体" w:eastAsia="楷体"/>
              <w:szCs w:val="24"/>
            </w:rPr>
            <w:t>焦炭：成本中枢下移，焦炭震荡运行</w:t>
          </w:r>
          <w:r>
            <w:rPr>
              <w:bCs/>
            </w:rPr>
            <w:fldChar w:fldCharType="end"/>
          </w:r>
        </w:p>
        <w:p>
          <w:pPr>
            <w:pStyle w:val="74"/>
            <w:tabs>
              <w:tab w:val="right" w:leader="dot" w:pos="8306"/>
            </w:tabs>
          </w:pPr>
          <w:r>
            <w:rPr>
              <w:bCs/>
            </w:rPr>
            <w:fldChar w:fldCharType="begin"/>
          </w:r>
          <w:r>
            <w:rPr>
              <w:bCs/>
            </w:rPr>
            <w:instrText xml:space="preserve"> HYPERLINK \l _Toc1234 </w:instrText>
          </w:r>
          <w:r>
            <w:rPr>
              <w:bCs/>
            </w:rPr>
            <w:fldChar w:fldCharType="separate"/>
          </w:r>
          <w:r>
            <w:rPr>
              <w:rFonts w:hint="eastAsia" w:ascii="楷体" w:hAnsi="楷体" w:eastAsia="楷体"/>
              <w:szCs w:val="24"/>
            </w:rPr>
            <w:t>焦煤：期货基差较大，震荡等待现货指引</w:t>
          </w:r>
          <w:r>
            <w:rPr>
              <w:bCs/>
            </w:rPr>
            <w:fldChar w:fldCharType="end"/>
          </w:r>
        </w:p>
        <w:p>
          <w:pPr>
            <w:pStyle w:val="74"/>
            <w:tabs>
              <w:tab w:val="right" w:leader="dot" w:pos="8306"/>
            </w:tabs>
          </w:pPr>
          <w:r>
            <w:rPr>
              <w:bCs/>
            </w:rPr>
            <w:fldChar w:fldCharType="begin"/>
          </w:r>
          <w:r>
            <w:rPr>
              <w:bCs/>
            </w:rPr>
            <w:instrText xml:space="preserve"> HYPERLINK \l _Toc19488 </w:instrText>
          </w:r>
          <w:r>
            <w:rPr>
              <w:bCs/>
            </w:rPr>
            <w:fldChar w:fldCharType="separate"/>
          </w:r>
          <w:r>
            <w:rPr>
              <w:rFonts w:hint="eastAsia" w:ascii="楷体" w:hAnsi="楷体" w:eastAsia="楷体"/>
              <w:szCs w:val="24"/>
            </w:rPr>
            <w:t>铜：短期高位震荡偏强运行</w:t>
          </w:r>
          <w:r>
            <w:rPr>
              <w:bCs/>
            </w:rPr>
            <w:fldChar w:fldCharType="end"/>
          </w:r>
        </w:p>
        <w:p>
          <w:pPr>
            <w:pStyle w:val="74"/>
            <w:tabs>
              <w:tab w:val="right" w:leader="dot" w:pos="8306"/>
            </w:tabs>
          </w:pPr>
          <w:r>
            <w:rPr>
              <w:bCs/>
            </w:rPr>
            <w:fldChar w:fldCharType="begin"/>
          </w:r>
          <w:r>
            <w:rPr>
              <w:bCs/>
            </w:rPr>
            <w:instrText xml:space="preserve"> HYPERLINK \l _Toc3976 </w:instrText>
          </w:r>
          <w:r>
            <w:rPr>
              <w:bCs/>
            </w:rPr>
            <w:fldChar w:fldCharType="separate"/>
          </w:r>
          <w:r>
            <w:rPr>
              <w:rFonts w:hint="eastAsia" w:ascii="楷体" w:hAnsi="楷体" w:eastAsia="楷体"/>
              <w:szCs w:val="24"/>
            </w:rPr>
            <w:t>铝：铝价维持区间偏强运行</w:t>
          </w:r>
          <w:r>
            <w:rPr>
              <w:bCs/>
            </w:rPr>
            <w:fldChar w:fldCharType="end"/>
          </w:r>
        </w:p>
        <w:p>
          <w:pPr>
            <w:pStyle w:val="74"/>
            <w:tabs>
              <w:tab w:val="right" w:leader="dot" w:pos="8306"/>
            </w:tabs>
          </w:pPr>
          <w:r>
            <w:rPr>
              <w:bCs/>
            </w:rPr>
            <w:fldChar w:fldCharType="begin"/>
          </w:r>
          <w:r>
            <w:rPr>
              <w:bCs/>
            </w:rPr>
            <w:instrText xml:space="preserve"> HYPERLINK \l _Toc20745 </w:instrText>
          </w:r>
          <w:r>
            <w:rPr>
              <w:bCs/>
            </w:rPr>
            <w:fldChar w:fldCharType="separate"/>
          </w:r>
          <w:r>
            <w:rPr>
              <w:rFonts w:hint="eastAsia" w:ascii="楷体" w:hAnsi="楷体" w:eastAsia="楷体"/>
              <w:szCs w:val="24"/>
            </w:rPr>
            <w:t>锌：锌价偏强运行</w:t>
          </w:r>
          <w:r>
            <w:rPr>
              <w:bCs/>
            </w:rPr>
            <w:fldChar w:fldCharType="end"/>
          </w:r>
        </w:p>
        <w:p>
          <w:pPr>
            <w:pStyle w:val="74"/>
            <w:tabs>
              <w:tab w:val="right" w:leader="dot" w:pos="8306"/>
            </w:tabs>
          </w:pPr>
          <w:r>
            <w:rPr>
              <w:bCs/>
            </w:rPr>
            <w:fldChar w:fldCharType="begin"/>
          </w:r>
          <w:r>
            <w:rPr>
              <w:bCs/>
            </w:rPr>
            <w:instrText xml:space="preserve"> HYPERLINK \l _Toc8778 </w:instrText>
          </w:r>
          <w:r>
            <w:rPr>
              <w:bCs/>
            </w:rPr>
            <w:fldChar w:fldCharType="separate"/>
          </w:r>
          <w:r>
            <w:rPr>
              <w:rFonts w:hint="eastAsia" w:ascii="楷体" w:hAnsi="楷体" w:eastAsia="楷体"/>
              <w:szCs w:val="24"/>
            </w:rPr>
            <w:t>镍：供强需弱叠加明显累库，镍价疲势难改</w:t>
          </w:r>
          <w:r>
            <w:rPr>
              <w:bCs/>
            </w:rPr>
            <w:fldChar w:fldCharType="end"/>
          </w:r>
        </w:p>
        <w:p>
          <w:pPr>
            <w:pStyle w:val="74"/>
            <w:tabs>
              <w:tab w:val="right" w:leader="dot" w:pos="8306"/>
            </w:tabs>
          </w:pPr>
          <w:r>
            <w:rPr>
              <w:bCs/>
            </w:rPr>
            <w:fldChar w:fldCharType="begin"/>
          </w:r>
          <w:r>
            <w:rPr>
              <w:bCs/>
            </w:rPr>
            <w:instrText xml:space="preserve"> HYPERLINK \l _Toc619 </w:instrText>
          </w:r>
          <w:r>
            <w:rPr>
              <w:bCs/>
            </w:rPr>
            <w:fldChar w:fldCharType="separate"/>
          </w:r>
          <w:r>
            <w:rPr>
              <w:rFonts w:hint="eastAsia" w:ascii="楷体" w:hAnsi="楷体" w:eastAsia="楷体"/>
              <w:szCs w:val="24"/>
            </w:rPr>
            <w:t>铅：铝价上方压力仍存</w:t>
          </w:r>
          <w:r>
            <w:rPr>
              <w:bCs/>
            </w:rPr>
            <w:fldChar w:fldCharType="end"/>
          </w:r>
        </w:p>
        <w:p>
          <w:pPr>
            <w:pStyle w:val="74"/>
            <w:tabs>
              <w:tab w:val="right" w:leader="dot" w:pos="8306"/>
            </w:tabs>
          </w:pPr>
          <w:r>
            <w:rPr>
              <w:bCs/>
            </w:rPr>
            <w:fldChar w:fldCharType="begin"/>
          </w:r>
          <w:r>
            <w:rPr>
              <w:bCs/>
            </w:rPr>
            <w:instrText xml:space="preserve"> HYPERLINK \l _Toc26313 </w:instrText>
          </w:r>
          <w:r>
            <w:rPr>
              <w:bCs/>
            </w:rPr>
            <w:fldChar w:fldCharType="separate"/>
          </w:r>
          <w:r>
            <w:rPr>
              <w:rFonts w:hint="eastAsia" w:ascii="楷体" w:hAnsi="楷体" w:eastAsia="楷体"/>
              <w:szCs w:val="24"/>
            </w:rPr>
            <w:t>不锈钢：成本支撑趋稳，或窄幅震荡偏强</w:t>
          </w:r>
          <w:r>
            <w:rPr>
              <w:bCs/>
            </w:rPr>
            <w:fldChar w:fldCharType="end"/>
          </w:r>
        </w:p>
        <w:p>
          <w:pPr>
            <w:pStyle w:val="74"/>
            <w:tabs>
              <w:tab w:val="right" w:leader="dot" w:pos="8306"/>
            </w:tabs>
          </w:pPr>
          <w:r>
            <w:rPr>
              <w:bCs/>
            </w:rPr>
            <w:fldChar w:fldCharType="begin"/>
          </w:r>
          <w:r>
            <w:rPr>
              <w:bCs/>
            </w:rPr>
            <w:instrText xml:space="preserve"> HYPERLINK \l _Toc27166 </w:instrText>
          </w:r>
          <w:r>
            <w:rPr>
              <w:bCs/>
            </w:rPr>
            <w:fldChar w:fldCharType="separate"/>
          </w:r>
          <w:r>
            <w:rPr>
              <w:rFonts w:hint="eastAsia" w:ascii="楷体" w:hAnsi="楷体" w:eastAsia="楷体"/>
              <w:szCs w:val="24"/>
            </w:rPr>
            <w:t>工业硅：北方供应出现扰动，市场情绪有所提振</w:t>
          </w:r>
          <w:r>
            <w:rPr>
              <w:bCs/>
            </w:rPr>
            <w:fldChar w:fldCharType="end"/>
          </w:r>
        </w:p>
        <w:p>
          <w:pPr>
            <w:pStyle w:val="59"/>
            <w:tabs>
              <w:tab w:val="right" w:leader="dot" w:pos="8306"/>
            </w:tabs>
          </w:pPr>
          <w:r>
            <w:rPr>
              <w:bCs/>
            </w:rPr>
            <w:fldChar w:fldCharType="begin"/>
          </w:r>
          <w:r>
            <w:rPr>
              <w:bCs/>
            </w:rPr>
            <w:instrText xml:space="preserve"> HYPERLINK \l _Toc21183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_Toc29997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东南亚主产区逐渐上量 天然橡胶仍有下行风险</w:t>
          </w:r>
          <w:r>
            <w:rPr>
              <w:bCs/>
            </w:rPr>
            <w:fldChar w:fldCharType="end"/>
          </w:r>
        </w:p>
        <w:p>
          <w:pPr>
            <w:pStyle w:val="74"/>
            <w:tabs>
              <w:tab w:val="right" w:leader="dot" w:pos="8306"/>
            </w:tabs>
          </w:pPr>
          <w:r>
            <w:rPr>
              <w:bCs/>
            </w:rPr>
            <w:fldChar w:fldCharType="begin"/>
          </w:r>
          <w:r>
            <w:rPr>
              <w:bCs/>
            </w:rPr>
            <w:instrText xml:space="preserve"> HYPERLINK \l _Toc7261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短线跟随成本端波动</w:t>
          </w:r>
          <w:r>
            <w:rPr>
              <w:bCs/>
            </w:rPr>
            <w:fldChar w:fldCharType="end"/>
          </w:r>
        </w:p>
        <w:p>
          <w:pPr>
            <w:pStyle w:val="74"/>
            <w:tabs>
              <w:tab w:val="right" w:leader="dot" w:pos="8306"/>
            </w:tabs>
          </w:pPr>
          <w:r>
            <w:rPr>
              <w:bCs/>
            </w:rPr>
            <w:fldChar w:fldCharType="begin"/>
          </w:r>
          <w:r>
            <w:rPr>
              <w:bCs/>
            </w:rPr>
            <w:instrText xml:space="preserve"> HYPERLINK \l _Toc20754 </w:instrText>
          </w:r>
          <w:r>
            <w:rPr>
              <w:bCs/>
            </w:rPr>
            <w:fldChar w:fldCharType="separate"/>
          </w:r>
          <w:r>
            <w:rPr>
              <w:rFonts w:hint="eastAsia" w:ascii="楷体" w:hAnsi="楷体" w:eastAsia="楷体"/>
              <w:szCs w:val="24"/>
            </w:rPr>
            <w:t>聚烯烃：成本回暖难敌需求弱势 聚烯烃维持低位震荡</w:t>
          </w:r>
          <w:r>
            <w:rPr>
              <w:bCs/>
            </w:rPr>
            <w:fldChar w:fldCharType="end"/>
          </w:r>
        </w:p>
        <w:p>
          <w:pPr>
            <w:pStyle w:val="74"/>
            <w:tabs>
              <w:tab w:val="right" w:leader="dot" w:pos="8306"/>
            </w:tabs>
          </w:pPr>
          <w:r>
            <w:rPr>
              <w:bCs/>
            </w:rPr>
            <w:fldChar w:fldCharType="begin"/>
          </w:r>
          <w:r>
            <w:rPr>
              <w:bCs/>
            </w:rPr>
            <w:instrText xml:space="preserve"> HYPERLINK \l _Toc29466 </w:instrText>
          </w:r>
          <w:r>
            <w:rPr>
              <w:bCs/>
            </w:rPr>
            <w:fldChar w:fldCharType="separate"/>
          </w:r>
          <w:r>
            <w:rPr>
              <w:rFonts w:hint="eastAsia" w:ascii="楷体" w:hAnsi="楷体" w:eastAsia="楷体"/>
              <w:szCs w:val="24"/>
            </w:rPr>
            <w:t>MEG：供需格局转好 乙二醇短期震荡偏强</w:t>
          </w:r>
          <w:r>
            <w:rPr>
              <w:bCs/>
            </w:rPr>
            <w:fldChar w:fldCharType="end"/>
          </w:r>
        </w:p>
        <w:p>
          <w:pPr>
            <w:pStyle w:val="74"/>
            <w:tabs>
              <w:tab w:val="right" w:leader="dot" w:pos="8306"/>
            </w:tabs>
          </w:pPr>
          <w:r>
            <w:rPr>
              <w:bCs/>
            </w:rPr>
            <w:fldChar w:fldCharType="begin"/>
          </w:r>
          <w:r>
            <w:rPr>
              <w:bCs/>
            </w:rPr>
            <w:instrText xml:space="preserve"> HYPERLINK \l _Toc20412 </w:instrText>
          </w:r>
          <w:r>
            <w:rPr>
              <w:bCs/>
            </w:rPr>
            <w:fldChar w:fldCharType="separate"/>
          </w:r>
          <w:r>
            <w:rPr>
              <w:rFonts w:hint="eastAsia" w:ascii="楷体" w:hAnsi="楷体" w:eastAsia="楷体"/>
              <w:szCs w:val="24"/>
            </w:rPr>
            <w:t>玻璃：北方寒潮影响需求，期价弱势震荡</w:t>
          </w:r>
          <w:r>
            <w:rPr>
              <w:bCs/>
            </w:rPr>
            <w:fldChar w:fldCharType="end"/>
          </w:r>
        </w:p>
        <w:p>
          <w:pPr>
            <w:pStyle w:val="74"/>
            <w:tabs>
              <w:tab w:val="right" w:leader="dot" w:pos="8306"/>
            </w:tabs>
          </w:pPr>
          <w:r>
            <w:rPr>
              <w:bCs/>
            </w:rPr>
            <w:fldChar w:fldCharType="begin"/>
          </w:r>
          <w:r>
            <w:rPr>
              <w:bCs/>
            </w:rPr>
            <w:instrText xml:space="preserve"> HYPERLINK \l _Toc10262 </w:instrText>
          </w:r>
          <w:r>
            <w:rPr>
              <w:bCs/>
            </w:rPr>
            <w:fldChar w:fldCharType="separate"/>
          </w:r>
          <w:r>
            <w:rPr>
              <w:rFonts w:hint="eastAsia" w:ascii="楷体" w:hAnsi="楷体" w:eastAsia="楷体"/>
              <w:szCs w:val="24"/>
            </w:rPr>
            <w:t>纯碱：现货开始松动，宽幅震荡</w:t>
          </w:r>
          <w:r>
            <w:rPr>
              <w:bCs/>
            </w:rPr>
            <w:fldChar w:fldCharType="end"/>
          </w:r>
        </w:p>
        <w:p>
          <w:pPr>
            <w:pStyle w:val="59"/>
            <w:tabs>
              <w:tab w:val="right" w:leader="dot" w:pos="8306"/>
            </w:tabs>
          </w:pPr>
          <w:r>
            <w:rPr>
              <w:bCs/>
            </w:rPr>
            <w:fldChar w:fldCharType="begin"/>
          </w:r>
          <w:r>
            <w:rPr>
              <w:bCs/>
            </w:rPr>
            <w:instrText xml:space="preserve"> HYPERLINK \l _Toc28922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_Toc2665 </w:instrText>
          </w:r>
          <w:r>
            <w:rPr>
              <w:bCs/>
            </w:rPr>
            <w:fldChar w:fldCharType="separate"/>
          </w:r>
          <w:r>
            <w:rPr>
              <w:rFonts w:hint="eastAsia" w:ascii="楷体" w:hAnsi="楷体" w:eastAsia="楷体"/>
              <w:szCs w:val="24"/>
            </w:rPr>
            <w:t>豆粕/菜粕：供强需弱格局下，期价利多驱动不足</w:t>
          </w:r>
          <w:r>
            <w:rPr>
              <w:bCs/>
            </w:rPr>
            <w:fldChar w:fldCharType="end"/>
          </w:r>
        </w:p>
        <w:p>
          <w:pPr>
            <w:pStyle w:val="74"/>
            <w:tabs>
              <w:tab w:val="right" w:leader="dot" w:pos="8306"/>
            </w:tabs>
          </w:pPr>
          <w:r>
            <w:rPr>
              <w:bCs/>
            </w:rPr>
            <w:fldChar w:fldCharType="begin"/>
          </w:r>
          <w:r>
            <w:rPr>
              <w:bCs/>
            </w:rPr>
            <w:instrText xml:space="preserve"> HYPERLINK \l _Toc25595 </w:instrText>
          </w:r>
          <w:r>
            <w:rPr>
              <w:bCs/>
            </w:rPr>
            <w:fldChar w:fldCharType="separate"/>
          </w:r>
          <w:r>
            <w:rPr>
              <w:rFonts w:hint="eastAsia" w:ascii="楷体" w:hAnsi="楷体" w:eastAsia="楷体"/>
              <w:szCs w:val="24"/>
            </w:rPr>
            <w:t>油脂：上行驱动不足，震荡整理</w:t>
          </w:r>
          <w:r>
            <w:rPr>
              <w:bCs/>
            </w:rPr>
            <w:fldChar w:fldCharType="end"/>
          </w:r>
        </w:p>
        <w:p>
          <w:pPr>
            <w:pStyle w:val="74"/>
            <w:tabs>
              <w:tab w:val="right" w:leader="dot" w:pos="8306"/>
            </w:tabs>
          </w:pPr>
          <w:r>
            <w:rPr>
              <w:bCs/>
            </w:rPr>
            <w:fldChar w:fldCharType="begin"/>
          </w:r>
          <w:r>
            <w:rPr>
              <w:bCs/>
            </w:rPr>
            <w:instrText xml:space="preserve"> HYPERLINK \l _Toc7959 </w:instrText>
          </w:r>
          <w:r>
            <w:rPr>
              <w:bCs/>
            </w:rPr>
            <w:fldChar w:fldCharType="separate"/>
          </w:r>
          <w:r>
            <w:rPr>
              <w:rFonts w:hint="eastAsia" w:ascii="楷体" w:hAnsi="楷体" w:eastAsia="楷体"/>
              <w:bCs/>
            </w:rPr>
            <w:t>玉米与淀粉：</w:t>
          </w:r>
          <w:r>
            <w:rPr>
              <w:rFonts w:hint="eastAsia" w:ascii="楷体" w:hAnsi="楷体" w:eastAsia="楷体"/>
            </w:rPr>
            <w:t>夜盘期价小幅反弹</w:t>
          </w:r>
          <w:r>
            <w:rPr>
              <w:bCs/>
            </w:rPr>
            <w:fldChar w:fldCharType="end"/>
          </w:r>
        </w:p>
        <w:p>
          <w:pPr>
            <w:pStyle w:val="74"/>
            <w:tabs>
              <w:tab w:val="right" w:leader="dot" w:pos="8306"/>
            </w:tabs>
          </w:pPr>
          <w:r>
            <w:rPr>
              <w:bCs/>
            </w:rPr>
            <w:fldChar w:fldCharType="begin"/>
          </w:r>
          <w:r>
            <w:rPr>
              <w:bCs/>
            </w:rPr>
            <w:instrText xml:space="preserve"> HYPERLINK \l _Toc10750 </w:instrText>
          </w:r>
          <w:r>
            <w:rPr>
              <w:bCs/>
            </w:rPr>
            <w:fldChar w:fldCharType="separate"/>
          </w:r>
          <w:r>
            <w:rPr>
              <w:rFonts w:hint="eastAsia" w:ascii="楷体" w:hAnsi="楷体" w:eastAsia="楷体"/>
              <w:bCs/>
            </w:rPr>
            <w:t>畜禽养殖：新增仓单带动生猪期现背离</w:t>
          </w:r>
          <w:r>
            <w:rPr>
              <w:bCs/>
            </w:rPr>
            <w:fldChar w:fldCharType="end"/>
          </w:r>
        </w:p>
        <w:p>
          <w:pPr>
            <w:pStyle w:val="74"/>
            <w:tabs>
              <w:tab w:val="right" w:leader="dot" w:pos="8306"/>
            </w:tabs>
          </w:pPr>
          <w:r>
            <w:rPr>
              <w:bCs/>
            </w:rPr>
            <w:fldChar w:fldCharType="begin"/>
          </w:r>
          <w:r>
            <w:rPr>
              <w:bCs/>
            </w:rPr>
            <w:instrText xml:space="preserve"> HYPERLINK \l _Toc22916 </w:instrText>
          </w:r>
          <w:r>
            <w:rPr>
              <w:bCs/>
            </w:rPr>
            <w:fldChar w:fldCharType="separate"/>
          </w:r>
          <w:r>
            <w:rPr>
              <w:rFonts w:hint="eastAsia" w:ascii="楷体" w:hAnsi="楷体" w:eastAsia="楷体"/>
              <w:szCs w:val="24"/>
            </w:rPr>
            <w:t>郑棉：震荡偏弱</w:t>
          </w:r>
          <w:r>
            <w:rPr>
              <w:bCs/>
            </w:rPr>
            <w:fldChar w:fldCharType="end"/>
          </w:r>
        </w:p>
        <w:p>
          <w:pPr>
            <w:pStyle w:val="74"/>
            <w:tabs>
              <w:tab w:val="right" w:leader="dot" w:pos="8306"/>
            </w:tabs>
          </w:pPr>
          <w:r>
            <w:rPr>
              <w:bCs/>
            </w:rPr>
            <w:fldChar w:fldCharType="begin"/>
          </w:r>
          <w:r>
            <w:rPr>
              <w:bCs/>
            </w:rPr>
            <w:instrText xml:space="preserve"> HYPERLINK \l _Toc2930 </w:instrText>
          </w:r>
          <w:r>
            <w:rPr>
              <w:bCs/>
            </w:rPr>
            <w:fldChar w:fldCharType="separate"/>
          </w:r>
          <w:r>
            <w:rPr>
              <w:rFonts w:hint="eastAsia" w:ascii="楷体" w:hAnsi="楷体" w:eastAsia="楷体"/>
              <w:szCs w:val="24"/>
            </w:rPr>
            <w:t>白糖：震荡偏弱</w:t>
          </w:r>
          <w:r>
            <w:rPr>
              <w:bCs/>
            </w:rPr>
            <w:fldChar w:fldCharType="end"/>
          </w:r>
        </w:p>
        <w:p>
          <w:pPr>
            <w:pStyle w:val="59"/>
            <w:tabs>
              <w:tab w:val="right" w:leader="dot" w:pos="8306"/>
            </w:tabs>
          </w:pPr>
          <w:r>
            <w:rPr>
              <w:bCs/>
            </w:rPr>
            <w:fldChar w:fldCharType="begin"/>
          </w:r>
          <w:r>
            <w:rPr>
              <w:bCs/>
            </w:rPr>
            <w:instrText xml:space="preserve"> HYPERLINK \l _Toc24726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_Toc23309 </w:instrText>
          </w:r>
          <w:r>
            <w:rPr>
              <w:bCs/>
            </w:rPr>
            <w:fldChar w:fldCharType="separate"/>
          </w:r>
          <w:r>
            <w:rPr>
              <w:rFonts w:hint="eastAsia" w:ascii="Times New Roman" w:hAnsi="Times New Roman" w:eastAsia="楷体"/>
              <w:szCs w:val="24"/>
            </w:rPr>
            <w:t>集运指数（欧线）：红海事件升级之际船司继续提高运价，留意短期上行风险</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6867"/>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7609"/>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波段操作，低吸IM多单</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由于多因素影响，市场信心严重不足，加之资金面压力仍存， 市场风险偏好短期内难提升，大盘盘中仍有回调压力。但若创新低，2923 点，则日线 MACD 指标将底背离，技术上存在较强的反弹要求，反弹高度与量能成正比。但我们认为，无论 2923 点破与不破，跨年行情依旧存在，首先是内外政策环境有望让市场中期流动性压力缓解，其次是跨年短期流动性偏紧态势有望逐步得到改善，再者就是大盘的回落及对春季行情的预期吸引场外资金提前入场。综合来说，以低吸思路为主，逢低轻仓布局IM多单。</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8515"/>
      <w:r>
        <w:rPr>
          <w:rFonts w:hint="eastAsia" w:ascii="Times New Roman" w:hAnsi="Times New Roman" w:eastAsia="楷体"/>
          <w:b/>
          <w:color w:val="823C0B"/>
          <w:sz w:val="30"/>
          <w:szCs w:val="30"/>
        </w:rPr>
        <w:t>[贵金属]</w:t>
      </w:r>
      <w:bookmarkEnd w:id="8"/>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9" w:name="_Toc1285"/>
      <w:r>
        <w:rPr>
          <w:rFonts w:hint="eastAsia" w:ascii="Times New Roman" w:hAnsi="Times New Roman" w:eastAsia="楷体"/>
          <w:b/>
          <w:color w:val="000000" w:themeColor="text1"/>
          <w:sz w:val="24"/>
          <w:szCs w:val="24"/>
          <w14:textFill>
            <w14:solidFill>
              <w14:schemeClr w14:val="tx1"/>
            </w14:solidFill>
          </w14:textFill>
        </w:rPr>
        <w:t>贵金属：美元指数下跌，贵金属价格小幅反弹</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元指数跌0.37%至102.12，美十债收益率微涨0.4bp至3.936%，沪金涨0.20%，沪银涨0.38%。美联储博斯蒂克讲话称，预计美联储将于2024年下半年降息两次；美联储不能等到通胀率达到2%才降息，否则通胀将“超调”；并不迫切退出限制性政策立场。欧洲央行管委卡扎克斯表示，宣布战胜通胀为时尚早；利率需要在当前水平上保持一段时间。欧洲央行管委Vujcic称，只有通胀下降速度加快，才能证明欧洲央行降息合理性。美联储表态朝向鸽派立场转变，后续市场交易逻辑从围绕“什么时候降息”转向“降息多少”，而在利率下降的环境下，对于零息资产黄金、白银而言整体利多，建议沪金、沪银逢回调轻仓试多。</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_Toc3096"/>
      <w:bookmarkStart w:id="12" w:name="金属"/>
      <w:bookmarkStart w:id="13" w:name="_Toc5934"/>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20148"/>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碳酸锂：部分生产企业减停产，期价小幅下跌</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昨日期价小幅低开后横盘运行，07合约收跌2.25%至101900元/吨。因成本持续倒挂，近期江西地区生产企业较多出现减停产。终端电池厂仍处于去库存阶段，对正极材料需求量较少，正极材料生产装置负荷维持在五成以下。部分磷酸铁锂企业因出货不及预期、利润倒挂严重，装置仍处于停车状态。广期所宣布，自12月20日结算时起，碳酸锂期货LC2401、LC2402合约交易保证金标准调整为20%；自12月20日交易时起，碳酸锂期货LC2407合约交易手续费标准调整为成交金额万分之三点二，日内平今仓交易手续费标准调整为成交金额万分之三点二。期价下跌至9-10万元/吨附近后相对接近自有矿石提锂成本线，盘面震荡幅度加大，持续亏损下部分锂企存在减产预期。现货基本面未发生重大改善，下游需求偏弱。近期资金博弈有所加剧，建议谨慎观望，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6769"/>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震荡测试支撑，等待新变量</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钢厂陆续披露冬储政策，市场或逐渐进入冬储博弈阶段，市场对未来的预期对价格影响更大。短期供需矛盾不大，向上存在现货价格压力，向下平电支撑力度强，短期震荡为主，关注市场补库动作。</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4790"/>
      <w:bookmarkStart w:id="20" w:name="_Toc11356"/>
      <w:bookmarkStart w:id="21" w:name="_Toc31322"/>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成本中枢下移，焦炭震荡运行</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下游库存相对健康，成材利润偏低情况下，下游继续补库动力不足，煤价偏弱运行，价格中枢下移，短期盘面贴水较大，预计震荡运行，等待现货。</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1234"/>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期货基差较大，震荡等待现货指引</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煤矿仍处于低产、低库存状态，叠加仍有部分冬储量未完成，盘面绝对价格下移后仍有支撑。短期盘面调整相对充分，预计随成材震荡运行。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25617"/>
      <w:bookmarkStart w:id="24" w:name="_Toc9719"/>
      <w:bookmarkStart w:id="25" w:name="_Toc19488"/>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短期高位震荡偏强运行</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(1)库存：12月19日，SHFE仓单库存12185吨，减少670吨；LME仓单库存168650吨，减3800吨。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(2)精废价差：12月19日，Mysteel精废价差1458，收窄320。目前价差在合理价差1385之上。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海外宏观氛围依旧偏暖，美元指数延续弱势，支撑铜价。基本面，进口铜精矿现货加工费TC持续回落，远期供应短缺预期提振价格。国内库存缓慢累增，但整体低库存逻辑仍存。铜价延续高位运行，主波动区间参考67500-69500。择高卖出虚值看涨期权，行权价参考70000一线。</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6247"/>
      <w:bookmarkStart w:id="27" w:name="_Toc8897"/>
      <w:bookmarkStart w:id="28" w:name="_Toc3976"/>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铝价维持区间偏强运行</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12月会议维持利率不变，暂停加息符合市场预期，联储发言偏鸽。国内11月CPI数据同比下行，引发市场对国内降息的积极政策预期，海内外宏观情绪提振带动市场信心上行。产量产能维持高位，库存持续去库。前期云南减产完成后，供应端进入短暂的平稳运行期，电解铝运行产能维持相对高位，进口盈 利窗口打开，进口锭持续补充国内市场。11月铝加工行业开工率上行，淡季消费不淡，在途运输延迟叠加冬季下游逢低补库，铝市社会库存大幅下降。铝市交割临近，在途货物较多，流动货源偏紧，低库存现状支撑近月合约价格偏强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20745"/>
      <w:r>
        <w:rPr>
          <w:rFonts w:hint="eastAsia" w:ascii="楷体" w:hAnsi="楷体" w:eastAsia="楷体"/>
          <w:b/>
          <w:color w:val="000000" w:themeColor="text1"/>
          <w:sz w:val="24"/>
          <w:szCs w:val="24"/>
          <w14:textFill>
            <w14:solidFill>
              <w14:schemeClr w14:val="tx1"/>
            </w14:solidFill>
          </w14:textFill>
        </w:rPr>
        <w:t>锌：锌价偏强运行</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内外宏观情绪修复转好，进口利润窗口间歇性打开，进口锌补充有限，国内精炼锌产量小幅下降，主因部分炼厂超预期检修减停产，需求端维持弱修复，淡季消费超预期，前期锌价下跌触及成本支撑，低库存现状维持，支持价格偏强震荡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8778"/>
      <w:r>
        <w:rPr>
          <w:rFonts w:hint="eastAsia" w:ascii="楷体" w:hAnsi="楷体" w:eastAsia="楷体"/>
          <w:b/>
          <w:color w:val="000000" w:themeColor="text1"/>
          <w:sz w:val="24"/>
          <w:szCs w:val="24"/>
          <w14:textFill>
            <w14:solidFill>
              <w14:schemeClr w14:val="tx1"/>
            </w14:solidFill>
          </w14:textFill>
        </w:rPr>
        <w:t>镍：供强需弱叠加明显累库，镍价疲势难改</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面，美联储鸽声嘹亮，宏观氛围暖风袭来。成本端，镍铁价格企稳，成交略有改善；硫酸镍处于原料宽松、需求萎靡、年底资金占用压力大的境况，但价格已破成本线，预计短期内价格弱稳为主。供应端，12月精炼镍产量环比增加，镍供应过剩压力持续。需求端，部分不锈钢厂开始复产，对镍需求有边际好转；三元材料仍肩负减产去库压力，对镍需求持续下降；合金和电镀对镍需求表现平稳，但需求量级有限。库存端，LME镍库存回升至近十一个月新高，沪镍库存累至近三年新高。综合而言，宏观情绪偏多，但从基本面来看，供强需弱格局不改，沪伦两市镍库存增幅明显，给镍价带来压力。镍价暂无明显上行驱动，预计短期内维持偏弱震荡筑底。</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619"/>
      <w:r>
        <w:rPr>
          <w:rFonts w:hint="eastAsia" w:ascii="楷体" w:hAnsi="楷体" w:eastAsia="楷体"/>
          <w:b/>
          <w:color w:val="000000" w:themeColor="text1"/>
          <w:sz w:val="24"/>
          <w:szCs w:val="24"/>
          <w14:textFill>
            <w14:solidFill>
              <w14:schemeClr w14:val="tx1"/>
            </w14:solidFill>
          </w14:textFill>
        </w:rPr>
        <w:t>铅：铝价上方压力仍存</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26313"/>
      <w:r>
        <w:rPr>
          <w:rFonts w:hint="eastAsia" w:ascii="楷体" w:hAnsi="楷体" w:eastAsia="楷体"/>
          <w:b/>
          <w:color w:val="000000" w:themeColor="text1"/>
          <w:sz w:val="24"/>
          <w:szCs w:val="24"/>
          <w14:textFill>
            <w14:solidFill>
              <w14:schemeClr w14:val="tx1"/>
            </w14:solidFill>
          </w14:textFill>
        </w:rPr>
        <w:t>不锈钢：成本支撑趋稳，或窄幅震荡偏强</w:t>
      </w:r>
      <w:bookmarkEnd w:id="32"/>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市场对美联储利率决议解读为鸽声嘹亮，宏观情绪偏利多。成本方面，Mysteel高镍铁到厂含税指数价921.4元/镍，镍铁价格企稳，成交略有改善；高碳铬铁供应偏紧，且原料焦炭价格上涨拉升成本，价格稳中偏强运行。供应端，不锈钢厂在12月开工率有所上升，供应维持过剩宽松格局。需求端，年底为不锈钢传统淡季，部分厂家在资金压力下低价出货，但下游成交氛围未有明显改善，需求整体维持疲弱，持续压制不锈钢价。库存端，社库维持去化。综合而言，宏观情绪偏暖，成本支撑走强，社会库存下降，为不锈钢价带来一定支撑，然而，供应维持过剩状态，传统淡季叠加经济内生修复动力偏弱，年内需求难有明显起色，给不锈钢价带来拖累，不锈钢或窄幅震荡偏强运行。持续关注原料价格走势。</w:t>
      </w:r>
    </w:p>
    <w:p>
      <w:pPr>
        <w:rPr>
          <w:rFonts w:ascii="楷体" w:hAnsi="楷体" w:eastAsia="楷体"/>
          <w:bCs/>
          <w:sz w:val="24"/>
          <w:szCs w:val="24"/>
        </w:rPr>
      </w:pPr>
    </w:p>
    <w:p>
      <w:pPr>
        <w:ind w:left="420" w:leftChars="200"/>
        <w:outlineLvl w:val="1"/>
        <w:rPr>
          <w:rFonts w:ascii="楷体" w:hAnsi="楷体" w:eastAsia="楷体"/>
          <w:b/>
          <w:sz w:val="24"/>
          <w:szCs w:val="24"/>
        </w:rPr>
      </w:pPr>
      <w:bookmarkStart w:id="33" w:name="_Toc27166"/>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北方供应出现扰动，市场情绪有所提振</w:t>
      </w:r>
      <w:bookmarkEnd w:id="33"/>
    </w:p>
    <w:p>
      <w:pPr>
        <w:ind w:left="630" w:leftChars="300"/>
        <w:rPr>
          <w:rFonts w:ascii="楷体" w:hAnsi="楷体" w:eastAsia="楷体"/>
          <w:sz w:val="24"/>
          <w:szCs w:val="24"/>
        </w:rPr>
      </w:pPr>
      <w:r>
        <w:rPr>
          <w:rFonts w:hint="eastAsia" w:ascii="楷体" w:hAnsi="楷体" w:eastAsia="楷体"/>
          <w:sz w:val="24"/>
          <w:szCs w:val="24"/>
        </w:rPr>
        <w:t>12月19日，Si2402主力合约呈反弹走势，收盘价14235元/吨，较上一收盘价涨跌幅+2.59%。近期，新疆出现暴雪寒潮天气，当地出现电力缺口，同时多地出现大气重污染情况，市场担忧或将对工厂生产存在影响，使得盘面出现反弹。据百川盈浮统计，目前共涉及炉数约24台。其中，伊宁县周边硅厂共计9台，现停炉2台；巩留县开炉22台，今日9台炉按要求限负荷两小时;其余地区共计影响炉数13台，预计平均日产量将减少300-400吨。整体来看，当前限产规模对供应影响相对有限，但在西南季节性减产情况下，对市场情绪有所提振，在扰动因素未解除之前，盘面或将震荡偏强运行。策略上，谨慎资金可暂时观望，激进资金可尝试逢低做多机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4" w:name="化工"/>
      <w:r>
        <w:rPr>
          <w:rFonts w:hint="eastAsia" w:ascii="Times New Roman" w:hAnsi="Times New Roman" w:eastAsia="楷体"/>
          <w:b/>
          <w:color w:val="823C0B"/>
          <w:sz w:val="30"/>
          <w:szCs w:val="30"/>
        </w:rPr>
        <w:t xml:space="preserve"> </w:t>
      </w:r>
      <w:bookmarkStart w:id="35" w:name="_Toc21183"/>
      <w:r>
        <w:rPr>
          <w:rFonts w:hint="eastAsia" w:ascii="Times New Roman" w:hAnsi="Times New Roman" w:eastAsia="楷体"/>
          <w:b/>
          <w:color w:val="823C0B"/>
          <w:sz w:val="30"/>
          <w:szCs w:val="30"/>
        </w:rPr>
        <w:t>[化工]</w:t>
      </w:r>
      <w:bookmarkEnd w:id="34"/>
      <w:bookmarkEnd w:id="35"/>
    </w:p>
    <w:p>
      <w:pPr>
        <w:ind w:firstLine="482" w:firstLineChars="200"/>
        <w:outlineLvl w:val="1"/>
        <w:rPr>
          <w:rFonts w:ascii="楷体" w:hAnsi="楷体" w:eastAsia="楷体"/>
          <w:b/>
          <w:sz w:val="24"/>
          <w:szCs w:val="24"/>
        </w:rPr>
      </w:pPr>
      <w:bookmarkStart w:id="36" w:name="_Toc29997"/>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东南亚主产区逐渐上量 天然橡胶仍有下行风险</w:t>
      </w:r>
      <w:bookmarkEnd w:id="36"/>
    </w:p>
    <w:p>
      <w:pPr>
        <w:ind w:left="630" w:leftChars="300"/>
        <w:rPr>
          <w:rFonts w:ascii="楷体" w:hAnsi="楷体" w:eastAsia="楷体"/>
          <w:sz w:val="24"/>
          <w:szCs w:val="24"/>
        </w:rPr>
      </w:pPr>
      <w:r>
        <w:rPr>
          <w:rFonts w:hint="eastAsia" w:ascii="楷体" w:hAnsi="楷体" w:eastAsia="楷体"/>
          <w:sz w:val="24"/>
          <w:szCs w:val="24"/>
        </w:rPr>
        <w:t>点评：短时天然橡胶市场处于区间调整阶段，仍有走低风险。供应方面，短时国内产区陆续停割与海外雨季结束逐渐上量预期相互博弈，上游生产利润已处低位，原料收购价格松动空间有限。库存方面，随着海外订单陆续到港，逢下游工厂出货淡季，港口库存继续降库幅度受到压制，供需压制仍存。需求端来看，半钢胎样本企业外贸订单充足，且部分企业排产2024年订单。全钢胎样本企业出货偏慢，整体库存继续提升。终端汽车方面，10月数据同环比继续走强，汽车消费旺季来临市场景气度高。整体看，本轮下跌其实早有征兆，上一波上涨期间出现头肩形与顶背离情况。早前橡胶已回吐近50%的涨幅，此前一度呈现超跌反弹。但在无明显利好推动下，天然橡胶市场仍有下行风险。</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7261"/>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短线跟随成本端波动</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端原油及PX方面，近期红海油轮运输受阻，受此影响原油短线继续走高。PX方面，供需双增，短线企稳反弹。本周福海创450万吨、逸盛大化600万吨负荷提升，威联化学重启，恒力惠州恢复正常，个别装置短停。PTA负荷涨至83.9%（+6.5%）。本周萧山75万吨聚酯装置停车，综合负荷有所下滑；另外新疆一套聚酯新装置开启，暂时生产聚酯切片，后续将陆续配套聚酯瓶片。截至12.15，初步核算国内大陆地区聚酯负荷在89.9%（-1%）。织造新订单已经持续两周偏弱，工厂逐步开始降负运行。综合来看，PTA高加工费下存量装置检修重启及新增产能投放，TA供应充足。下游聚酯负荷目前虽然仍维持在89-90%，但后续存终端订单减少及产成品库存累库的负反馈压力。PTA短期面临成本支撑提振VS供需弱势预期，短线跟随成本端波动。仅供参考。</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20754"/>
      <w:r>
        <w:rPr>
          <w:rFonts w:hint="eastAsia" w:ascii="楷体" w:hAnsi="楷体" w:eastAsia="楷体"/>
          <w:b/>
          <w:color w:val="000000" w:themeColor="text1"/>
          <w:sz w:val="24"/>
          <w:szCs w:val="24"/>
          <w14:textFill>
            <w14:solidFill>
              <w14:schemeClr w14:val="tx1"/>
            </w14:solidFill>
          </w14:textFill>
        </w:rPr>
        <w:t>聚烯烃：成本回暖难敌需求弱势 聚烯烃维持低位震荡</w:t>
      </w:r>
      <w:bookmarkEnd w:id="38"/>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加剧的海运船遇袭事件引发了对潜在供应中断的担忧，多家油运企业绕道运输增加了运输成本并可能延期交付，国际油价进一步上涨，欧美原油期货涨至两周多以来高点。需求方面，PE下游方面，农膜整体需求平平，工厂生产清淡，棚膜工厂多停机检修；PP下游方面，BOPP市场成交刚需有量，整体量较上一交易日增加，BOPP企业未交付订单多数在一周以内。综合来看，PE供应维持偏高水平，PP装置检修规模有所增加，供应压力略有缓解，下游工厂订单跟进不足，采购积极性不佳，刚需采购为主，且后期需求有继续走弱预期，整体来看，聚烯烃供需偏宽松。聚烯烃供强需弱格局下，驱动较弱，建议逢高做空。</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29466"/>
      <w:r>
        <w:rPr>
          <w:rFonts w:hint="eastAsia" w:ascii="楷体" w:hAnsi="楷体" w:eastAsia="楷体"/>
          <w:b/>
          <w:color w:val="000000" w:themeColor="text1"/>
          <w:sz w:val="24"/>
          <w:szCs w:val="24"/>
          <w14:textFill>
            <w14:solidFill>
              <w14:schemeClr w14:val="tx1"/>
            </w14:solidFill>
          </w14:textFill>
        </w:rPr>
        <w:t>MEG：供需格局转好 乙二醇短期震荡偏强</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12.18华东主港地区MEG港口库存约116万吨，环比上期-8万吨，天气原因导致南通及张家港港口封航，到港减少连续两周大幅去库。截至12月14日，中国大陆地区乙二醇整体开工负荷在59.52%（-2.13%），其中煤制乙二醇开工负荷在58.39%（-6.21%）。 新疆中昆60万吨/年新装置顺利出料，目前逐步提负中 。截至12月14日，国内大陆地区聚酯负荷在89.9%，节前聚酯开工高位维持。终端来看，新订单持续性不足，江浙终端开工率继续下降，江浙加弹综合开工87%（-3%），江浙织机综合开工小幅下滑至78%（-4%），江浙印染综合开工下滑至77%（-1%）。综合来看，近期聚酯高开工维持，乙二醇供需格局转好、低估值及进口到港减少，预计12月乙二醇供需改善呈现紧平衡格局，乙二醇期价大幅走高后短线留意4500附近压力位，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40" w:name="_Toc20412"/>
      <w:r>
        <w:rPr>
          <w:rFonts w:hint="eastAsia" w:ascii="楷体" w:hAnsi="楷体" w:eastAsia="楷体"/>
          <w:b/>
          <w:color w:val="000000" w:themeColor="text1"/>
          <w:sz w:val="24"/>
          <w:szCs w:val="24"/>
          <w14:textFill>
            <w14:solidFill>
              <w14:schemeClr w14:val="tx1"/>
            </w14:solidFill>
          </w14:textFill>
        </w:rPr>
        <w:t>玻璃：北方寒潮影响需求，期价弱势震荡</w:t>
      </w:r>
      <w:bookmarkEnd w:id="4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12月19日报道：今日浮法玻璃现货价格2006元/吨，较上一交易日持平。隆众资讯12月14日报道:今日浮法玻璃现货价格2006元/吨，较上一交易日持平。截止到20231214，全国浮法玻璃样本企业总库存3167.2万重箱，环比下滑120.7万重箱，环比-</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3.67%，同比-54.1%。折库存天数13.2天，较上期下滑0.5天，全国浮法玻璃日产量为17.22万吨，前期产线出产品。本周贸易商经过前两周补库以后，多数持稳操作，下游加工厂按需拿货。盘面远月05主力合约宏观预期兑现后暂无强驱动，盘面偏弱。操作上，建议以区间操作为主，等待新的驱动形成。参考区间（1750，1900）。</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41" w:name="_Toc10262"/>
      <w:r>
        <w:rPr>
          <w:rFonts w:hint="eastAsia" w:ascii="楷体" w:hAnsi="楷体" w:eastAsia="楷体"/>
          <w:b/>
          <w:color w:val="000000" w:themeColor="text1"/>
          <w:sz w:val="24"/>
          <w:szCs w:val="24"/>
          <w14:textFill>
            <w14:solidFill>
              <w14:schemeClr w14:val="tx1"/>
            </w14:solidFill>
          </w14:textFill>
        </w:rPr>
        <w:t>纯碱：现货开始松动，宽幅震荡</w:t>
      </w:r>
      <w:bookmarkEnd w:id="41"/>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纯碱现货价格开始松动。华北重碱报价3000元/吨，成交较少；华南重碱报价3250元/吨。供给方面，截至20231214，周内纯碱产量65.68万吨，环比下降0.53万吨，降幅0.80%。周纯碱厂家总库存34.10万吨，环比下降2.60万吨，下降7.08%。其中，轻质库存21.16万吨，重质库存12.94万吨。供给端，河南金山和安徽德邦开车，产量逐步提升。需求端，碱厂待发订单排到月底，下月新订单反馈一般。从库存结构上来看，厂库库存仍处于低位，供给端开停并存，今日现货价格贸易商报价开始松动。盘面05合约短期波动较大，现货松动以后等待累库信号出现，建议逢高布局空单。</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2" w:name="_Toc28922"/>
      <w:r>
        <w:rPr>
          <w:rFonts w:hint="eastAsia" w:ascii="Times New Roman" w:hAnsi="Times New Roman" w:eastAsia="楷体"/>
          <w:b/>
          <w:color w:val="823C0B"/>
          <w:sz w:val="30"/>
          <w:szCs w:val="30"/>
        </w:rPr>
        <w:t>[农产品]</w:t>
      </w:r>
      <w:bookmarkEnd w:id="14"/>
      <w:bookmarkEnd w:id="42"/>
    </w:p>
    <w:p>
      <w:pPr>
        <w:ind w:left="420" w:leftChars="200"/>
        <w:outlineLvl w:val="1"/>
        <w:rPr>
          <w:rFonts w:ascii="楷体" w:hAnsi="楷体" w:eastAsia="楷体"/>
          <w:b/>
          <w:sz w:val="24"/>
          <w:szCs w:val="24"/>
        </w:rPr>
      </w:pPr>
      <w:bookmarkStart w:id="43" w:name="_Toc2665"/>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供强需弱格局下，期价利多驱动不足</w:t>
      </w:r>
      <w:bookmarkEnd w:id="43"/>
    </w:p>
    <w:p>
      <w:pPr>
        <w:ind w:left="630" w:leftChars="300"/>
        <w:rPr>
          <w:rFonts w:ascii="楷体" w:hAnsi="楷体" w:eastAsia="楷体"/>
          <w:sz w:val="24"/>
          <w:szCs w:val="24"/>
        </w:rPr>
      </w:pPr>
      <w:r>
        <w:rPr>
          <w:rFonts w:hint="eastAsia" w:ascii="楷体" w:hAnsi="楷体" w:eastAsia="楷体"/>
          <w:sz w:val="24"/>
          <w:szCs w:val="24"/>
        </w:rPr>
        <w:t>因为天气预报称巴西干旱的农业产区将在未来几天迎来一些急需的降雨，CBOT大豆收跌，短期维持1300上方震荡。随着美豆定产后，市场定价中心逐步转向南美，巴西天气不确定性较大，目前种植进度落后于去年同期及五年均值水平为91%，虽当前美农报告对南美产量调整不及预期，但中长期南美丰产预期能否兑现仍是后续价格走势的关键，关注巴西后续天气及种植情况，现阶段天气扰动较大。国内豆粕延续供强需弱格局，供应端进入11月份后，随着进口大豆到港增加，油厂大豆库存维持高位，油厂开机率提升，豆粕产出增加，但下游成交未见明显好转，豆粕库存较前一周增至76.08万吨，当前沿海主流油厂豆粕现货报价下调至3900-3960元/吨。但11月份进口大豆到港不及预期，为792万吨，叠加近期华北延迟卸港问题，供应端担忧仍存。需求，下游生猪养殖利润维持亏损，但在能繁存栏高位下，下游随采随用，保持安全库存。菜粕供应存宽松预期。在11月份后随着菜籽进口增加，菜粕供应预计转宽，目前菜籽库存以及油厂开机均有明显提升。而需求方面，随着水产消费旺季的结束，菜粕刚需减少，但在豆菜粕价差较大下提振菜粕的替代需求。策略方面，短期震荡调整，建议豆粕短线顺势操作，05暂看波动区间3350-3550，菜粕建议短线逢高空，近月压力仍较大，可关注3-5反套机会。</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4" w:name="_Toc25595"/>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上行驱动不足，震荡整理</w:t>
      </w:r>
      <w:bookmarkEnd w:id="44"/>
    </w:p>
    <w:p>
      <w:pPr>
        <w:ind w:left="630" w:leftChars="300"/>
        <w:rPr>
          <w:rFonts w:ascii="楷体" w:hAnsi="楷体" w:eastAsia="楷体"/>
          <w:sz w:val="24"/>
          <w:szCs w:val="24"/>
        </w:rPr>
      </w:pPr>
      <w:r>
        <w:rPr>
          <w:rFonts w:hint="eastAsia" w:ascii="楷体" w:hAnsi="楷体" w:eastAsia="楷体"/>
          <w:sz w:val="24"/>
          <w:szCs w:val="24"/>
        </w:rPr>
        <w:t>油脂随外部市场企稳反弹，但因国内高库存压制，油脂上行驱动不足，但当前节前备货支撑，预计区间震荡。棕榈油，产地11月份进入季节性减产周期，库存压力逐步释放，但中长期在厄尔尼诺现象扰动下，价格下方存支撑，天气仍需持续关注。印尼棕榈油9月份产需双增，但产量增幅不及需求，库存环比下降。而马棕11月份产需双降，因产量降幅略高于预期，库存降幅环比达1.09%，市场担忧供应减少带动库存下滑。四季度主要关注厄尔尼诺对产量的扰动，为中长期潜在利多驱动。国内棕榈油9-10月份进口到港维持高位，但在高库存抑制下后续进口预计减少，最新商业库存增至97.51万吨，处于同期高位。需求端，因节前备货，叠加价格优势显著，提振下游采购需求。豆油存供需双增预期。国内随着11月后进口大豆到港增加，油厂开机有所回升，豆油供应预计将得到补充。需求端，虽四季度为豆油消费旺季，部分掺混需求预计转向豆油，但当前价格优势并不明显，限制替代需求，终端需求并未有亮眼表现。菜油预计供需双旺，阶段性供应压力较大。当前主产地菜籽新作处于出口阶段，集中上市压力也抑制期价走势。随着11月份后进口菜籽到港增加，菜籽开机及压榨水平提升，10月菜籽进口3.4万吨，环比减89%，四季度菜籽及菜油供给预期宽松。需求方面，与豆油价差持续收窄，部分地区出现与豆油价格平水情况，下游备货需求较好。短期油脂预计震荡整理，上方压力仍存，空单谨慎持有，暂看反弹持续性；中长期关注天气及需求表现，维持谨慎看多观点，关注做多油粕比机会。</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5" w:name="_Toc795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夜盘期价小幅反弹</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市场看空逻辑有二，中期来看，供应即产量增加的背景之下，市场预计需求特别是猪料下降，产需缺口收窄，当前期价所反映的是预期是不需要国产小麦和陈化水稻即可加以补充；短期来看，则是余粮压力背景之下，进口大量到港，而中下游建库意愿低迷，上游即农户需要低价售粮，让利于中下游。但持续下跌之后，风险亦随之而来，中期风险在于错判产需求缺口，其一方面源于内外价差收窄之后将抑制后期高粱和大麦进口，另一方面则在于市场可能低估了下游需求特别是饲用需求；短期风险则在于成本下方继续催生惜售心理，市场进一步压缩渠道库存，而春节前下游特别是饲料养殖行业需要备货。考虑到市场看空逻辑尚无法证伪，但存在较大风险，维持中性观点，后期或转向看多，建议投资者暂以观望为宜。</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行业副产品端则相对利多，现货基差带来较大支撑，而行业供需端亦略有改善，最大的利空来自于原料成本端，在这种情况下，单边风险相对较大，而价差套利则值得考虑。在这种情况下，我们维持中性观点，单边建议暂以观望为宜，可轻仓参与淀粉-玉米价差走扩套利。</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6" w:name="_Toc10750"/>
      <w:r>
        <w:rPr>
          <w:rFonts w:hint="eastAsia" w:ascii="楷体" w:hAnsi="楷体" w:eastAsia="楷体"/>
          <w:b/>
          <w:bCs/>
          <w:color w:val="000000" w:themeColor="text1"/>
          <w14:textFill>
            <w14:solidFill>
              <w14:schemeClr w14:val="tx1"/>
            </w14:solidFill>
          </w14:textFill>
        </w:rPr>
        <w:t>畜禽养殖：新增仓单带动生猪期现背离</w:t>
      </w:r>
      <w:bookmarkEnd w:id="4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在前期报告中我们指出，分合约来看，近月即1月合约需要继续留意被动性出栏的情况，因从养殖利润和价差结构来看，主动提前出栏的积极性趋于下降，此外，需求端亦有可能趋于改善，因目前逐步进入春节前需求旺季，其反弹的可能性更大，但合约存续期相对受限。对于3月和5月合约而言，其不确定性主要源于生猪提前出栏的数量，参考农业农村部公布的季度末存栏和各家机构公布的出栏数据（商务部公布的规模以上屠宰企业屠宰量、涌益咨询公布的屠宰开机率和日度屠宰量）来看，3季度仔猪增量对应明年1季度出栏量依然较大。对于更远期合约而言，其不确定性则源于生猪产能去化的幅度， 其一可以参考去年现货崩盘后产能去化幅度，其二则是规模企业当前已公布的出栏目标。在近期现货大幅反弹之后，行业出栏积极性有望继续回升，而市场悲观氛围或再度来袭，这意味着短期期价或趋于回落或震荡调整，这个过程中需要特别留意现货和基差走势。综上所述，基于各合约不确定性的考虑，维持中性观点，建议投资者观望为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从供需角度看，卓创资讯数据显示，在产蛋鸡存栏连续环比增加，考虑到今年节后以来蛋鸡苗销量均同比增加，而蛋鸡淘汰量持续处于历史低位水平，蛋鸡淘汰日龄则持续位于历史同期高位，由此可以看出，后期鸡蛋供需有望继续趋于改善，叠加整个动物蛋白供需过剩的大背景，鸡蛋期现货价格或仍有下跌空间。在这种情况下，接下来一方面需要留意养殖户淘汰和补栏积极性的变化，因其影响远期供需预期，另一方面需要留意行业现货库存变动，因其影响接下来特别是春节前后现货波动节奏。在这种情况下，市场将根据季节性旺季期间的现货表现来判断接下来特别是春节后的鸡蛋供需状况，另一个重要因素则是短期的基差变动情况。在这种情况下，我们维持中性观点，建议投资者观望为宜。</w:t>
      </w:r>
    </w:p>
    <w:p>
      <w:pPr>
        <w:ind w:firstLine="480" w:firstLineChars="200"/>
        <w:rPr>
          <w:rFonts w:ascii="楷体" w:hAnsi="楷体" w:eastAsia="楷体"/>
          <w:sz w:val="24"/>
          <w:szCs w:val="24"/>
        </w:rPr>
      </w:pPr>
    </w:p>
    <w:p>
      <w:pPr>
        <w:ind w:left="420" w:leftChars="200"/>
        <w:outlineLvl w:val="1"/>
        <w:rPr>
          <w:rFonts w:ascii="楷体" w:hAnsi="楷体" w:eastAsia="楷体"/>
          <w:b/>
          <w:sz w:val="24"/>
          <w:szCs w:val="24"/>
        </w:rPr>
      </w:pPr>
      <w:bookmarkStart w:id="47" w:name="_Toc22916"/>
      <w:r>
        <w:rPr>
          <w:rFonts w:hint="eastAsia" w:ascii="楷体" w:hAnsi="楷体" w:eastAsia="楷体"/>
          <w:b/>
          <w:sz w:val="24"/>
          <w:szCs w:val="24"/>
        </w:rPr>
        <w:t>郑棉：震荡偏弱</w:t>
      </w:r>
      <w:bookmarkEnd w:id="47"/>
    </w:p>
    <w:p>
      <w:pPr>
        <w:ind w:left="630" w:leftChars="300"/>
        <w:rPr>
          <w:rFonts w:ascii="楷体" w:hAnsi="楷体" w:eastAsia="楷体"/>
          <w:sz w:val="24"/>
          <w:szCs w:val="24"/>
        </w:rPr>
      </w:pPr>
      <w:r>
        <w:rPr>
          <w:rFonts w:hint="eastAsia" w:ascii="楷体" w:hAnsi="楷体" w:eastAsia="楷体"/>
          <w:sz w:val="24"/>
          <w:szCs w:val="24"/>
        </w:rPr>
        <w:t>因加工进度较快，国内11月工商业库存攀升至7年来最高水平。叠加进口环比继续增加，短期内供应十分充沛。纱线和坯布库存依然处于高位，而原料库存同比大幅增加，纺织企业的补库需求远低于去年同期，产业负反馈需要时间进行消化，纺织利润改善不易。郑棉仓单急速增加，仓单加有效预报已过万张，仓单与套保压力始终压制着棉花反弹高度。预计05在15000-15500元/吨区间内弱势震荡，或将在试探1.5万/吨关口。</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8" w:name="_Toc2930"/>
      <w:r>
        <w:rPr>
          <w:rFonts w:hint="eastAsia" w:ascii="楷体" w:hAnsi="楷体" w:eastAsia="楷体"/>
          <w:b/>
          <w:sz w:val="24"/>
          <w:szCs w:val="24"/>
        </w:rPr>
        <w:t>白糖：震荡偏弱</w:t>
      </w:r>
      <w:bookmarkEnd w:id="48"/>
    </w:p>
    <w:p>
      <w:pPr>
        <w:ind w:left="630" w:leftChars="300"/>
        <w:rPr>
          <w:rFonts w:ascii="楷体" w:hAnsi="楷体" w:eastAsia="楷体"/>
          <w:sz w:val="24"/>
          <w:szCs w:val="24"/>
        </w:rPr>
      </w:pPr>
      <w:r>
        <w:rPr>
          <w:rFonts w:hint="eastAsia" w:ascii="楷体" w:hAnsi="楷体" w:eastAsia="楷体"/>
          <w:sz w:val="24"/>
          <w:szCs w:val="24"/>
        </w:rPr>
        <w:t>咨询机构StoneX预计巴西中南部地区2024/25年度糖产量预计达到创纪录的4320万吨，较上年增长3.3%。巴西糖厂预计在2024/25年度将51.4%的甘蔗用于制糖，高于上年的49%。印度行政干预使得甘蔗用于生产白糖而非乙醇。国内新糖上市，传闻本榨季广西有望增产15%—20%。元旦和春节备货进行中，但似乎未能有效支撑价格反弹，多头资金继续平仓离场，内外糖价继续下行寻底。</w:t>
      </w: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9" w:name="_Toc24726"/>
      <w:r>
        <w:rPr>
          <w:rFonts w:hint="eastAsia" w:ascii="Times New Roman" w:hAnsi="Times New Roman" w:eastAsia="楷体"/>
          <w:b/>
          <w:color w:val="823C0B"/>
          <w:sz w:val="30"/>
          <w:szCs w:val="30"/>
        </w:rPr>
        <w:t>[指数]</w:t>
      </w:r>
      <w:bookmarkEnd w:id="4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0" w:name="_Toc23309"/>
      <w:r>
        <w:rPr>
          <w:rFonts w:hint="eastAsia" w:ascii="Times New Roman" w:hAnsi="Times New Roman" w:eastAsia="楷体"/>
          <w:b/>
          <w:color w:val="000000" w:themeColor="text1"/>
          <w:sz w:val="24"/>
          <w:szCs w:val="24"/>
          <w14:textFill>
            <w14:solidFill>
              <w14:schemeClr w14:val="tx1"/>
            </w14:solidFill>
          </w14:textFill>
        </w:rPr>
        <w:t>集运指数（欧线）：红海事件升级之际船司继续提高运价，留意短期上行风险</w:t>
      </w:r>
      <w:bookmarkEnd w:id="50"/>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红海商船受袭事件不断升级，过去一个月该地区至少有 13 艘船舶（共计80万总吨）遭受袭击，仅18日当天发生4起以上。四大船公司马士基、赫伯罗特、MSC和CMA CGM相继决定将旗下船舶暂停通过曼德海峡/红海。根据测算，将会导致亚欧航线有效运力损失10%以上。苏伊士运河航线若不能通行，需绕道好望角航线，时间需增加10天左右，成本将大幅增加，并且造成拥堵现象，将冲击供应端。</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马士基近日宣布在1月15日提高运费，较之前最新价格上涨约23%。支撑期货价格不断上涨，创下上市以来最高收盘价的记录。</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目前短期风险较大，需关注停航时长、规模所带来的连锁影响，以及长期供强需弱格局逻辑的回归，操作上建议谨慎关注。</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51" w:name="_Toc12779"/>
      <w:bookmarkStart w:id="52" w:name="_Toc72481108"/>
      <w:bookmarkStart w:id="53" w:name="_Toc19667"/>
      <w:bookmarkStart w:id="54" w:name="_Toc98426751"/>
      <w:bookmarkStart w:id="55" w:name="_Toc71212556"/>
      <w:r>
        <w:rPr>
          <w:rFonts w:ascii="Times New Roman" w:hAnsi="Times New Roman" w:eastAsia="楷体"/>
          <w:b/>
          <w:color w:val="411D05"/>
          <w:sz w:val="30"/>
          <w:szCs w:val="30"/>
        </w:rPr>
        <w:t>免责声明</w:t>
      </w:r>
      <w:bookmarkEnd w:id="51"/>
      <w:bookmarkEnd w:id="52"/>
      <w:bookmarkEnd w:id="53"/>
      <w:bookmarkEnd w:id="54"/>
      <w:bookmarkEnd w:id="55"/>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2023年12月20日星期三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8F320AA"/>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CB522F"/>
    <w:rsid w:val="58246D5D"/>
    <w:rsid w:val="59C52328"/>
    <w:rsid w:val="5B906095"/>
    <w:rsid w:val="5BF60A75"/>
    <w:rsid w:val="5C9F2D01"/>
    <w:rsid w:val="5D5617A6"/>
    <w:rsid w:val="5EA7685B"/>
    <w:rsid w:val="619A2BBF"/>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5A5FEF"/>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2023-12-20T06:09:13Z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