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_Toc19333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_Toc6781 </w:instrText>
          </w:r>
          <w:r>
            <w:rPr>
              <w:bCs/>
            </w:rPr>
            <w:fldChar w:fldCharType="separate"/>
          </w:r>
          <w:r>
            <w:rPr>
              <w:rFonts w:hint="eastAsia" w:ascii="Times New Roman" w:hAnsi="Times New Roman" w:eastAsia="楷体"/>
              <w:szCs w:val="24"/>
            </w:rPr>
            <w:t>股指：波段操作，低吸IM多单</w:t>
          </w:r>
          <w:r>
            <w:rPr>
              <w:bCs/>
            </w:rPr>
            <w:fldChar w:fldCharType="end"/>
          </w:r>
        </w:p>
        <w:p>
          <w:pPr>
            <w:pStyle w:val="59"/>
            <w:tabs>
              <w:tab w:val="right" w:leader="dot" w:pos="8306"/>
            </w:tabs>
          </w:pPr>
          <w:r>
            <w:rPr>
              <w:bCs/>
            </w:rPr>
            <w:fldChar w:fldCharType="begin"/>
          </w:r>
          <w:r>
            <w:rPr>
              <w:bCs/>
            </w:rPr>
            <w:instrText xml:space="preserve"> HYPERLINK \l _Toc7379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_Toc8389 </w:instrText>
          </w:r>
          <w:r>
            <w:rPr>
              <w:bCs/>
            </w:rPr>
            <w:fldChar w:fldCharType="separate"/>
          </w:r>
          <w:r>
            <w:rPr>
              <w:rFonts w:hint="eastAsia" w:ascii="Times New Roman" w:hAnsi="Times New Roman" w:eastAsia="楷体"/>
              <w:szCs w:val="24"/>
            </w:rPr>
            <w:t>贵金属：美联储官员讲话淡化降息预期，贵金属价格窄幅震荡</w:t>
          </w:r>
          <w:r>
            <w:rPr>
              <w:bCs/>
            </w:rPr>
            <w:fldChar w:fldCharType="end"/>
          </w:r>
        </w:p>
        <w:p>
          <w:pPr>
            <w:pStyle w:val="59"/>
            <w:tabs>
              <w:tab w:val="right" w:leader="dot" w:pos="8306"/>
            </w:tabs>
          </w:pPr>
          <w:r>
            <w:rPr>
              <w:bCs/>
            </w:rPr>
            <w:fldChar w:fldCharType="begin"/>
          </w:r>
          <w:r>
            <w:rPr>
              <w:bCs/>
            </w:rPr>
            <w:instrText xml:space="preserve"> HYPERLINK \l _Toc10753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_Toc27973 </w:instrText>
          </w:r>
          <w:r>
            <w:rPr>
              <w:bCs/>
            </w:rPr>
            <w:fldChar w:fldCharType="separate"/>
          </w:r>
          <w:r>
            <w:rPr>
              <w:rFonts w:hint="eastAsia" w:ascii="楷体" w:hAnsi="楷体" w:eastAsia="楷体"/>
              <w:szCs w:val="24"/>
            </w:rPr>
            <w:t>碳酸锂：现货价格低位回升，期价小幅下跌</w:t>
          </w:r>
          <w:r>
            <w:rPr>
              <w:bCs/>
            </w:rPr>
            <w:fldChar w:fldCharType="end"/>
          </w:r>
        </w:p>
        <w:p>
          <w:pPr>
            <w:pStyle w:val="74"/>
            <w:tabs>
              <w:tab w:val="right" w:leader="dot" w:pos="8306"/>
            </w:tabs>
          </w:pPr>
          <w:r>
            <w:rPr>
              <w:bCs/>
            </w:rPr>
            <w:fldChar w:fldCharType="begin"/>
          </w:r>
          <w:r>
            <w:rPr>
              <w:bCs/>
            </w:rPr>
            <w:instrText xml:space="preserve"> HYPERLINK \l _Toc27642 </w:instrText>
          </w:r>
          <w:r>
            <w:rPr>
              <w:bCs/>
            </w:rPr>
            <w:fldChar w:fldCharType="separate"/>
          </w:r>
          <w:r>
            <w:rPr>
              <w:rFonts w:hint="eastAsia" w:ascii="楷体" w:hAnsi="楷体" w:eastAsia="楷体"/>
              <w:szCs w:val="24"/>
            </w:rPr>
            <w:t>螺纹钢：短期继续偏弱调整，等待企稳</w:t>
          </w:r>
          <w:r>
            <w:rPr>
              <w:bCs/>
            </w:rPr>
            <w:fldChar w:fldCharType="end"/>
          </w:r>
        </w:p>
        <w:p>
          <w:pPr>
            <w:pStyle w:val="74"/>
            <w:tabs>
              <w:tab w:val="right" w:leader="dot" w:pos="8306"/>
            </w:tabs>
          </w:pPr>
          <w:r>
            <w:rPr>
              <w:bCs/>
            </w:rPr>
            <w:fldChar w:fldCharType="begin"/>
          </w:r>
          <w:r>
            <w:rPr>
              <w:bCs/>
            </w:rPr>
            <w:instrText xml:space="preserve"> HYPERLINK \l _Toc9740 </w:instrText>
          </w:r>
          <w:r>
            <w:rPr>
              <w:bCs/>
            </w:rPr>
            <w:fldChar w:fldCharType="separate"/>
          </w:r>
          <w:r>
            <w:rPr>
              <w:rFonts w:hint="eastAsia" w:ascii="楷体" w:hAnsi="楷体" w:eastAsia="楷体"/>
              <w:szCs w:val="24"/>
            </w:rPr>
            <w:t>焦炭：成本中枢下移，焦炭偏弱运行</w:t>
          </w:r>
          <w:r>
            <w:rPr>
              <w:bCs/>
            </w:rPr>
            <w:fldChar w:fldCharType="end"/>
          </w:r>
        </w:p>
        <w:p>
          <w:pPr>
            <w:pStyle w:val="74"/>
            <w:tabs>
              <w:tab w:val="right" w:leader="dot" w:pos="8306"/>
            </w:tabs>
          </w:pPr>
          <w:r>
            <w:rPr>
              <w:bCs/>
            </w:rPr>
            <w:fldChar w:fldCharType="begin"/>
          </w:r>
          <w:r>
            <w:rPr>
              <w:bCs/>
            </w:rPr>
            <w:instrText xml:space="preserve"> HYPERLINK \l _Toc26167 </w:instrText>
          </w:r>
          <w:r>
            <w:rPr>
              <w:bCs/>
            </w:rPr>
            <w:fldChar w:fldCharType="separate"/>
          </w:r>
          <w:r>
            <w:rPr>
              <w:rFonts w:hint="eastAsia" w:ascii="楷体" w:hAnsi="楷体" w:eastAsia="楷体"/>
              <w:szCs w:val="24"/>
            </w:rPr>
            <w:t>焦煤：继续补库动力不足，煤价震荡向下</w:t>
          </w:r>
          <w:r>
            <w:rPr>
              <w:bCs/>
            </w:rPr>
            <w:fldChar w:fldCharType="end"/>
          </w:r>
        </w:p>
        <w:p>
          <w:pPr>
            <w:pStyle w:val="74"/>
            <w:tabs>
              <w:tab w:val="right" w:leader="dot" w:pos="8306"/>
            </w:tabs>
          </w:pPr>
          <w:r>
            <w:rPr>
              <w:bCs/>
            </w:rPr>
            <w:fldChar w:fldCharType="begin"/>
          </w:r>
          <w:r>
            <w:rPr>
              <w:bCs/>
            </w:rPr>
            <w:instrText xml:space="preserve"> HYPERLINK \l _Toc26561 </w:instrText>
          </w:r>
          <w:r>
            <w:rPr>
              <w:bCs/>
            </w:rPr>
            <w:fldChar w:fldCharType="separate"/>
          </w:r>
          <w:r>
            <w:rPr>
              <w:rFonts w:hint="eastAsia" w:ascii="楷体" w:hAnsi="楷体" w:eastAsia="楷体"/>
              <w:szCs w:val="24"/>
            </w:rPr>
            <w:t>铜：维持高位运行</w:t>
          </w:r>
          <w:r>
            <w:rPr>
              <w:bCs/>
            </w:rPr>
            <w:fldChar w:fldCharType="end"/>
          </w:r>
        </w:p>
        <w:p>
          <w:pPr>
            <w:pStyle w:val="74"/>
            <w:tabs>
              <w:tab w:val="right" w:leader="dot" w:pos="8306"/>
            </w:tabs>
          </w:pPr>
          <w:r>
            <w:rPr>
              <w:bCs/>
            </w:rPr>
            <w:fldChar w:fldCharType="begin"/>
          </w:r>
          <w:r>
            <w:rPr>
              <w:bCs/>
            </w:rPr>
            <w:instrText xml:space="preserve"> HYPERLINK \l _Toc13680 </w:instrText>
          </w:r>
          <w:r>
            <w:rPr>
              <w:bCs/>
            </w:rPr>
            <w:fldChar w:fldCharType="separate"/>
          </w:r>
          <w:r>
            <w:rPr>
              <w:rFonts w:hint="eastAsia" w:ascii="楷体" w:hAnsi="楷体" w:eastAsia="楷体"/>
              <w:szCs w:val="24"/>
            </w:rPr>
            <w:t>铝：宏观利多叠加低库存支撑铝价偏强运行</w:t>
          </w:r>
          <w:r>
            <w:rPr>
              <w:bCs/>
            </w:rPr>
            <w:fldChar w:fldCharType="end"/>
          </w:r>
        </w:p>
        <w:p>
          <w:pPr>
            <w:pStyle w:val="74"/>
            <w:tabs>
              <w:tab w:val="right" w:leader="dot" w:pos="8306"/>
            </w:tabs>
          </w:pPr>
          <w:r>
            <w:rPr>
              <w:bCs/>
            </w:rPr>
            <w:fldChar w:fldCharType="begin"/>
          </w:r>
          <w:r>
            <w:rPr>
              <w:bCs/>
            </w:rPr>
            <w:instrText xml:space="preserve"> HYPERLINK \l _Toc19499 </w:instrText>
          </w:r>
          <w:r>
            <w:rPr>
              <w:bCs/>
            </w:rPr>
            <w:fldChar w:fldCharType="separate"/>
          </w:r>
          <w:r>
            <w:rPr>
              <w:rFonts w:hint="eastAsia" w:ascii="楷体" w:hAnsi="楷体" w:eastAsia="楷体"/>
              <w:szCs w:val="24"/>
            </w:rPr>
            <w:t>锌：锌价偏强震荡运行</w:t>
          </w:r>
          <w:r>
            <w:rPr>
              <w:bCs/>
            </w:rPr>
            <w:fldChar w:fldCharType="end"/>
          </w:r>
        </w:p>
        <w:p>
          <w:pPr>
            <w:pStyle w:val="74"/>
            <w:tabs>
              <w:tab w:val="right" w:leader="dot" w:pos="8306"/>
            </w:tabs>
          </w:pPr>
          <w:r>
            <w:rPr>
              <w:bCs/>
            </w:rPr>
            <w:fldChar w:fldCharType="begin"/>
          </w:r>
          <w:r>
            <w:rPr>
              <w:bCs/>
            </w:rPr>
            <w:instrText xml:space="preserve"> HYPERLINK \l _Toc25751 </w:instrText>
          </w:r>
          <w:r>
            <w:rPr>
              <w:bCs/>
            </w:rPr>
            <w:fldChar w:fldCharType="separate"/>
          </w:r>
          <w:r>
            <w:rPr>
              <w:rFonts w:hint="eastAsia" w:ascii="楷体" w:hAnsi="楷体" w:eastAsia="楷体"/>
              <w:szCs w:val="24"/>
            </w:rPr>
            <w:t>镍：暖风袭来，但基本面弱势仍存</w:t>
          </w:r>
          <w:r>
            <w:rPr>
              <w:bCs/>
            </w:rPr>
            <w:fldChar w:fldCharType="end"/>
          </w:r>
        </w:p>
        <w:p>
          <w:pPr>
            <w:pStyle w:val="74"/>
            <w:tabs>
              <w:tab w:val="right" w:leader="dot" w:pos="8306"/>
            </w:tabs>
          </w:pPr>
          <w:r>
            <w:rPr>
              <w:bCs/>
            </w:rPr>
            <w:fldChar w:fldCharType="begin"/>
          </w:r>
          <w:r>
            <w:rPr>
              <w:bCs/>
            </w:rPr>
            <w:instrText xml:space="preserve"> HYPERLINK \l _Toc12715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_Toc17111 </w:instrText>
          </w:r>
          <w:r>
            <w:rPr>
              <w:bCs/>
            </w:rPr>
            <w:fldChar w:fldCharType="separate"/>
          </w:r>
          <w:r>
            <w:rPr>
              <w:rFonts w:hint="eastAsia" w:ascii="楷体" w:hAnsi="楷体" w:eastAsia="楷体"/>
              <w:szCs w:val="24"/>
            </w:rPr>
            <w:t>不锈钢：暂无明显上行驱动，或窄幅震荡偏强</w:t>
          </w:r>
          <w:r>
            <w:rPr>
              <w:bCs/>
            </w:rPr>
            <w:fldChar w:fldCharType="end"/>
          </w:r>
        </w:p>
        <w:p>
          <w:pPr>
            <w:pStyle w:val="74"/>
            <w:tabs>
              <w:tab w:val="right" w:leader="dot" w:pos="8306"/>
            </w:tabs>
          </w:pPr>
          <w:r>
            <w:rPr>
              <w:bCs/>
            </w:rPr>
            <w:fldChar w:fldCharType="begin"/>
          </w:r>
          <w:r>
            <w:rPr>
              <w:bCs/>
            </w:rPr>
            <w:instrText xml:space="preserve"> HYPERLINK \l _Toc13259 </w:instrText>
          </w:r>
          <w:r>
            <w:rPr>
              <w:bCs/>
            </w:rPr>
            <w:fldChar w:fldCharType="separate"/>
          </w:r>
          <w:r>
            <w:rPr>
              <w:rFonts w:hint="eastAsia" w:ascii="楷体" w:hAnsi="楷体" w:eastAsia="楷体"/>
              <w:szCs w:val="24"/>
            </w:rPr>
            <w:t>工业硅：西南维持季节性减产，短期或震荡为主</w:t>
          </w:r>
          <w:r>
            <w:rPr>
              <w:bCs/>
            </w:rPr>
            <w:fldChar w:fldCharType="end"/>
          </w:r>
        </w:p>
        <w:p>
          <w:pPr>
            <w:pStyle w:val="59"/>
            <w:tabs>
              <w:tab w:val="right" w:leader="dot" w:pos="8306"/>
            </w:tabs>
          </w:pPr>
          <w:r>
            <w:rPr>
              <w:bCs/>
            </w:rPr>
            <w:fldChar w:fldCharType="begin"/>
          </w:r>
          <w:r>
            <w:rPr>
              <w:bCs/>
            </w:rPr>
            <w:instrText xml:space="preserve"> HYPERLINK \l _Toc2677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_Toc1304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东南亚主产区逐渐上量 天然橡胶仍有下行风险</w:t>
          </w:r>
          <w:r>
            <w:rPr>
              <w:bCs/>
            </w:rPr>
            <w:fldChar w:fldCharType="end"/>
          </w:r>
        </w:p>
        <w:p>
          <w:pPr>
            <w:pStyle w:val="74"/>
            <w:tabs>
              <w:tab w:val="right" w:leader="dot" w:pos="8306"/>
            </w:tabs>
          </w:pPr>
          <w:r>
            <w:rPr>
              <w:bCs/>
            </w:rPr>
            <w:fldChar w:fldCharType="begin"/>
          </w:r>
          <w:r>
            <w:rPr>
              <w:bCs/>
            </w:rPr>
            <w:instrText xml:space="preserve"> HYPERLINK \l _Toc26557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_Toc7380 </w:instrText>
          </w:r>
          <w:r>
            <w:rPr>
              <w:bCs/>
            </w:rPr>
            <w:fldChar w:fldCharType="separate"/>
          </w:r>
          <w:r>
            <w:rPr>
              <w:rFonts w:hint="eastAsia" w:ascii="楷体" w:hAnsi="楷体" w:eastAsia="楷体"/>
              <w:szCs w:val="24"/>
            </w:rPr>
            <w:t>聚烯烃：下游有进一步走弱的预期 聚烯烃维持低位震荡</w:t>
          </w:r>
          <w:r>
            <w:rPr>
              <w:bCs/>
            </w:rPr>
            <w:fldChar w:fldCharType="end"/>
          </w:r>
        </w:p>
        <w:p>
          <w:pPr>
            <w:pStyle w:val="74"/>
            <w:tabs>
              <w:tab w:val="right" w:leader="dot" w:pos="8306"/>
            </w:tabs>
          </w:pPr>
          <w:r>
            <w:rPr>
              <w:bCs/>
            </w:rPr>
            <w:fldChar w:fldCharType="begin"/>
          </w:r>
          <w:r>
            <w:rPr>
              <w:bCs/>
            </w:rPr>
            <w:instrText xml:space="preserve"> HYPERLINK \l _Toc10345 </w:instrText>
          </w:r>
          <w:r>
            <w:rPr>
              <w:bCs/>
            </w:rPr>
            <w:fldChar w:fldCharType="separate"/>
          </w:r>
          <w:r>
            <w:rPr>
              <w:rFonts w:hint="eastAsia" w:ascii="楷体" w:hAnsi="楷体" w:eastAsia="楷体"/>
              <w:szCs w:val="24"/>
            </w:rPr>
            <w:t>MEG：供需格局转好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_Toc32590 </w:instrText>
          </w:r>
          <w:r>
            <w:rPr>
              <w:bCs/>
            </w:rPr>
            <w:fldChar w:fldCharType="separate"/>
          </w:r>
          <w:r>
            <w:rPr>
              <w:rFonts w:hint="eastAsia" w:ascii="楷体" w:hAnsi="楷体" w:eastAsia="楷体"/>
              <w:szCs w:val="24"/>
            </w:rPr>
            <w:t>玻璃：周末产销回落，期价承压</w:t>
          </w:r>
          <w:r>
            <w:rPr>
              <w:bCs/>
            </w:rPr>
            <w:fldChar w:fldCharType="end"/>
          </w:r>
        </w:p>
        <w:p>
          <w:pPr>
            <w:pStyle w:val="74"/>
            <w:tabs>
              <w:tab w:val="right" w:leader="dot" w:pos="8306"/>
            </w:tabs>
          </w:pPr>
          <w:r>
            <w:rPr>
              <w:bCs/>
            </w:rPr>
            <w:fldChar w:fldCharType="begin"/>
          </w:r>
          <w:r>
            <w:rPr>
              <w:bCs/>
            </w:rPr>
            <w:instrText xml:space="preserve"> HYPERLINK \l _Toc24351 </w:instrText>
          </w:r>
          <w:r>
            <w:rPr>
              <w:bCs/>
            </w:rPr>
            <w:fldChar w:fldCharType="separate"/>
          </w:r>
          <w:r>
            <w:rPr>
              <w:rFonts w:hint="eastAsia" w:ascii="楷体" w:hAnsi="楷体" w:eastAsia="楷体"/>
              <w:szCs w:val="24"/>
            </w:rPr>
            <w:t>纯碱：现货稳价期，宽幅震荡</w:t>
          </w:r>
          <w:r>
            <w:rPr>
              <w:bCs/>
            </w:rPr>
            <w:fldChar w:fldCharType="end"/>
          </w:r>
        </w:p>
        <w:p>
          <w:pPr>
            <w:pStyle w:val="59"/>
            <w:tabs>
              <w:tab w:val="right" w:leader="dot" w:pos="8306"/>
            </w:tabs>
          </w:pPr>
          <w:r>
            <w:rPr>
              <w:bCs/>
            </w:rPr>
            <w:fldChar w:fldCharType="begin"/>
          </w:r>
          <w:r>
            <w:rPr>
              <w:bCs/>
            </w:rPr>
            <w:instrText xml:space="preserve"> HYPERLINK \l _Toc24031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_Toc25590 </w:instrText>
          </w:r>
          <w:r>
            <w:rPr>
              <w:bCs/>
            </w:rPr>
            <w:fldChar w:fldCharType="separate"/>
          </w:r>
          <w:r>
            <w:rPr>
              <w:rFonts w:hint="eastAsia" w:ascii="楷体" w:hAnsi="楷体" w:eastAsia="楷体"/>
              <w:szCs w:val="24"/>
            </w:rPr>
            <w:t>豆粕/菜粕：成本端带来支撑，但供强需弱格局仍施压</w:t>
          </w:r>
          <w:r>
            <w:rPr>
              <w:bCs/>
            </w:rPr>
            <w:fldChar w:fldCharType="end"/>
          </w:r>
        </w:p>
        <w:p>
          <w:pPr>
            <w:pStyle w:val="74"/>
            <w:tabs>
              <w:tab w:val="right" w:leader="dot" w:pos="8306"/>
            </w:tabs>
          </w:pPr>
          <w:r>
            <w:rPr>
              <w:bCs/>
            </w:rPr>
            <w:fldChar w:fldCharType="begin"/>
          </w:r>
          <w:r>
            <w:rPr>
              <w:bCs/>
            </w:rPr>
            <w:instrText xml:space="preserve"> HYPERLINK \l _Toc29657 </w:instrText>
          </w:r>
          <w:r>
            <w:rPr>
              <w:bCs/>
            </w:rPr>
            <w:fldChar w:fldCharType="separate"/>
          </w:r>
          <w:r>
            <w:rPr>
              <w:rFonts w:hint="eastAsia" w:ascii="楷体" w:hAnsi="楷体" w:eastAsia="楷体"/>
              <w:szCs w:val="24"/>
            </w:rPr>
            <w:t>油脂：支撑力度或不足，预计偏弱震荡</w:t>
          </w:r>
          <w:r>
            <w:rPr>
              <w:bCs/>
            </w:rPr>
            <w:fldChar w:fldCharType="end"/>
          </w:r>
        </w:p>
        <w:p>
          <w:pPr>
            <w:pStyle w:val="74"/>
            <w:tabs>
              <w:tab w:val="right" w:leader="dot" w:pos="8306"/>
            </w:tabs>
          </w:pPr>
          <w:r>
            <w:rPr>
              <w:bCs/>
            </w:rPr>
            <w:fldChar w:fldCharType="begin"/>
          </w:r>
          <w:r>
            <w:rPr>
              <w:bCs/>
            </w:rPr>
            <w:instrText xml:space="preserve"> HYPERLINK \l _Toc8747 </w:instrText>
          </w:r>
          <w:r>
            <w:rPr>
              <w:bCs/>
            </w:rPr>
            <w:fldChar w:fldCharType="separate"/>
          </w:r>
          <w:r>
            <w:rPr>
              <w:rFonts w:hint="eastAsia" w:ascii="楷体" w:hAnsi="楷体" w:eastAsia="楷体"/>
              <w:bCs/>
            </w:rPr>
            <w:t>玉米与淀粉：</w:t>
          </w:r>
          <w:r>
            <w:rPr>
              <w:rFonts w:hint="eastAsia" w:ascii="楷体" w:hAnsi="楷体" w:eastAsia="楷体"/>
            </w:rPr>
            <w:t>淀粉-玉米价差走扩</w:t>
          </w:r>
          <w:r>
            <w:rPr>
              <w:bCs/>
            </w:rPr>
            <w:fldChar w:fldCharType="end"/>
          </w:r>
        </w:p>
        <w:p>
          <w:pPr>
            <w:pStyle w:val="74"/>
            <w:tabs>
              <w:tab w:val="right" w:leader="dot" w:pos="8306"/>
            </w:tabs>
          </w:pPr>
          <w:r>
            <w:rPr>
              <w:bCs/>
            </w:rPr>
            <w:fldChar w:fldCharType="begin"/>
          </w:r>
          <w:r>
            <w:rPr>
              <w:bCs/>
            </w:rPr>
            <w:instrText xml:space="preserve"> HYPERLINK \l _Toc28655 </w:instrText>
          </w:r>
          <w:r>
            <w:rPr>
              <w:bCs/>
            </w:rPr>
            <w:fldChar w:fldCharType="separate"/>
          </w:r>
          <w:r>
            <w:rPr>
              <w:rFonts w:hint="eastAsia" w:ascii="楷体" w:hAnsi="楷体" w:eastAsia="楷体"/>
              <w:bCs/>
            </w:rPr>
            <w:t>畜禽养殖：鸡蛋现货弱势带动期价特别是近月大幅下跌</w:t>
          </w:r>
          <w:r>
            <w:rPr>
              <w:bCs/>
            </w:rPr>
            <w:fldChar w:fldCharType="end"/>
          </w:r>
        </w:p>
        <w:p>
          <w:pPr>
            <w:pStyle w:val="74"/>
            <w:tabs>
              <w:tab w:val="right" w:leader="dot" w:pos="8306"/>
            </w:tabs>
          </w:pPr>
          <w:r>
            <w:rPr>
              <w:bCs/>
            </w:rPr>
            <w:fldChar w:fldCharType="begin"/>
          </w:r>
          <w:r>
            <w:rPr>
              <w:bCs/>
            </w:rPr>
            <w:instrText xml:space="preserve"> HYPERLINK \l _Toc25705 </w:instrText>
          </w:r>
          <w:r>
            <w:rPr>
              <w:bCs/>
            </w:rPr>
            <w:fldChar w:fldCharType="separate"/>
          </w:r>
          <w:r>
            <w:rPr>
              <w:rFonts w:hint="eastAsia" w:ascii="楷体" w:hAnsi="楷体" w:eastAsia="楷体"/>
              <w:szCs w:val="24"/>
            </w:rPr>
            <w:t>郑棉：区间弱势震荡整理</w:t>
          </w:r>
          <w:r>
            <w:rPr>
              <w:bCs/>
            </w:rPr>
            <w:fldChar w:fldCharType="end"/>
          </w:r>
        </w:p>
        <w:p>
          <w:pPr>
            <w:pStyle w:val="74"/>
            <w:tabs>
              <w:tab w:val="right" w:leader="dot" w:pos="8306"/>
            </w:tabs>
          </w:pPr>
          <w:r>
            <w:rPr>
              <w:bCs/>
            </w:rPr>
            <w:fldChar w:fldCharType="begin"/>
          </w:r>
          <w:r>
            <w:rPr>
              <w:bCs/>
            </w:rPr>
            <w:instrText xml:space="preserve"> HYPERLINK \l _Toc30172 </w:instrText>
          </w:r>
          <w:r>
            <w:rPr>
              <w:bCs/>
            </w:rPr>
            <w:fldChar w:fldCharType="separate"/>
          </w:r>
          <w:r>
            <w:rPr>
              <w:rFonts w:hint="eastAsia" w:ascii="楷体" w:hAnsi="楷体" w:eastAsia="楷体"/>
              <w:szCs w:val="24"/>
            </w:rPr>
            <w:t>白糖：震荡偏弱</w:t>
          </w:r>
          <w:r>
            <w:rPr>
              <w:bCs/>
            </w:rPr>
            <w:fldChar w:fldCharType="end"/>
          </w:r>
        </w:p>
        <w:p>
          <w:pPr>
            <w:pStyle w:val="59"/>
            <w:tabs>
              <w:tab w:val="right" w:leader="dot" w:pos="8306"/>
            </w:tabs>
          </w:pPr>
          <w:r>
            <w:rPr>
              <w:bCs/>
            </w:rPr>
            <w:fldChar w:fldCharType="begin"/>
          </w:r>
          <w:r>
            <w:rPr>
              <w:bCs/>
            </w:rPr>
            <w:instrText xml:space="preserve"> HYPERLINK \l _Toc7242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_Toc25179 </w:instrText>
          </w:r>
          <w:r>
            <w:rPr>
              <w:bCs/>
            </w:rPr>
            <w:fldChar w:fldCharType="separate"/>
          </w:r>
          <w:r>
            <w:rPr>
              <w:rFonts w:hint="eastAsia" w:ascii="Times New Roman" w:hAnsi="Times New Roman" w:eastAsia="楷体"/>
              <w:szCs w:val="24"/>
            </w:rPr>
            <w:t>集运指数（欧线）：红海局势紧张船司宣布停航，欧线运价急速上涨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933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678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波段操作，低吸IM多单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由于多因素影响，市场信心严重不足，加之资金面压力仍存， 市场风险偏好短期内难提升，大盘盘中仍有回调压力。但若创新低，2923 点，则日线 MACD 指标将底背离，技术上存在较强的反弹要求，反弹高度与量能成正比。但我们认为，无论 2923 点破与不破，跨年行情依旧存在，首先是内外政策环境有望让市场中期流动性压力缓解，其次是跨年短期流动性偏紧态势有望逐步得到改善，再者就是大盘的回落及对春季行情的预期吸引场外资金提前入场。综合来说，以低吸思路为主，逢低轻仓布局IM多单。</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7379"/>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8389"/>
      <w:r>
        <w:rPr>
          <w:rFonts w:hint="eastAsia" w:ascii="Times New Roman" w:hAnsi="Times New Roman" w:eastAsia="楷体"/>
          <w:b/>
          <w:color w:val="000000" w:themeColor="text1"/>
          <w:sz w:val="24"/>
          <w:szCs w:val="24"/>
          <w14:textFill>
            <w14:solidFill>
              <w14:schemeClr w14:val="tx1"/>
            </w14:solidFill>
          </w14:textFill>
        </w:rPr>
        <w:t>贵金属：美联储官员讲话淡化降息预期，贵金属价格窄幅震荡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跌0.09%至102.50，美十债收益率微涨1.7bp至3.934%，沪金涨0.14%，沪银跌0.10%。美联储官员讲话淡化市场降息预期，美联储梅斯特表示，市场的降息预期略微超前于美联储，下一阶段关键在于货币政策需要保持紧缩多久。美联储古尔斯比表示，美联储不应根据市场反应来行动；市场当前消化的降息幅度超过美联储预测。美联储戴利则表示，2024年降息可能是适当的；可能需要在2024年进行三次降息。美联储表态朝向鸽派立场转变，后续市场交易逻辑从围绕“什么时候降息”转向“降息多少”，而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1075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7973"/>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碳酸锂：现货价格低位回升，期价小幅下跌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低位回升，电碳价格上涨2000元/吨至105000元/吨，工碳价格上涨2000元/吨至98000元/吨。期货价格昨日盘初上涨，午后转跌，07合约收跌2.28%至102750元/吨。11月国内碳酸锂产量43093吨，环比增7%，同比增18%。11月动力电池产量62.8GWh，环比跌5%，同比跌9%。广期所宣布，自12月20日结算时起，碳酸锂期货LC2401、LC2402合约交易保证金标准调整为20%；自12月20日交易时起，碳酸锂期货LC2407合约交易手续费标准调整为成交金额万分之三点二，日内平今仓交易手续费标准调整为成交金额万分之三点二。期价下跌至9-10万元/吨附近后相对接近自有矿石提锂成本线，盘面震荡幅度加大，持续亏损下部分锂企存在减产预期。现货基本面未发生重大改善，下游需求偏弱。近期资金博弈有所加剧，建议谨慎观望，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7642"/>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短期继续偏弱调整，等待企稳</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钢厂陆续披露冬储政策，市场或逐渐进入冬储博弈阶段，市场对未来的预期对价格影响更大。重大会议精神偏温和刺激，前期市场预期较足，短期回调溢价部分，预计震荡向下测试底部支撑，关注市场补库动作。</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9740"/>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成本中枢下移，焦炭偏弱运行</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下游库存相对健康，成材利润偏低情况下，下游继续补库动力不足，煤价偏弱运行，成本中枢下移，焦炭随成材偏弱运行。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6167"/>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继续补库动力不足，煤价震荡向下</w:t>
      </w:r>
      <w:bookmarkEnd w:id="22"/>
    </w:p>
    <w:p>
      <w:pPr>
        <w:ind w:left="630" w:leftChars="300"/>
        <w:rPr>
          <w:rFonts w:ascii="楷体" w:hAnsi="楷体" w:eastAsia="楷体"/>
          <w:bCs/>
          <w:sz w:val="24"/>
          <w:szCs w:val="24"/>
        </w:rPr>
      </w:pPr>
      <w:r>
        <w:rPr>
          <w:rFonts w:hint="eastAsia" w:ascii="楷体" w:hAnsi="楷体" w:eastAsia="楷体"/>
          <w:sz w:val="24"/>
          <w:szCs w:val="24"/>
        </w:rPr>
        <w:t>下游刚经历一轮补库，整体库存处于合理水平，短期上行驱动不强。煤矿仍处于低产、低库存状态，叠加仍有部分冬储量未完成，盘面绝对价格下移后仍有支撑。短期煤价高位随钢价震荡下行，相对偏弱。</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26561"/>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维持高位运行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(1)库存：12月18日，SHFE仓单库存12855吨，增777吨；LME仓单库存172450吨，减3100吨。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(2)精废价差：12月18日，Mysteel精废价差1778，收窄84。目前价差在合理价差1388之上。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元指数止跌反弹，降息预期有所消化，国内经济数据整体好于预期，地产边际转好，但持续性仍待观察，短期内外宏观情绪偏乐观。基本面，进口铜精矿现货加工费TC持续回落，远期供应短缺预期提振价格。国内库存缓慢累增，但整体低库存逻辑仍存。铜价延续高位运行，主波动区间参考67500-69500。择高卖出虚值看涨期权，行权价参考70000一线。</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13680"/>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宏观利多叠加低库存支撑铝价偏强运行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12月会议维持利率不变，暂停加息符合市场预期，联储发言偏鸽。国内11月CPI数据同比下行，引发市场对国内降息的积极政策预期，海内外宏观情绪提振带动市场信心上行。产量产能维持高位，库存持续去库。前期云南减产完成后，供应端进入短暂的平稳运行期，电解铝运行产能维持相对高位，进口盈 利窗口打开，进口锭持续补充国内市场。11月铝加工行业开工率上行，淡季消费不淡，在途运输延迟叠加冬季下游逢低补库，铝市社会库存大幅下降。铝市交割临近，在途货物较多，流动货源偏紧，低库存现状支撑近月合约价格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9499"/>
      <w:r>
        <w:rPr>
          <w:rFonts w:hint="eastAsia" w:ascii="楷体" w:hAnsi="楷体" w:eastAsia="楷体"/>
          <w:b/>
          <w:color w:val="000000" w:themeColor="text1"/>
          <w:sz w:val="24"/>
          <w:szCs w:val="24"/>
          <w14:textFill>
            <w14:solidFill>
              <w14:schemeClr w14:val="tx1"/>
            </w14:solidFill>
          </w14:textFill>
        </w:rPr>
        <w:t>锌：锌价偏强震荡运行</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内外宏观情绪修复转好，进口利润窗口间歇性打开，进口锌补充有限，国内精炼锌产量小幅下降，主因部分炼厂超预期检修减停产，需求端维持弱修复，淡季消费超预期，前期锌价下跌触及成本支撑，低库存现状维持，支持价格偏强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5751"/>
      <w:r>
        <w:rPr>
          <w:rFonts w:hint="eastAsia" w:ascii="楷体" w:hAnsi="楷体" w:eastAsia="楷体"/>
          <w:b/>
          <w:color w:val="000000" w:themeColor="text1"/>
          <w:sz w:val="24"/>
          <w:szCs w:val="24"/>
          <w14:textFill>
            <w14:solidFill>
              <w14:schemeClr w14:val="tx1"/>
            </w14:solidFill>
          </w14:textFill>
        </w:rPr>
        <w:t>镍：暖风袭来，但基本面弱势仍存</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联储鸽声嘹亮，宏观氛围暖风袭来。成本端，镍矿供需双弱，且受到镍铁厂压价，预计矿价维持弱势；镍铁价格企稳，成交略有改善；硫酸镍处于原料宽松、需求萎靡、年底资金占用压力大的境况，但价格已破成本线，预计短期内价格弱稳为主。供应端，12月精炼镍产量环比增加，镍供应过剩压力持续。需求端，部分不锈钢厂开始复产，对镍需求有边际好转；三元材料仍肩负减产去库压力，对镍需求持续下降；合金和电镀对镍需求表现平稳，但需求量级有限。库存端，海内外镍库存维持累库趋势。综合而言，宏观情绪偏多，但从基本面来看，成本支撑偏弱，供强需弱格局不改，海内外库存持续累库，给镍价带来压力。镍价暂无明显上行驱动，预计短期内维持偏弱震荡筑底。</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2715"/>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7111"/>
      <w:r>
        <w:rPr>
          <w:rFonts w:hint="eastAsia" w:ascii="楷体" w:hAnsi="楷体" w:eastAsia="楷体"/>
          <w:b/>
          <w:color w:val="000000" w:themeColor="text1"/>
          <w:sz w:val="24"/>
          <w:szCs w:val="24"/>
          <w14:textFill>
            <w14:solidFill>
              <w14:schemeClr w14:val="tx1"/>
            </w14:solidFill>
          </w14:textFill>
        </w:rPr>
        <w:t>不锈钢：暂无明显上行驱动，或窄幅震荡偏强</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对美联储利率决议解读为鸽声嘹亮，宏观情绪偏利多。成本方面，镍铁价格企稳，成交略有改善；高碳铬铁供应偏紧，且原料焦炭价格上涨拉升成本，价格稳中偏强运行。供应端，不锈钢厂在12月开工率有所上升，供应维持过剩宽松格局。需求端，年底为不锈钢传统淡季，部分厂家在资金压力下低价出货，但下游成交氛围未有明显改善，需求整体维持疲弱，持续压制不锈钢价。库存端，社库维持去化。综合而言，宏观情绪偏暖，成本支撑有所好转，加上社库下降，为不锈钢价带来一定支撑，然而，供应维持过剩状态，传统淡季叠加经济内生修复动力偏弱，年内需求难有明显起色，给不锈钢价带来拖累，不锈钢或窄幅震荡偏强运行。持续关注原料价格走势。</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1325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西南维持季节性减产，短期或震荡为主</w:t>
      </w:r>
      <w:bookmarkEnd w:id="33"/>
    </w:p>
    <w:p>
      <w:pPr>
        <w:ind w:left="630" w:leftChars="300"/>
        <w:rPr>
          <w:rFonts w:ascii="楷体" w:hAnsi="楷体" w:eastAsia="楷体"/>
          <w:sz w:val="24"/>
          <w:szCs w:val="24"/>
        </w:rPr>
      </w:pPr>
      <w:r>
        <w:rPr>
          <w:rFonts w:hint="eastAsia" w:ascii="楷体" w:hAnsi="楷体" w:eastAsia="楷体"/>
          <w:sz w:val="24"/>
          <w:szCs w:val="24"/>
        </w:rPr>
        <w:t>12月18日，Si2402主力合约延续反弹走势，收盘价13875元/吨，较上一收盘价涨跌幅+0.47%。从供应端来看，北方工厂缓慢复产，开工已达高位，但近日寒潮低温影响，存在降负荷预期，而西南维持季节性减产，供应有所收缩。从需求端来看，多晶硅新增产能逐步爬坡，对工业硅需求陆续增加，但有机硅、铝合金进入消费淡季，需求有所减少，整体需求并无明显改善迹象。综合而言，期现商低价货源减少情况下，西南成本支撑有望逐步显现，对盘面价格形成支撑，但由于多晶硅市场依旧偏弱，采购工业硅压价情绪较浓，使得盘面缺乏大幅上涨驱动，预计短期盘面将延续震荡运行。策略上，可尝试波段操作，主力合约参考区间（13500，14000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2677"/>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130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东南亚主产区逐渐上量 天然橡胶仍有下行风险</w:t>
      </w:r>
      <w:bookmarkEnd w:id="36"/>
    </w:p>
    <w:p>
      <w:pPr>
        <w:ind w:left="630" w:leftChars="300"/>
        <w:rPr>
          <w:rFonts w:ascii="楷体" w:hAnsi="楷体" w:eastAsia="楷体"/>
          <w:sz w:val="24"/>
          <w:szCs w:val="24"/>
        </w:rPr>
      </w:pPr>
      <w:r>
        <w:rPr>
          <w:rFonts w:hint="eastAsia" w:ascii="楷体" w:hAnsi="楷体" w:eastAsia="楷体"/>
          <w:sz w:val="24"/>
          <w:szCs w:val="24"/>
        </w:rPr>
        <w:t>点评：短时天然橡胶市场处于区间调整阶段，仍有走低风险。供应方面，短时国内产区陆续停割与海外雨季结束逐渐上量预期相互博弈，上游生产利润已处低位，原料收购价格松动空间有限。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10月数据同环比继续走强，汽车消费旺季来临市场景气度高。整体看，本轮下跌其实早有征兆，上一波上涨期间出现头肩形与顶背离情况。早前橡胶已回吐近50%的涨幅，近期一度呈现超跌反弹。但在无明显利好推动下，天然橡胶市场仍有下行风险。</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655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近期红海油轮运输受阻，受此影响原油短线继续走高。PX方面，调油逻辑弱化后近期在高开工下，市场货源相对宽裕，PX整体承压为主，短期价格难有明显的修复。本周福海创450万吨、逸盛大化600万吨负荷提升，威联化学重启，恒力惠州恢复正常，个别装置短停。PTA负荷涨至83.9%（+6.5%）。本周萧山75万吨聚酯装置停车，综合负荷有所下滑；另外新疆一套聚酯新装置开启，暂时生产聚酯切片，后续将陆续配套聚酯瓶片。截至12.15，初步核算国内大陆地区聚酯负荷在89.9%（-1%）。织造新订单已经持续两周偏弱，工厂逐步开始降负运行。综合来看，PTA高加工费下存量装置检修重启及12月前后新增产能投放，TA供应充足。下游聚酯负荷目前虽然仍维持在89-90%，但后续存终端订单减少及产成品库存累库的负反馈压力。PTA短期面临成本支撑提振VS供需弱势预期，短线跟随成本端波动。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7380"/>
      <w:r>
        <w:rPr>
          <w:rFonts w:hint="eastAsia" w:ascii="楷体" w:hAnsi="楷体" w:eastAsia="楷体"/>
          <w:b/>
          <w:color w:val="000000" w:themeColor="text1"/>
          <w:sz w:val="24"/>
          <w:szCs w:val="24"/>
          <w14:textFill>
            <w14:solidFill>
              <w14:schemeClr w14:val="tx1"/>
            </w14:solidFill>
          </w14:textFill>
        </w:rPr>
        <w:t>聚烯烃：下游有进一步走弱的预期 聚烯烃维持低位震荡</w:t>
      </w:r>
      <w:bookmarkEnd w:id="38"/>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胡塞武装在红海袭击船只引发了对石油供应中断的担忧，国际油价涨至两周以来高点，尽管充足的供应和对俄罗斯12月份削减出口计划的怀疑限制了油价涨幅。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聚烯烃供强需弱格局下，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0345"/>
      <w:r>
        <w:rPr>
          <w:rFonts w:hint="eastAsia" w:ascii="楷体" w:hAnsi="楷体" w:eastAsia="楷体"/>
          <w:b/>
          <w:color w:val="000000" w:themeColor="text1"/>
          <w:sz w:val="24"/>
          <w:szCs w:val="24"/>
          <w14:textFill>
            <w14:solidFill>
              <w14:schemeClr w14:val="tx1"/>
            </w14:solidFill>
          </w14:textFill>
        </w:rPr>
        <w:t>MEG：供需格局转好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供需情况，12.18华东主港地区MEG港口库存约116万吨，环比上期-8万吨。截至12月14日，中国大陆地区乙二醇整体开工负荷在59.52%（-2.13%），其中煤制乙二醇开工负荷在58.39%（-6.21%）。 新疆中昆60万吨/年新装置顺利出料，目前逐步提负中 。截至12月14日，国内大陆地区聚酯负荷在89.9%，节前聚酯开工高位维持。终端来看，新订单持续性不足，江浙终端开工率继续下降，江浙加弹综合开工87%（-3%）维持，江浙织机综合开工小幅下滑至78%（-4%），江浙印染综合开工下滑至77%（-1%）。综合来看，近期聚酯高开工维持，乙二醇供需格局转好、低估值及进口到港减少，预计12月乙二醇供需改善呈现紧平衡格局。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32590"/>
      <w:r>
        <w:rPr>
          <w:rFonts w:hint="eastAsia" w:ascii="楷体" w:hAnsi="楷体" w:eastAsia="楷体"/>
          <w:b/>
          <w:color w:val="000000" w:themeColor="text1"/>
          <w:sz w:val="24"/>
          <w:szCs w:val="24"/>
          <w14:textFill>
            <w14:solidFill>
              <w14:schemeClr w14:val="tx1"/>
            </w14:solidFill>
          </w14:textFill>
        </w:rPr>
        <w:t>玻璃：周末产销回落，期价承压</w:t>
      </w:r>
      <w:bookmarkEnd w:id="4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隆众资讯12月18日报道:今日浮法玻璃现货价格2007元/吨，较上一交易日-2元/吨。</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末各地区产销快速走弱，华北75%，华中82%，华南94%，沙河64%，湖北78%，均销79%，较月初均销95%水平大幅下降，预计本周累库。南北玻璃价格分化，南涨北降，北方受雨雪天气影响，玻璃出库困难。玻璃厂为维持低库存，沙河和湖北地区多降价销售。下游加工厂经过上半月阶段性补库以后，多按需拿货。宏观上政策利好前期在盘面基本兑现，目前处于真空期，期价承压，弱势震荡。操作上，建议以区间操作为主，等待新的驱动形成。参考区间(1750，1900)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24351"/>
      <w:r>
        <w:rPr>
          <w:rFonts w:hint="eastAsia" w:ascii="楷体" w:hAnsi="楷体" w:eastAsia="楷体"/>
          <w:b/>
          <w:color w:val="000000" w:themeColor="text1"/>
          <w:sz w:val="24"/>
          <w:szCs w:val="24"/>
          <w14:textFill>
            <w14:solidFill>
              <w14:schemeClr w14:val="tx1"/>
            </w14:solidFill>
          </w14:textFill>
        </w:rPr>
        <w:t>纯碱：现货稳价期，宽幅震荡</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价格高位震荡。华北重碱报价3000元/吨，成交较少;华南重碱报价3250元/吨。供给方面，截至20231214，周纯碱产量65.68万吨，环比下降0.53万吨，降幅0.80%。周纯碱厂家总库存34.10万吨，环比下降2.60万吨，下降7.08%。其中，轻质库存21.16万吨，重质库存12.94万吨。供给端，河南金山和安徽德邦开车，产量逐步提升。需求端，碱厂待发订单排到月底，下月新订单反馈一般。从库存结构上来看，厂库库存仍处于低位，供给端开停并存，短期现货稳价。盘面05合约短期波动较大，现货价格见顶稳价以后低库存仍对价格有支撑，等待累库信号出现。短线区间操作为主，参考区间（2100，2250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24031"/>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25590"/>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成本端带来支撑，但供强需弱格局仍施压</w:t>
      </w:r>
      <w:bookmarkEnd w:id="43"/>
    </w:p>
    <w:p>
      <w:pPr>
        <w:ind w:left="630" w:leftChars="300"/>
        <w:rPr>
          <w:rFonts w:ascii="楷体" w:hAnsi="楷体" w:eastAsia="楷体"/>
          <w:sz w:val="24"/>
          <w:szCs w:val="24"/>
        </w:rPr>
      </w:pPr>
      <w:r>
        <w:rPr>
          <w:rFonts w:hint="eastAsia" w:ascii="楷体" w:hAnsi="楷体" w:eastAsia="楷体"/>
          <w:sz w:val="24"/>
          <w:szCs w:val="24"/>
        </w:rPr>
        <w:t>因阿根廷新政府计划提高大豆、豆粕和豆油出口关税，叠加美豆压榨及出口需求良好提振，抵消巴西降雨利空影响，美豆收涨。随着美豆定产后，市场定价中心逐步转向南美，巴西天气不确定性较大，目前种植进度落后于去年同期及五年均值水平为91%，虽当前美农报告对南美产量调整不及预期，但中长期南美丰产预期能否兑现仍是后续价格走势的关键，关注巴西后续天气及种植情况，现阶段天气扰动较大。国内豆粕延续供强需弱格局，供应端进入11月份后，随着进口大豆到港增加，油厂大豆库存维持高位，油厂开机率提升，豆粕产出增加，但因下游成交未见明显好转，豆粕库存较前一周增至76.08万吨，当前沿海主流油厂豆粕现货报价下调至3900-4960元/吨。但11月份进口大豆到港不及预期，为792万吨，叠加近期华北延迟卸港问题，供应端担忧仍存。需求，下游生猪养殖利润维持亏损，但在能繁存栏高位下，下游随采随用，保持安全库存。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05暂看波动区间3350-3550，菜粕建议短线逢高空，近月压力仍较大，可关注3-5反套机会。</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29657"/>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支撑力度或不足，预计偏弱震荡</w:t>
      </w:r>
      <w:bookmarkEnd w:id="44"/>
    </w:p>
    <w:p>
      <w:pPr>
        <w:ind w:left="630" w:leftChars="300"/>
        <w:rPr>
          <w:rFonts w:ascii="楷体" w:hAnsi="楷体" w:eastAsia="楷体"/>
          <w:sz w:val="24"/>
          <w:szCs w:val="24"/>
        </w:rPr>
      </w:pPr>
      <w:r>
        <w:rPr>
          <w:rFonts w:hint="eastAsia" w:ascii="楷体" w:hAnsi="楷体" w:eastAsia="楷体"/>
          <w:sz w:val="24"/>
          <w:szCs w:val="24"/>
        </w:rPr>
        <w:t>受外部市场止跌反弹支撑，内盘油脂企稳，但因国内高库存压制，油脂上方压力仍较大，预计持续上行动力不足。棕榈油，产地11月份进入季节性减产周期，库存压力逐步释放，但中长期在厄尔尼诺现象扰动下，价格下方存支撑，天气仍需持续关注。印尼棕榈油9月份产需双增，但产量增幅不及需求，库存环比下降。而马棕11月份产需双降，因产量降幅略高于预期，库存降幅环比达1.09%，市场担忧供应减少带动库存下滑。四季度主要关注厄尔尼诺对产量的扰动，为中长期潜在利多驱动。国内棕榈油9-10月份进口到港维持高位，但在高库存抑制下后续进口预计减少，最新商业库存增至97.51万吨，处于同期高位。需求端，因节前备货，叠加价格优势显著，提振下游采购需求。豆油存供需双增预期。国内随着11月后进口大豆到港增加，油厂开机有所回升，豆油供应预计将得到补充。需求端，虽四季度为豆油消费旺季，部分掺混需求预计转向豆油，但当前价格优势并不明显，限制替代需求，终端需求疲软。菜油预计供需双旺，阶段性供应压力较大。当前主产地菜籽新作处于出口阶段，集中上市压力也抑制期价走势。随着11月份后进口菜籽到港增加，菜籽开机及压榨水平提升，10月菜籽进口3.4万吨，环比减89%，四季度菜籽及菜油供给预期宽松。需求方面，与豆油价差持续收窄，部分地区出现与豆油价格平水情况，下游备货需求较好。短期油脂预计偏弱震荡，上方压力仍存，空单谨慎持有，暂看反弹持续性；中长期关注天气及需求表现，维持谨慎看多观点，关注做多油粕比机会。</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874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淀粉-玉米价差走扩</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看空逻辑有二，中期来看，供应即产量增加的背景之下，市场预计需求特别是猪料下降，产需缺口收窄，当前期价所反映的是预期是不需要国产小麦和陈化水稻即可加以补充；短期来看，则是余粮压力背景之下，进口大量到港，而中下游建库意愿低迷，上游即农户需要低价售粮，让利于中下游。但持续下跌之后，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考虑到市场看空逻辑尚无法证伪，但存在较大风险，维持中性观点，后期或转向看多，建议投资者暂以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行业副产品端则相对利多，现货基差带来较大支撑，而行业供需端亦略有改善，最大的利空来自于原料成本端，在这种情况下，单边风险相对较大，而价差套利则值得考虑。在这种情况下，我们维持中性观点，单边建议暂以观望为宜，可轻仓参与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28655"/>
      <w:r>
        <w:rPr>
          <w:rFonts w:hint="eastAsia" w:ascii="楷体" w:hAnsi="楷体" w:eastAsia="楷体"/>
          <w:b/>
          <w:bCs/>
          <w:color w:val="000000" w:themeColor="text1"/>
          <w14:textFill>
            <w14:solidFill>
              <w14:schemeClr w14:val="tx1"/>
            </w14:solidFill>
          </w14:textFill>
        </w:rPr>
        <w:t>畜禽养殖：鸡蛋现货弱势带动期价特别是近月大幅下跌</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在近期现货大幅反弹之后，行业出栏积极性有望继续回升，而市场悲观氛围或再度来袭，这意味着短期期价或趋于回落或震荡调整，这个过程中需要特别留意现货和基差走势。综上所述，基于各合约不确定性的考虑，维持中性观点，建议投资者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我们维持中性观点，建议投资者观望为宜。</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25705"/>
      <w:r>
        <w:rPr>
          <w:rFonts w:hint="eastAsia" w:ascii="楷体" w:hAnsi="楷体" w:eastAsia="楷体"/>
          <w:b/>
          <w:sz w:val="24"/>
          <w:szCs w:val="24"/>
        </w:rPr>
        <w:t>郑棉：区间弱势震荡整理</w:t>
      </w:r>
      <w:bookmarkEnd w:id="47"/>
    </w:p>
    <w:p>
      <w:pPr>
        <w:ind w:left="630" w:leftChars="300"/>
        <w:rPr>
          <w:rFonts w:ascii="楷体" w:hAnsi="楷体" w:eastAsia="楷体"/>
          <w:sz w:val="24"/>
          <w:szCs w:val="24"/>
        </w:rPr>
      </w:pPr>
      <w:r>
        <w:rPr>
          <w:rFonts w:hint="eastAsia" w:ascii="楷体" w:hAnsi="楷体" w:eastAsia="楷体"/>
          <w:sz w:val="24"/>
          <w:szCs w:val="24"/>
        </w:rPr>
        <w:t>出口周度数据不佳，美棉再度试探80美分/磅关口支撑。国内11月工商业库存高企，进口如预期同样维持较高水平。下游纱线价格跌幅放缓，部分企业尝试性小幅提价。预计12月中下旬会有纺织企业进行棉花原料的刚需补库。不过，由于纱线库存依然处于高位，消费好转程度和持续时长也还有待观察，产业负反馈依然需要时间进行消化，纺织利润改善不易。郑棉仓单急速增加，套保压力始终压制着棉花反弹高度。预计05在15000-15500元/吨区间内弱势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30172"/>
      <w:r>
        <w:rPr>
          <w:rFonts w:hint="eastAsia" w:ascii="楷体" w:hAnsi="楷体" w:eastAsia="楷体"/>
          <w:b/>
          <w:sz w:val="24"/>
          <w:szCs w:val="24"/>
        </w:rPr>
        <w:t>白糖：震荡偏弱</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国内新糖上市，传闻本榨季广西有望增产15%—20%。元旦和春节备货进行中，但似乎未能有效支撑价格反弹，内外棉价继续下行寻底。</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7242"/>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25179"/>
      <w:r>
        <w:rPr>
          <w:rFonts w:hint="eastAsia" w:ascii="Times New Roman" w:hAnsi="Times New Roman" w:eastAsia="楷体"/>
          <w:b/>
          <w:color w:val="000000" w:themeColor="text1"/>
          <w:sz w:val="24"/>
          <w:szCs w:val="24"/>
          <w14:textFill>
            <w14:solidFill>
              <w14:schemeClr w14:val="tx1"/>
            </w14:solidFill>
          </w14:textFill>
        </w:rPr>
        <w:t>集运指数（欧线）：红海局势紧张船司宣布停航，欧线运价急速上涨</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16日马士基旗下经营的一艘名为MAERSK GIBRALTAR在也门穆卡西北的红海南部航行时遭到导弹袭击。其后24小时内欧洲三大集运公司经营的船舶相继遭遇袭击，四大船公司马士基、赫伯罗特、MSC和CMA CGM相继决定将旗下船舶暂停通过曼德海峡/红海。根据测算，将会导致亚欧航线有效运力损失10%以上。苏伊士运河航线若不能通行，需绕道好望角航线，时间需增加10天左右，成本将大幅增加，有多家。突发事件叠加近期船司密集提价引致现货指数持续向上，最近一次船司宣布1月初继续提价，引发了集运指数全线涨停，创下上市以来最高收盘价的纪录。</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指数方面，昨日盘后SCFIS涨5.4%至990.38点，覆盖12月上旬运价提涨后回落和小部分中旬再度提涨部分的运价，继续兑现12月中旬挺价计划。目前短期风险较大，需关注停航时长、规模以及带来的影响，以及长期供强需弱格局逻辑的回归，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12779"/>
      <w:bookmarkStart w:id="52" w:name="_Toc72481108"/>
      <w:bookmarkStart w:id="53" w:name="_Toc19667"/>
      <w:bookmarkStart w:id="54" w:name="_Toc98426751"/>
      <w:bookmarkStart w:id="55" w:name="_Toc71212556"/>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2023年12月19日星期二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7685B"/>
    <w:rsid w:val="619A2BBF"/>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2023-12-19T03:01:00Z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