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F07E7"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DF07E7" w:rsidRPr="008C4EA5">
            <w:rPr>
              <w:rStyle w:val="a9"/>
              <w:noProof/>
            </w:rPr>
            <w:fldChar w:fldCharType="begin"/>
          </w:r>
          <w:r w:rsidR="00DF07E7" w:rsidRPr="008C4EA5">
            <w:rPr>
              <w:rStyle w:val="a9"/>
              <w:noProof/>
            </w:rPr>
            <w:instrText xml:space="preserve"> </w:instrText>
          </w:r>
          <w:r w:rsidR="00DF07E7">
            <w:rPr>
              <w:noProof/>
            </w:rPr>
            <w:instrText>HYPERLINK \l "_Toc153357886"</w:instrText>
          </w:r>
          <w:r w:rsidR="00DF07E7" w:rsidRPr="008C4EA5">
            <w:rPr>
              <w:rStyle w:val="a9"/>
              <w:noProof/>
            </w:rPr>
            <w:instrText xml:space="preserve"> </w:instrText>
          </w:r>
          <w:r w:rsidR="00DF07E7" w:rsidRPr="008C4EA5">
            <w:rPr>
              <w:rStyle w:val="a9"/>
              <w:noProof/>
            </w:rPr>
          </w:r>
          <w:r w:rsidR="00DF07E7" w:rsidRPr="008C4EA5">
            <w:rPr>
              <w:rStyle w:val="a9"/>
              <w:noProof/>
            </w:rPr>
            <w:fldChar w:fldCharType="separate"/>
          </w:r>
          <w:r w:rsidR="00DF07E7" w:rsidRPr="008C4EA5">
            <w:rPr>
              <w:rStyle w:val="a9"/>
              <w:rFonts w:ascii="Times New Roman" w:eastAsia="楷体" w:hAnsi="Times New Roman"/>
              <w:b/>
              <w:noProof/>
            </w:rPr>
            <w:t>[</w:t>
          </w:r>
          <w:r w:rsidR="00DF07E7" w:rsidRPr="008C4EA5">
            <w:rPr>
              <w:rStyle w:val="a9"/>
              <w:rFonts w:ascii="Times New Roman" w:eastAsia="楷体" w:hAnsi="Times New Roman"/>
              <w:b/>
              <w:noProof/>
            </w:rPr>
            <w:t>金融</w:t>
          </w:r>
          <w:r w:rsidR="00DF07E7" w:rsidRPr="008C4EA5">
            <w:rPr>
              <w:rStyle w:val="a9"/>
              <w:rFonts w:ascii="Times New Roman" w:eastAsia="楷体" w:hAnsi="Times New Roman"/>
              <w:b/>
              <w:noProof/>
            </w:rPr>
            <w:t>]</w:t>
          </w:r>
          <w:r w:rsidR="00DF07E7" w:rsidRPr="008C4EA5">
            <w:rPr>
              <w:rStyle w:val="a9"/>
              <w:noProof/>
            </w:rPr>
            <w:fldChar w:fldCharType="end"/>
          </w:r>
        </w:p>
        <w:p w:rsidR="00DF07E7" w:rsidRDefault="00DF07E7">
          <w:pPr>
            <w:pStyle w:val="23"/>
            <w:tabs>
              <w:tab w:val="right" w:leader="dot" w:pos="8296"/>
            </w:tabs>
            <w:rPr>
              <w:rFonts w:eastAsiaTheme="minorEastAsia"/>
              <w:noProof/>
              <w:szCs w:val="22"/>
            </w:rPr>
          </w:pPr>
          <w:hyperlink w:anchor="_Toc153357887" w:history="1">
            <w:r w:rsidRPr="008C4EA5">
              <w:rPr>
                <w:rStyle w:val="a9"/>
                <w:rFonts w:ascii="Times New Roman" w:eastAsia="楷体" w:hAnsi="Times New Roman"/>
                <w:b/>
                <w:noProof/>
              </w:rPr>
              <w:t>股指：波段操作，低吸</w:t>
            </w:r>
            <w:r w:rsidRPr="008C4EA5">
              <w:rPr>
                <w:rStyle w:val="a9"/>
                <w:rFonts w:ascii="Times New Roman" w:eastAsia="楷体" w:hAnsi="Times New Roman"/>
                <w:b/>
                <w:noProof/>
              </w:rPr>
              <w:t>IM</w:t>
            </w:r>
            <w:r w:rsidRPr="008C4EA5">
              <w:rPr>
                <w:rStyle w:val="a9"/>
                <w:rFonts w:ascii="Times New Roman" w:eastAsia="楷体" w:hAnsi="Times New Roman"/>
                <w:b/>
                <w:noProof/>
              </w:rPr>
              <w:t>多单</w:t>
            </w:r>
          </w:hyperlink>
        </w:p>
        <w:p w:rsidR="00DF07E7" w:rsidRDefault="00DF07E7">
          <w:pPr>
            <w:pStyle w:val="11"/>
            <w:tabs>
              <w:tab w:val="right" w:leader="dot" w:pos="8296"/>
            </w:tabs>
            <w:rPr>
              <w:rFonts w:eastAsiaTheme="minorEastAsia"/>
              <w:noProof/>
              <w:szCs w:val="22"/>
            </w:rPr>
          </w:pPr>
          <w:hyperlink w:anchor="_Toc153357888" w:history="1">
            <w:r w:rsidRPr="008C4EA5">
              <w:rPr>
                <w:rStyle w:val="a9"/>
                <w:rFonts w:ascii="Times New Roman" w:eastAsia="楷体" w:hAnsi="Times New Roman"/>
                <w:b/>
                <w:noProof/>
              </w:rPr>
              <w:t>[</w:t>
            </w:r>
            <w:r w:rsidRPr="008C4EA5">
              <w:rPr>
                <w:rStyle w:val="a9"/>
                <w:rFonts w:ascii="Times New Roman" w:eastAsia="楷体" w:hAnsi="Times New Roman"/>
                <w:b/>
                <w:noProof/>
              </w:rPr>
              <w:t>贵金属</w:t>
            </w:r>
            <w:r w:rsidRPr="008C4EA5">
              <w:rPr>
                <w:rStyle w:val="a9"/>
                <w:rFonts w:ascii="Times New Roman" w:eastAsia="楷体" w:hAnsi="Times New Roman"/>
                <w:b/>
                <w:noProof/>
              </w:rPr>
              <w:t>]</w:t>
            </w:r>
          </w:hyperlink>
        </w:p>
        <w:p w:rsidR="00DF07E7" w:rsidRDefault="00DF07E7">
          <w:pPr>
            <w:pStyle w:val="23"/>
            <w:tabs>
              <w:tab w:val="right" w:leader="dot" w:pos="8296"/>
            </w:tabs>
            <w:rPr>
              <w:rFonts w:eastAsiaTheme="minorEastAsia"/>
              <w:noProof/>
              <w:szCs w:val="22"/>
            </w:rPr>
          </w:pPr>
          <w:hyperlink w:anchor="_Toc153357889" w:history="1">
            <w:r w:rsidRPr="008C4EA5">
              <w:rPr>
                <w:rStyle w:val="a9"/>
                <w:rFonts w:ascii="Times New Roman" w:eastAsia="楷体" w:hAnsi="Times New Roman"/>
                <w:b/>
                <w:noProof/>
              </w:rPr>
              <w:t>贵金属：美国</w:t>
            </w:r>
            <w:r w:rsidRPr="008C4EA5">
              <w:rPr>
                <w:rStyle w:val="a9"/>
                <w:rFonts w:ascii="Times New Roman" w:eastAsia="楷体" w:hAnsi="Times New Roman"/>
                <w:b/>
                <w:noProof/>
              </w:rPr>
              <w:t>CPI</w:t>
            </w:r>
            <w:r w:rsidRPr="008C4EA5">
              <w:rPr>
                <w:rStyle w:val="a9"/>
                <w:rFonts w:ascii="Times New Roman" w:eastAsia="楷体" w:hAnsi="Times New Roman"/>
                <w:b/>
                <w:noProof/>
              </w:rPr>
              <w:t>通胀符合预期，贵金属价格下跌</w:t>
            </w:r>
          </w:hyperlink>
        </w:p>
        <w:p w:rsidR="00DF07E7" w:rsidRDefault="00DF07E7">
          <w:pPr>
            <w:pStyle w:val="11"/>
            <w:tabs>
              <w:tab w:val="right" w:leader="dot" w:pos="8296"/>
            </w:tabs>
            <w:rPr>
              <w:rFonts w:eastAsiaTheme="minorEastAsia"/>
              <w:noProof/>
              <w:szCs w:val="22"/>
            </w:rPr>
          </w:pPr>
          <w:hyperlink w:anchor="_Toc153357890" w:history="1">
            <w:r w:rsidRPr="008C4EA5">
              <w:rPr>
                <w:rStyle w:val="a9"/>
                <w:rFonts w:ascii="Times New Roman" w:eastAsia="楷体" w:hAnsi="Times New Roman"/>
                <w:b/>
                <w:noProof/>
              </w:rPr>
              <w:t>[</w:t>
            </w:r>
            <w:r w:rsidRPr="008C4EA5">
              <w:rPr>
                <w:rStyle w:val="a9"/>
                <w:rFonts w:ascii="Times New Roman" w:eastAsia="楷体" w:hAnsi="Times New Roman"/>
                <w:b/>
                <w:noProof/>
              </w:rPr>
              <w:t>金属</w:t>
            </w:r>
            <w:r w:rsidRPr="008C4EA5">
              <w:rPr>
                <w:rStyle w:val="a9"/>
                <w:rFonts w:ascii="Times New Roman" w:eastAsia="楷体" w:hAnsi="Times New Roman"/>
                <w:b/>
                <w:noProof/>
              </w:rPr>
              <w:t>]</w:t>
            </w:r>
          </w:hyperlink>
        </w:p>
        <w:p w:rsidR="00DF07E7" w:rsidRDefault="00DF07E7">
          <w:pPr>
            <w:pStyle w:val="23"/>
            <w:tabs>
              <w:tab w:val="right" w:leader="dot" w:pos="8296"/>
            </w:tabs>
            <w:rPr>
              <w:rFonts w:eastAsiaTheme="minorEastAsia"/>
              <w:noProof/>
              <w:szCs w:val="22"/>
            </w:rPr>
          </w:pPr>
          <w:hyperlink w:anchor="_Toc153357891" w:history="1">
            <w:r w:rsidRPr="008C4EA5">
              <w:rPr>
                <w:rStyle w:val="a9"/>
                <w:rFonts w:ascii="楷体" w:eastAsia="楷体" w:hAnsi="楷体"/>
                <w:b/>
                <w:noProof/>
              </w:rPr>
              <w:t>碳酸锂：回归基本面逻辑，期价大幅下跌</w:t>
            </w:r>
          </w:hyperlink>
        </w:p>
        <w:p w:rsidR="00DF07E7" w:rsidRDefault="00DF07E7">
          <w:pPr>
            <w:pStyle w:val="23"/>
            <w:tabs>
              <w:tab w:val="right" w:leader="dot" w:pos="8296"/>
            </w:tabs>
            <w:rPr>
              <w:rFonts w:eastAsiaTheme="minorEastAsia"/>
              <w:noProof/>
              <w:szCs w:val="22"/>
            </w:rPr>
          </w:pPr>
          <w:hyperlink w:anchor="_Toc153357892" w:history="1">
            <w:r w:rsidRPr="008C4EA5">
              <w:rPr>
                <w:rStyle w:val="a9"/>
                <w:rFonts w:ascii="楷体" w:eastAsia="楷体" w:hAnsi="楷体"/>
                <w:b/>
                <w:noProof/>
              </w:rPr>
              <w:t>螺纹钢：利多交易相对充分，短期注意回调风险</w:t>
            </w:r>
          </w:hyperlink>
        </w:p>
        <w:p w:rsidR="00DF07E7" w:rsidRDefault="00DF07E7">
          <w:pPr>
            <w:pStyle w:val="23"/>
            <w:tabs>
              <w:tab w:val="right" w:leader="dot" w:pos="8296"/>
            </w:tabs>
            <w:rPr>
              <w:rFonts w:eastAsiaTheme="minorEastAsia"/>
              <w:noProof/>
              <w:szCs w:val="22"/>
            </w:rPr>
          </w:pPr>
          <w:hyperlink w:anchor="_Toc153357893" w:history="1">
            <w:r w:rsidRPr="008C4EA5">
              <w:rPr>
                <w:rStyle w:val="a9"/>
                <w:rFonts w:ascii="楷体" w:eastAsia="楷体" w:hAnsi="楷体"/>
                <w:b/>
                <w:noProof/>
              </w:rPr>
              <w:t>焦炭：第三轮提涨落地，盘面区间震荡</w:t>
            </w:r>
          </w:hyperlink>
        </w:p>
        <w:p w:rsidR="00DF07E7" w:rsidRDefault="00DF07E7">
          <w:pPr>
            <w:pStyle w:val="23"/>
            <w:tabs>
              <w:tab w:val="right" w:leader="dot" w:pos="8296"/>
            </w:tabs>
            <w:rPr>
              <w:rFonts w:eastAsiaTheme="minorEastAsia"/>
              <w:noProof/>
              <w:szCs w:val="22"/>
            </w:rPr>
          </w:pPr>
          <w:hyperlink w:anchor="_Toc153357894" w:history="1">
            <w:r w:rsidRPr="008C4EA5">
              <w:rPr>
                <w:rStyle w:val="a9"/>
                <w:rFonts w:ascii="楷体" w:eastAsia="楷体" w:hAnsi="楷体"/>
                <w:b/>
                <w:noProof/>
              </w:rPr>
              <w:t>焦煤：继续补库动力不足，煤价短期偏弱震荡</w:t>
            </w:r>
          </w:hyperlink>
        </w:p>
        <w:p w:rsidR="00DF07E7" w:rsidRDefault="00DF07E7">
          <w:pPr>
            <w:pStyle w:val="23"/>
            <w:tabs>
              <w:tab w:val="right" w:leader="dot" w:pos="8296"/>
            </w:tabs>
            <w:rPr>
              <w:rFonts w:eastAsiaTheme="minorEastAsia"/>
              <w:noProof/>
              <w:szCs w:val="22"/>
            </w:rPr>
          </w:pPr>
          <w:hyperlink w:anchor="_Toc153357895" w:history="1">
            <w:r w:rsidRPr="008C4EA5">
              <w:rPr>
                <w:rStyle w:val="a9"/>
                <w:rFonts w:ascii="楷体" w:eastAsia="楷体" w:hAnsi="楷体"/>
                <w:b/>
                <w:noProof/>
              </w:rPr>
              <w:t>铜：短期维持高位运行</w:t>
            </w:r>
          </w:hyperlink>
        </w:p>
        <w:p w:rsidR="00DF07E7" w:rsidRDefault="00DF07E7">
          <w:pPr>
            <w:pStyle w:val="23"/>
            <w:tabs>
              <w:tab w:val="right" w:leader="dot" w:pos="8296"/>
            </w:tabs>
            <w:rPr>
              <w:rFonts w:eastAsiaTheme="minorEastAsia"/>
              <w:noProof/>
              <w:szCs w:val="22"/>
            </w:rPr>
          </w:pPr>
          <w:hyperlink w:anchor="_Toc153357896" w:history="1">
            <w:r w:rsidRPr="008C4EA5">
              <w:rPr>
                <w:rStyle w:val="a9"/>
                <w:rFonts w:ascii="楷体" w:eastAsia="楷体" w:hAnsi="楷体"/>
                <w:b/>
                <w:noProof/>
              </w:rPr>
              <w:t>铝：宏观情绪谨慎，低库存支撑铝价反弹</w:t>
            </w:r>
          </w:hyperlink>
        </w:p>
        <w:p w:rsidR="00DF07E7" w:rsidRDefault="00DF07E7">
          <w:pPr>
            <w:pStyle w:val="23"/>
            <w:tabs>
              <w:tab w:val="right" w:leader="dot" w:pos="8296"/>
            </w:tabs>
            <w:rPr>
              <w:rFonts w:eastAsiaTheme="minorEastAsia"/>
              <w:noProof/>
              <w:szCs w:val="22"/>
            </w:rPr>
          </w:pPr>
          <w:hyperlink w:anchor="_Toc153357897" w:history="1">
            <w:r w:rsidRPr="008C4EA5">
              <w:rPr>
                <w:rStyle w:val="a9"/>
                <w:rFonts w:ascii="楷体" w:eastAsia="楷体" w:hAnsi="楷体"/>
                <w:b/>
                <w:noProof/>
              </w:rPr>
              <w:t>锌：下方空间有限，锌市价格反弹</w:t>
            </w:r>
          </w:hyperlink>
        </w:p>
        <w:p w:rsidR="00DF07E7" w:rsidRDefault="00DF07E7">
          <w:pPr>
            <w:pStyle w:val="23"/>
            <w:tabs>
              <w:tab w:val="right" w:leader="dot" w:pos="8296"/>
            </w:tabs>
            <w:rPr>
              <w:rFonts w:eastAsiaTheme="minorEastAsia"/>
              <w:noProof/>
              <w:szCs w:val="22"/>
            </w:rPr>
          </w:pPr>
          <w:hyperlink w:anchor="_Toc153357898" w:history="1">
            <w:r w:rsidRPr="008C4EA5">
              <w:rPr>
                <w:rStyle w:val="a9"/>
                <w:rFonts w:ascii="楷体" w:eastAsia="楷体" w:hAnsi="楷体"/>
                <w:b/>
                <w:noProof/>
              </w:rPr>
              <w:t>镍：供强需弱格局不改，暂无明显反弹驱动</w:t>
            </w:r>
          </w:hyperlink>
        </w:p>
        <w:p w:rsidR="00DF07E7" w:rsidRDefault="00DF07E7">
          <w:pPr>
            <w:pStyle w:val="23"/>
            <w:tabs>
              <w:tab w:val="right" w:leader="dot" w:pos="8296"/>
            </w:tabs>
            <w:rPr>
              <w:rFonts w:eastAsiaTheme="minorEastAsia"/>
              <w:noProof/>
              <w:szCs w:val="22"/>
            </w:rPr>
          </w:pPr>
          <w:hyperlink w:anchor="_Toc153357899" w:history="1">
            <w:r w:rsidRPr="008C4EA5">
              <w:rPr>
                <w:rStyle w:val="a9"/>
                <w:rFonts w:ascii="楷体" w:eastAsia="楷体" w:hAnsi="楷体"/>
                <w:b/>
                <w:noProof/>
              </w:rPr>
              <w:t>铅：铝价上方压力仍存</w:t>
            </w:r>
          </w:hyperlink>
        </w:p>
        <w:p w:rsidR="00DF07E7" w:rsidRDefault="00DF07E7">
          <w:pPr>
            <w:pStyle w:val="23"/>
            <w:tabs>
              <w:tab w:val="right" w:leader="dot" w:pos="8296"/>
            </w:tabs>
            <w:rPr>
              <w:rFonts w:eastAsiaTheme="minorEastAsia"/>
              <w:noProof/>
              <w:szCs w:val="22"/>
            </w:rPr>
          </w:pPr>
          <w:hyperlink w:anchor="_Toc153357900" w:history="1">
            <w:r w:rsidRPr="008C4EA5">
              <w:rPr>
                <w:rStyle w:val="a9"/>
                <w:rFonts w:ascii="楷体" w:eastAsia="楷体" w:hAnsi="楷体"/>
                <w:b/>
                <w:noProof/>
              </w:rPr>
              <w:t>不锈钢：基本面未有改善，等待成本支撑企稳</w:t>
            </w:r>
          </w:hyperlink>
        </w:p>
        <w:p w:rsidR="00DF07E7" w:rsidRDefault="00DF07E7">
          <w:pPr>
            <w:pStyle w:val="23"/>
            <w:tabs>
              <w:tab w:val="right" w:leader="dot" w:pos="8296"/>
            </w:tabs>
            <w:rPr>
              <w:rFonts w:eastAsiaTheme="minorEastAsia"/>
              <w:noProof/>
              <w:szCs w:val="22"/>
            </w:rPr>
          </w:pPr>
          <w:hyperlink w:anchor="_Toc153357901" w:history="1">
            <w:r w:rsidRPr="008C4EA5">
              <w:rPr>
                <w:rStyle w:val="a9"/>
                <w:rFonts w:ascii="楷体" w:eastAsia="楷体" w:hAnsi="楷体"/>
                <w:b/>
                <w:noProof/>
              </w:rPr>
              <w:t>工业硅：成本支撑或逐步显现，短期或震荡为主</w:t>
            </w:r>
          </w:hyperlink>
        </w:p>
        <w:p w:rsidR="00DF07E7" w:rsidRDefault="00DF07E7">
          <w:pPr>
            <w:pStyle w:val="11"/>
            <w:tabs>
              <w:tab w:val="right" w:leader="dot" w:pos="8296"/>
            </w:tabs>
            <w:rPr>
              <w:rFonts w:eastAsiaTheme="minorEastAsia"/>
              <w:noProof/>
              <w:szCs w:val="22"/>
            </w:rPr>
          </w:pPr>
          <w:hyperlink w:anchor="_Toc153357902" w:history="1">
            <w:r w:rsidRPr="008C4EA5">
              <w:rPr>
                <w:rStyle w:val="a9"/>
                <w:rFonts w:ascii="Times New Roman" w:eastAsia="楷体" w:hAnsi="Times New Roman"/>
                <w:b/>
                <w:noProof/>
              </w:rPr>
              <w:t>[</w:t>
            </w:r>
            <w:r w:rsidRPr="008C4EA5">
              <w:rPr>
                <w:rStyle w:val="a9"/>
                <w:rFonts w:ascii="Times New Roman" w:eastAsia="楷体" w:hAnsi="Times New Roman"/>
                <w:b/>
                <w:noProof/>
              </w:rPr>
              <w:t>化工</w:t>
            </w:r>
            <w:r w:rsidRPr="008C4EA5">
              <w:rPr>
                <w:rStyle w:val="a9"/>
                <w:rFonts w:ascii="Times New Roman" w:eastAsia="楷体" w:hAnsi="Times New Roman"/>
                <w:b/>
                <w:noProof/>
              </w:rPr>
              <w:t>]</w:t>
            </w:r>
          </w:hyperlink>
        </w:p>
        <w:p w:rsidR="00DF07E7" w:rsidRDefault="00DF07E7">
          <w:pPr>
            <w:pStyle w:val="23"/>
            <w:tabs>
              <w:tab w:val="right" w:leader="dot" w:pos="8296"/>
            </w:tabs>
            <w:rPr>
              <w:rFonts w:eastAsiaTheme="minorEastAsia"/>
              <w:noProof/>
              <w:szCs w:val="22"/>
            </w:rPr>
          </w:pPr>
          <w:hyperlink w:anchor="_Toc153357903" w:history="1">
            <w:r w:rsidRPr="008C4EA5">
              <w:rPr>
                <w:rStyle w:val="a9"/>
                <w:rFonts w:ascii="Times New Roman" w:eastAsia="楷体" w:hAnsi="Times New Roman"/>
                <w:b/>
                <w:noProof/>
              </w:rPr>
              <w:t>天然橡胶</w:t>
            </w:r>
            <w:r w:rsidRPr="008C4EA5">
              <w:rPr>
                <w:rStyle w:val="a9"/>
                <w:rFonts w:ascii="Times New Roman" w:eastAsia="楷体" w:hAnsi="Times New Roman"/>
                <w:b/>
                <w:noProof/>
              </w:rPr>
              <w:t>:</w:t>
            </w:r>
            <w:r w:rsidRPr="008C4EA5">
              <w:rPr>
                <w:rStyle w:val="a9"/>
                <w:rFonts w:ascii="楷体" w:eastAsia="楷体" w:hAnsi="楷体"/>
                <w:b/>
                <w:noProof/>
              </w:rPr>
              <w:t xml:space="preserve"> 短时天胶超跌反弹 但上方空间有限</w:t>
            </w:r>
          </w:hyperlink>
        </w:p>
        <w:p w:rsidR="00DF07E7" w:rsidRDefault="00DF07E7">
          <w:pPr>
            <w:pStyle w:val="23"/>
            <w:tabs>
              <w:tab w:val="right" w:leader="dot" w:pos="8296"/>
            </w:tabs>
            <w:rPr>
              <w:rFonts w:eastAsiaTheme="minorEastAsia"/>
              <w:noProof/>
              <w:szCs w:val="22"/>
            </w:rPr>
          </w:pPr>
          <w:hyperlink w:anchor="_Toc153357904" w:history="1">
            <w:r w:rsidRPr="008C4EA5">
              <w:rPr>
                <w:rStyle w:val="a9"/>
                <w:rFonts w:ascii="楷体" w:eastAsia="楷体" w:hAnsi="楷体"/>
                <w:b/>
                <w:noProof/>
              </w:rPr>
              <w:t>PTA：</w:t>
            </w:r>
            <w:r w:rsidRPr="008C4EA5">
              <w:rPr>
                <w:rStyle w:val="a9"/>
                <w:rFonts w:ascii="Calibri" w:eastAsia="楷体" w:hAnsi="Calibri" w:cs="Calibri"/>
                <w:b/>
                <w:noProof/>
              </w:rPr>
              <w:t>供需矛盾不突出</w:t>
            </w:r>
            <w:r w:rsidRPr="008C4EA5">
              <w:rPr>
                <w:rStyle w:val="a9"/>
                <w:rFonts w:ascii="Calibri" w:eastAsia="楷体" w:hAnsi="Calibri" w:cs="Calibri"/>
                <w:b/>
                <w:noProof/>
              </w:rPr>
              <w:t xml:space="preserve"> </w:t>
            </w:r>
            <w:r w:rsidRPr="008C4EA5">
              <w:rPr>
                <w:rStyle w:val="a9"/>
                <w:rFonts w:ascii="Calibri" w:eastAsia="楷体" w:hAnsi="Calibri" w:cs="Calibri"/>
                <w:b/>
                <w:noProof/>
              </w:rPr>
              <w:t>短期跟随成本端调整</w:t>
            </w:r>
          </w:hyperlink>
        </w:p>
        <w:p w:rsidR="00DF07E7" w:rsidRDefault="00DF07E7">
          <w:pPr>
            <w:pStyle w:val="23"/>
            <w:tabs>
              <w:tab w:val="right" w:leader="dot" w:pos="8296"/>
            </w:tabs>
            <w:rPr>
              <w:rFonts w:eastAsiaTheme="minorEastAsia"/>
              <w:noProof/>
              <w:szCs w:val="22"/>
            </w:rPr>
          </w:pPr>
          <w:hyperlink w:anchor="_Toc153357905" w:history="1">
            <w:r w:rsidRPr="008C4EA5">
              <w:rPr>
                <w:rStyle w:val="a9"/>
                <w:rFonts w:ascii="楷体" w:eastAsia="楷体" w:hAnsi="楷体"/>
                <w:b/>
                <w:noProof/>
              </w:rPr>
              <w:t>聚烯烃：成本供需均无亮点 聚烯烃维持低位震荡</w:t>
            </w:r>
          </w:hyperlink>
        </w:p>
        <w:p w:rsidR="00DF07E7" w:rsidRDefault="00DF07E7">
          <w:pPr>
            <w:pStyle w:val="23"/>
            <w:tabs>
              <w:tab w:val="right" w:leader="dot" w:pos="8296"/>
            </w:tabs>
            <w:rPr>
              <w:rFonts w:eastAsiaTheme="minorEastAsia"/>
              <w:noProof/>
              <w:szCs w:val="22"/>
            </w:rPr>
          </w:pPr>
          <w:hyperlink w:anchor="_Toc153357906" w:history="1">
            <w:r w:rsidRPr="008C4EA5">
              <w:rPr>
                <w:rStyle w:val="a9"/>
                <w:rFonts w:ascii="楷体" w:eastAsia="楷体" w:hAnsi="楷体"/>
                <w:b/>
                <w:noProof/>
              </w:rPr>
              <w:t>MEG：区间操作为主</w:t>
            </w:r>
          </w:hyperlink>
        </w:p>
        <w:p w:rsidR="00DF07E7" w:rsidRDefault="00DF07E7">
          <w:pPr>
            <w:pStyle w:val="23"/>
            <w:tabs>
              <w:tab w:val="right" w:leader="dot" w:pos="8296"/>
            </w:tabs>
            <w:rPr>
              <w:rFonts w:eastAsiaTheme="minorEastAsia"/>
              <w:noProof/>
              <w:szCs w:val="22"/>
            </w:rPr>
          </w:pPr>
          <w:hyperlink w:anchor="_Toc153357907" w:history="1">
            <w:r w:rsidRPr="008C4EA5">
              <w:rPr>
                <w:rStyle w:val="a9"/>
                <w:rFonts w:ascii="楷体" w:eastAsia="楷体" w:hAnsi="楷体"/>
                <w:b/>
                <w:noProof/>
              </w:rPr>
              <w:t>玻璃：补库趋缓，偏弱震荡</w:t>
            </w:r>
          </w:hyperlink>
        </w:p>
        <w:p w:rsidR="00DF07E7" w:rsidRDefault="00DF07E7">
          <w:pPr>
            <w:pStyle w:val="23"/>
            <w:tabs>
              <w:tab w:val="right" w:leader="dot" w:pos="8296"/>
            </w:tabs>
            <w:rPr>
              <w:rFonts w:eastAsiaTheme="minorEastAsia"/>
              <w:noProof/>
              <w:szCs w:val="22"/>
            </w:rPr>
          </w:pPr>
          <w:hyperlink w:anchor="_Toc153357908" w:history="1">
            <w:r w:rsidRPr="008C4EA5">
              <w:rPr>
                <w:rStyle w:val="a9"/>
                <w:rFonts w:ascii="楷体" w:eastAsia="楷体" w:hAnsi="楷体"/>
                <w:b/>
                <w:noProof/>
              </w:rPr>
              <w:t>纯碱：现货稳价期，短期无强驱动</w:t>
            </w:r>
          </w:hyperlink>
        </w:p>
        <w:p w:rsidR="00DF07E7" w:rsidRDefault="00DF07E7">
          <w:pPr>
            <w:pStyle w:val="11"/>
            <w:tabs>
              <w:tab w:val="right" w:leader="dot" w:pos="8296"/>
            </w:tabs>
            <w:rPr>
              <w:rFonts w:eastAsiaTheme="minorEastAsia"/>
              <w:noProof/>
              <w:szCs w:val="22"/>
            </w:rPr>
          </w:pPr>
          <w:hyperlink w:anchor="_Toc153357909" w:history="1">
            <w:r w:rsidRPr="008C4EA5">
              <w:rPr>
                <w:rStyle w:val="a9"/>
                <w:rFonts w:ascii="Times New Roman" w:eastAsia="楷体" w:hAnsi="Times New Roman"/>
                <w:b/>
                <w:noProof/>
              </w:rPr>
              <w:t>[</w:t>
            </w:r>
            <w:r w:rsidRPr="008C4EA5">
              <w:rPr>
                <w:rStyle w:val="a9"/>
                <w:rFonts w:ascii="Times New Roman" w:eastAsia="楷体" w:hAnsi="Times New Roman"/>
                <w:b/>
                <w:noProof/>
              </w:rPr>
              <w:t>农产品</w:t>
            </w:r>
            <w:r w:rsidRPr="008C4EA5">
              <w:rPr>
                <w:rStyle w:val="a9"/>
                <w:rFonts w:ascii="Times New Roman" w:eastAsia="楷体" w:hAnsi="Times New Roman"/>
                <w:b/>
                <w:noProof/>
              </w:rPr>
              <w:t>]</w:t>
            </w:r>
          </w:hyperlink>
        </w:p>
        <w:p w:rsidR="00DF07E7" w:rsidRDefault="00DF07E7">
          <w:pPr>
            <w:pStyle w:val="23"/>
            <w:tabs>
              <w:tab w:val="right" w:leader="dot" w:pos="8296"/>
            </w:tabs>
            <w:rPr>
              <w:rFonts w:eastAsiaTheme="minorEastAsia"/>
              <w:noProof/>
              <w:szCs w:val="22"/>
            </w:rPr>
          </w:pPr>
          <w:hyperlink w:anchor="_Toc153357910" w:history="1">
            <w:r w:rsidRPr="008C4EA5">
              <w:rPr>
                <w:rStyle w:val="a9"/>
                <w:rFonts w:ascii="楷体" w:eastAsia="楷体" w:hAnsi="楷体"/>
                <w:b/>
                <w:noProof/>
              </w:rPr>
              <w:t>豆粕/菜粕：南美天气不稳定，期价震荡运行</w:t>
            </w:r>
          </w:hyperlink>
        </w:p>
        <w:p w:rsidR="00DF07E7" w:rsidRDefault="00DF07E7">
          <w:pPr>
            <w:pStyle w:val="23"/>
            <w:tabs>
              <w:tab w:val="right" w:leader="dot" w:pos="8296"/>
            </w:tabs>
            <w:rPr>
              <w:rFonts w:eastAsiaTheme="minorEastAsia"/>
              <w:noProof/>
              <w:szCs w:val="22"/>
            </w:rPr>
          </w:pPr>
          <w:hyperlink w:anchor="_Toc153357911" w:history="1">
            <w:r w:rsidRPr="008C4EA5">
              <w:rPr>
                <w:rStyle w:val="a9"/>
                <w:rFonts w:ascii="楷体" w:eastAsia="楷体" w:hAnsi="楷体"/>
                <w:b/>
                <w:noProof/>
              </w:rPr>
              <w:t>油脂：MPOB报告中性偏多，油脂反弹乏力</w:t>
            </w:r>
          </w:hyperlink>
        </w:p>
        <w:p w:rsidR="00DF07E7" w:rsidRDefault="00DF07E7">
          <w:pPr>
            <w:pStyle w:val="23"/>
            <w:tabs>
              <w:tab w:val="right" w:leader="dot" w:pos="8296"/>
            </w:tabs>
            <w:rPr>
              <w:rFonts w:eastAsiaTheme="minorEastAsia"/>
              <w:noProof/>
              <w:szCs w:val="22"/>
            </w:rPr>
          </w:pPr>
          <w:hyperlink w:anchor="_Toc153357912" w:history="1">
            <w:r w:rsidRPr="008C4EA5">
              <w:rPr>
                <w:rStyle w:val="a9"/>
                <w:rFonts w:ascii="楷体" w:eastAsia="楷体" w:hAnsi="楷体"/>
                <w:b/>
                <w:bCs/>
                <w:noProof/>
              </w:rPr>
              <w:t>玉米与淀粉：</w:t>
            </w:r>
            <w:r w:rsidRPr="008C4EA5">
              <w:rPr>
                <w:rStyle w:val="a9"/>
                <w:rFonts w:ascii="楷体" w:eastAsia="楷体" w:hAnsi="楷体"/>
                <w:b/>
                <w:noProof/>
              </w:rPr>
              <w:t>现货带动期价延续弱势</w:t>
            </w:r>
          </w:hyperlink>
        </w:p>
        <w:p w:rsidR="00DF07E7" w:rsidRDefault="00DF07E7">
          <w:pPr>
            <w:pStyle w:val="23"/>
            <w:tabs>
              <w:tab w:val="right" w:leader="dot" w:pos="8296"/>
            </w:tabs>
            <w:rPr>
              <w:rFonts w:eastAsiaTheme="minorEastAsia"/>
              <w:noProof/>
              <w:szCs w:val="22"/>
            </w:rPr>
          </w:pPr>
          <w:hyperlink w:anchor="_Toc153357913" w:history="1">
            <w:r w:rsidRPr="008C4EA5">
              <w:rPr>
                <w:rStyle w:val="a9"/>
                <w:rFonts w:ascii="楷体" w:eastAsia="楷体" w:hAnsi="楷体"/>
                <w:b/>
                <w:bCs/>
                <w:noProof/>
              </w:rPr>
              <w:t>畜禽养殖：生猪近月期价大幅反弹</w:t>
            </w:r>
          </w:hyperlink>
        </w:p>
        <w:p w:rsidR="00DF07E7" w:rsidRDefault="00DF07E7">
          <w:pPr>
            <w:pStyle w:val="23"/>
            <w:tabs>
              <w:tab w:val="right" w:leader="dot" w:pos="8296"/>
            </w:tabs>
            <w:rPr>
              <w:rFonts w:eastAsiaTheme="minorEastAsia"/>
              <w:noProof/>
              <w:szCs w:val="22"/>
            </w:rPr>
          </w:pPr>
          <w:hyperlink w:anchor="_Toc153357914" w:history="1">
            <w:r w:rsidRPr="008C4EA5">
              <w:rPr>
                <w:rStyle w:val="a9"/>
                <w:rFonts w:ascii="楷体" w:eastAsia="楷体" w:hAnsi="楷体"/>
                <w:b/>
                <w:noProof/>
              </w:rPr>
              <w:t>郑棉：震荡整理</w:t>
            </w:r>
          </w:hyperlink>
        </w:p>
        <w:p w:rsidR="00DF07E7" w:rsidRDefault="00DF07E7">
          <w:pPr>
            <w:pStyle w:val="23"/>
            <w:tabs>
              <w:tab w:val="right" w:leader="dot" w:pos="8296"/>
            </w:tabs>
            <w:rPr>
              <w:rFonts w:eastAsiaTheme="minorEastAsia"/>
              <w:noProof/>
              <w:szCs w:val="22"/>
            </w:rPr>
          </w:pPr>
          <w:hyperlink w:anchor="_Toc153357915" w:history="1">
            <w:r w:rsidRPr="008C4EA5">
              <w:rPr>
                <w:rStyle w:val="a9"/>
                <w:rFonts w:ascii="楷体" w:eastAsia="楷体" w:hAnsi="楷体"/>
                <w:b/>
                <w:noProof/>
              </w:rPr>
              <w:t>白糖：偏弱震荡</w:t>
            </w:r>
          </w:hyperlink>
        </w:p>
        <w:p w:rsidR="00DF07E7" w:rsidRDefault="00DF07E7">
          <w:pPr>
            <w:pStyle w:val="11"/>
            <w:tabs>
              <w:tab w:val="right" w:leader="dot" w:pos="8296"/>
            </w:tabs>
            <w:rPr>
              <w:rFonts w:eastAsiaTheme="minorEastAsia"/>
              <w:noProof/>
              <w:szCs w:val="22"/>
            </w:rPr>
          </w:pPr>
          <w:hyperlink w:anchor="_Toc153357916" w:history="1">
            <w:r w:rsidRPr="008C4EA5">
              <w:rPr>
                <w:rStyle w:val="a9"/>
                <w:rFonts w:ascii="Times New Roman" w:eastAsia="楷体" w:hAnsi="Times New Roman"/>
                <w:b/>
                <w:noProof/>
              </w:rPr>
              <w:t>[</w:t>
            </w:r>
            <w:r w:rsidRPr="008C4EA5">
              <w:rPr>
                <w:rStyle w:val="a9"/>
                <w:rFonts w:ascii="Times New Roman" w:eastAsia="楷体" w:hAnsi="Times New Roman"/>
                <w:b/>
                <w:noProof/>
              </w:rPr>
              <w:t>指数</w:t>
            </w:r>
            <w:r w:rsidRPr="008C4EA5">
              <w:rPr>
                <w:rStyle w:val="a9"/>
                <w:rFonts w:ascii="Times New Roman" w:eastAsia="楷体" w:hAnsi="Times New Roman"/>
                <w:b/>
                <w:noProof/>
              </w:rPr>
              <w:t>]</w:t>
            </w:r>
          </w:hyperlink>
        </w:p>
        <w:p w:rsidR="00DF07E7" w:rsidRDefault="00DF07E7">
          <w:pPr>
            <w:pStyle w:val="23"/>
            <w:tabs>
              <w:tab w:val="right" w:leader="dot" w:pos="8296"/>
            </w:tabs>
            <w:rPr>
              <w:rFonts w:eastAsiaTheme="minorEastAsia"/>
              <w:noProof/>
              <w:szCs w:val="22"/>
            </w:rPr>
          </w:pPr>
          <w:hyperlink w:anchor="_Toc153357917" w:history="1">
            <w:r w:rsidRPr="008C4EA5">
              <w:rPr>
                <w:rStyle w:val="a9"/>
                <w:rFonts w:ascii="Times New Roman" w:eastAsia="楷体" w:hAnsi="Times New Roman"/>
                <w:b/>
                <w:noProof/>
              </w:rPr>
              <w:t>集运指数（欧线）：现货端利好消息支撑，</w:t>
            </w:r>
            <w:r w:rsidRPr="008C4EA5">
              <w:rPr>
                <w:rStyle w:val="a9"/>
                <w:rFonts w:ascii="Times New Roman" w:eastAsia="楷体" w:hAnsi="Times New Roman"/>
                <w:b/>
                <w:noProof/>
              </w:rPr>
              <w:t>EC</w:t>
            </w:r>
            <w:r w:rsidRPr="008C4EA5">
              <w:rPr>
                <w:rStyle w:val="a9"/>
                <w:rFonts w:ascii="Times New Roman" w:eastAsia="楷体" w:hAnsi="Times New Roman"/>
                <w:b/>
                <w:noProof/>
              </w:rPr>
              <w:t>或将保持高位震荡</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33578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3357887"/>
      <w:bookmarkEnd w:id="4"/>
      <w:r>
        <w:rPr>
          <w:rFonts w:ascii="Times New Roman" w:eastAsia="楷体" w:hAnsi="Times New Roman" w:hint="eastAsia"/>
          <w:b/>
          <w:color w:val="000000" w:themeColor="text1"/>
          <w:sz w:val="24"/>
          <w:szCs w:val="24"/>
        </w:rPr>
        <w:t>股指：</w:t>
      </w:r>
      <w:bookmarkEnd w:id="6"/>
      <w:bookmarkEnd w:id="7"/>
      <w:r w:rsidR="009B3615" w:rsidRPr="009B3615">
        <w:rPr>
          <w:rFonts w:ascii="Times New Roman" w:eastAsia="楷体" w:hAnsi="Times New Roman" w:hint="eastAsia"/>
          <w:b/>
          <w:color w:val="000000" w:themeColor="text1"/>
          <w:sz w:val="24"/>
          <w:szCs w:val="24"/>
        </w:rPr>
        <w:t>波段操作，低吸</w:t>
      </w:r>
      <w:r w:rsidR="009B3615" w:rsidRPr="009B3615">
        <w:rPr>
          <w:rFonts w:ascii="Times New Roman" w:eastAsia="楷体" w:hAnsi="Times New Roman" w:hint="eastAsia"/>
          <w:b/>
          <w:color w:val="000000" w:themeColor="text1"/>
          <w:sz w:val="24"/>
          <w:szCs w:val="24"/>
        </w:rPr>
        <w:t>IM</w:t>
      </w:r>
      <w:r w:rsidR="009B3615" w:rsidRPr="009B3615">
        <w:rPr>
          <w:rFonts w:ascii="Times New Roman" w:eastAsia="楷体" w:hAnsi="Times New Roman" w:hint="eastAsia"/>
          <w:b/>
          <w:color w:val="000000" w:themeColor="text1"/>
          <w:sz w:val="24"/>
          <w:szCs w:val="24"/>
        </w:rPr>
        <w:t>多单</w:t>
      </w:r>
      <w:bookmarkEnd w:id="8"/>
    </w:p>
    <w:p w:rsidR="009B3615" w:rsidRPr="009B3615" w:rsidRDefault="009B3615" w:rsidP="009B3615">
      <w:pPr>
        <w:ind w:leftChars="300" w:left="630"/>
        <w:rPr>
          <w:rFonts w:ascii="Times New Roman" w:eastAsia="楷体" w:hAnsi="Times New Roman" w:hint="eastAsia"/>
          <w:color w:val="000000" w:themeColor="text1"/>
          <w:sz w:val="24"/>
          <w:szCs w:val="24"/>
        </w:rPr>
      </w:pPr>
      <w:r w:rsidRPr="009B3615">
        <w:rPr>
          <w:rFonts w:ascii="Times New Roman" w:eastAsia="楷体" w:hAnsi="Times New Roman" w:hint="eastAsia"/>
          <w:color w:val="000000" w:themeColor="text1"/>
          <w:sz w:val="24"/>
          <w:szCs w:val="24"/>
        </w:rPr>
        <w:t>中央经济会议释放积极信息，会议文件符合市场预期，整体不宜低估</w:t>
      </w:r>
      <w:r w:rsidRPr="009B3615">
        <w:rPr>
          <w:rFonts w:ascii="Times New Roman" w:eastAsia="楷体" w:hAnsi="Times New Roman" w:hint="eastAsia"/>
          <w:color w:val="000000" w:themeColor="text1"/>
          <w:sz w:val="24"/>
          <w:szCs w:val="24"/>
        </w:rPr>
        <w:t xml:space="preserve"> 2024 </w:t>
      </w:r>
      <w:r w:rsidRPr="009B3615">
        <w:rPr>
          <w:rFonts w:ascii="Times New Roman" w:eastAsia="楷体" w:hAnsi="Times New Roman" w:hint="eastAsia"/>
          <w:color w:val="000000" w:themeColor="text1"/>
          <w:sz w:val="24"/>
          <w:szCs w:val="24"/>
        </w:rPr>
        <w:t>年政策的力度，政策重点指向扩大内需及科技创新。</w:t>
      </w:r>
    </w:p>
    <w:p w:rsidR="003F56A5" w:rsidRDefault="009B3615" w:rsidP="009B3615">
      <w:pPr>
        <w:ind w:leftChars="300" w:left="630"/>
        <w:rPr>
          <w:rFonts w:ascii="Times New Roman" w:eastAsia="楷体" w:hAnsi="Times New Roman"/>
          <w:color w:val="000000" w:themeColor="text1"/>
          <w:sz w:val="24"/>
          <w:szCs w:val="24"/>
        </w:rPr>
      </w:pPr>
      <w:r w:rsidRPr="009B3615">
        <w:rPr>
          <w:rFonts w:ascii="Times New Roman" w:eastAsia="楷体" w:hAnsi="Times New Roman" w:hint="eastAsia"/>
          <w:color w:val="000000" w:themeColor="text1"/>
          <w:sz w:val="24"/>
          <w:szCs w:val="24"/>
        </w:rPr>
        <w:t>美国劳工部公布了美国</w:t>
      </w:r>
      <w:r w:rsidRPr="009B3615">
        <w:rPr>
          <w:rFonts w:ascii="Times New Roman" w:eastAsia="楷体" w:hAnsi="Times New Roman" w:hint="eastAsia"/>
          <w:color w:val="000000" w:themeColor="text1"/>
          <w:sz w:val="24"/>
          <w:szCs w:val="24"/>
        </w:rPr>
        <w:t>11</w:t>
      </w:r>
      <w:r w:rsidRPr="009B3615">
        <w:rPr>
          <w:rFonts w:ascii="Times New Roman" w:eastAsia="楷体" w:hAnsi="Times New Roman" w:hint="eastAsia"/>
          <w:color w:val="000000" w:themeColor="text1"/>
          <w:sz w:val="24"/>
          <w:szCs w:val="24"/>
        </w:rPr>
        <w:t>月</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数据，其中显示，美国</w:t>
      </w:r>
      <w:r w:rsidRPr="009B3615">
        <w:rPr>
          <w:rFonts w:ascii="Times New Roman" w:eastAsia="楷体" w:hAnsi="Times New Roman" w:hint="eastAsia"/>
          <w:color w:val="000000" w:themeColor="text1"/>
          <w:sz w:val="24"/>
          <w:szCs w:val="24"/>
        </w:rPr>
        <w:t>11</w:t>
      </w:r>
      <w:r w:rsidRPr="009B3615">
        <w:rPr>
          <w:rFonts w:ascii="Times New Roman" w:eastAsia="楷体" w:hAnsi="Times New Roman" w:hint="eastAsia"/>
          <w:color w:val="000000" w:themeColor="text1"/>
          <w:sz w:val="24"/>
          <w:szCs w:val="24"/>
        </w:rPr>
        <w:t>月核心</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同比增长</w:t>
      </w:r>
      <w:r w:rsidRPr="009B3615">
        <w:rPr>
          <w:rFonts w:ascii="Times New Roman" w:eastAsia="楷体" w:hAnsi="Times New Roman" w:hint="eastAsia"/>
          <w:color w:val="000000" w:themeColor="text1"/>
          <w:sz w:val="24"/>
          <w:szCs w:val="24"/>
        </w:rPr>
        <w:t>4%</w:t>
      </w:r>
      <w:r w:rsidRPr="009B3615">
        <w:rPr>
          <w:rFonts w:ascii="Times New Roman" w:eastAsia="楷体" w:hAnsi="Times New Roman" w:hint="eastAsia"/>
          <w:color w:val="000000" w:themeColor="text1"/>
          <w:sz w:val="24"/>
          <w:szCs w:val="24"/>
        </w:rPr>
        <w:t>，符合市场预期；美国</w:t>
      </w:r>
      <w:r w:rsidRPr="009B3615">
        <w:rPr>
          <w:rFonts w:ascii="Times New Roman" w:eastAsia="楷体" w:hAnsi="Times New Roman" w:hint="eastAsia"/>
          <w:color w:val="000000" w:themeColor="text1"/>
          <w:sz w:val="24"/>
          <w:szCs w:val="24"/>
        </w:rPr>
        <w:t>11</w:t>
      </w:r>
      <w:r w:rsidRPr="009B3615">
        <w:rPr>
          <w:rFonts w:ascii="Times New Roman" w:eastAsia="楷体" w:hAnsi="Times New Roman" w:hint="eastAsia"/>
          <w:color w:val="000000" w:themeColor="text1"/>
          <w:sz w:val="24"/>
          <w:szCs w:val="24"/>
        </w:rPr>
        <w:t>月</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同比增长</w:t>
      </w:r>
      <w:r w:rsidRPr="009B3615">
        <w:rPr>
          <w:rFonts w:ascii="Times New Roman" w:eastAsia="楷体" w:hAnsi="Times New Roman" w:hint="eastAsia"/>
          <w:color w:val="000000" w:themeColor="text1"/>
          <w:sz w:val="24"/>
          <w:szCs w:val="24"/>
        </w:rPr>
        <w:t>3.1%</w:t>
      </w:r>
      <w:r w:rsidRPr="009B3615">
        <w:rPr>
          <w:rFonts w:ascii="Times New Roman" w:eastAsia="楷体" w:hAnsi="Times New Roman" w:hint="eastAsia"/>
          <w:color w:val="000000" w:themeColor="text1"/>
          <w:sz w:val="24"/>
          <w:szCs w:val="24"/>
        </w:rPr>
        <w:t>，也符合市场预期。数据公布后，互换合约显示，</w:t>
      </w:r>
      <w:r w:rsidRPr="009B3615">
        <w:rPr>
          <w:rFonts w:ascii="Times New Roman" w:eastAsia="楷体" w:hAnsi="Times New Roman" w:hint="eastAsia"/>
          <w:color w:val="000000" w:themeColor="text1"/>
          <w:sz w:val="24"/>
          <w:szCs w:val="24"/>
        </w:rPr>
        <w:t>2024</w:t>
      </w:r>
      <w:r w:rsidRPr="009B3615">
        <w:rPr>
          <w:rFonts w:ascii="Times New Roman" w:eastAsia="楷体" w:hAnsi="Times New Roman" w:hint="eastAsia"/>
          <w:color w:val="000000" w:themeColor="text1"/>
          <w:sz w:val="24"/>
          <w:szCs w:val="24"/>
        </w:rPr>
        <w:t>年降息的可能性略有上升；与美联储政策利率挂钩的期货合约预计美联储将于</w:t>
      </w:r>
      <w:r w:rsidRPr="009B3615">
        <w:rPr>
          <w:rFonts w:ascii="Times New Roman" w:eastAsia="楷体" w:hAnsi="Times New Roman" w:hint="eastAsia"/>
          <w:color w:val="000000" w:themeColor="text1"/>
          <w:sz w:val="24"/>
          <w:szCs w:val="24"/>
        </w:rPr>
        <w:t>2024</w:t>
      </w:r>
      <w:r w:rsidRPr="009B3615">
        <w:rPr>
          <w:rFonts w:ascii="Times New Roman" w:eastAsia="楷体" w:hAnsi="Times New Roman" w:hint="eastAsia"/>
          <w:color w:val="000000" w:themeColor="text1"/>
          <w:sz w:val="24"/>
          <w:szCs w:val="24"/>
        </w:rPr>
        <w:t>年</w:t>
      </w:r>
      <w:r w:rsidRPr="009B3615">
        <w:rPr>
          <w:rFonts w:ascii="Times New Roman" w:eastAsia="楷体" w:hAnsi="Times New Roman" w:hint="eastAsia"/>
          <w:color w:val="000000" w:themeColor="text1"/>
          <w:sz w:val="24"/>
          <w:szCs w:val="24"/>
        </w:rPr>
        <w:t>3</w:t>
      </w:r>
      <w:r w:rsidRPr="009B3615">
        <w:rPr>
          <w:rFonts w:ascii="Times New Roman" w:eastAsia="楷体" w:hAnsi="Times New Roman" w:hint="eastAsia"/>
          <w:color w:val="000000" w:themeColor="text1"/>
          <w:sz w:val="24"/>
          <w:szCs w:val="24"/>
        </w:rPr>
        <w:t>月开始降息。美联储即将举行年内最后一次议息会议，将于北京时间周四凌晨公布利率决议。从目前金融市场表现看，不相信他关于进一步收紧货币政策的警告，不排除美联储意外放鹰可能，故需警惕前后预期差的扰动。操作层面，底部反复将是常态，仍是低吸思路对待</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335788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3357889"/>
      <w:r>
        <w:rPr>
          <w:rFonts w:ascii="Times New Roman" w:eastAsia="楷体" w:hAnsi="Times New Roman" w:hint="eastAsia"/>
          <w:b/>
          <w:color w:val="000000" w:themeColor="text1"/>
          <w:sz w:val="24"/>
          <w:szCs w:val="24"/>
        </w:rPr>
        <w:t>贵金属：</w:t>
      </w:r>
      <w:r w:rsidR="009B3615" w:rsidRPr="009B3615">
        <w:rPr>
          <w:rFonts w:ascii="Times New Roman" w:eastAsia="楷体" w:hAnsi="Times New Roman" w:hint="eastAsia"/>
          <w:b/>
          <w:color w:val="000000" w:themeColor="text1"/>
          <w:sz w:val="24"/>
          <w:szCs w:val="24"/>
        </w:rPr>
        <w:t>美国</w:t>
      </w:r>
      <w:r w:rsidR="009B3615" w:rsidRPr="009B3615">
        <w:rPr>
          <w:rFonts w:ascii="Times New Roman" w:eastAsia="楷体" w:hAnsi="Times New Roman" w:hint="eastAsia"/>
          <w:b/>
          <w:color w:val="000000" w:themeColor="text1"/>
          <w:sz w:val="24"/>
          <w:szCs w:val="24"/>
        </w:rPr>
        <w:t>CPI</w:t>
      </w:r>
      <w:r w:rsidR="009B3615" w:rsidRPr="009B3615">
        <w:rPr>
          <w:rFonts w:ascii="Times New Roman" w:eastAsia="楷体" w:hAnsi="Times New Roman" w:hint="eastAsia"/>
          <w:b/>
          <w:color w:val="000000" w:themeColor="text1"/>
          <w:sz w:val="24"/>
          <w:szCs w:val="24"/>
        </w:rPr>
        <w:t>通胀符合预期，贵金属价格下跌</w:t>
      </w:r>
      <w:bookmarkEnd w:id="10"/>
    </w:p>
    <w:p w:rsidR="003F56A5" w:rsidRDefault="009B3615">
      <w:pPr>
        <w:ind w:leftChars="300" w:left="630"/>
        <w:rPr>
          <w:rFonts w:ascii="Times New Roman" w:eastAsia="楷体" w:hAnsi="Times New Roman"/>
          <w:sz w:val="24"/>
          <w:szCs w:val="24"/>
        </w:rPr>
      </w:pPr>
      <w:r w:rsidRPr="009B3615">
        <w:rPr>
          <w:rFonts w:ascii="Times New Roman" w:eastAsia="楷体" w:hAnsi="Times New Roman" w:hint="eastAsia"/>
          <w:color w:val="000000" w:themeColor="text1"/>
          <w:sz w:val="24"/>
          <w:szCs w:val="24"/>
        </w:rPr>
        <w:t>美元指数跌</w:t>
      </w:r>
      <w:r w:rsidRPr="009B3615">
        <w:rPr>
          <w:rFonts w:ascii="Times New Roman" w:eastAsia="楷体" w:hAnsi="Times New Roman" w:hint="eastAsia"/>
          <w:color w:val="000000" w:themeColor="text1"/>
          <w:sz w:val="24"/>
          <w:szCs w:val="24"/>
        </w:rPr>
        <w:t>0.26%</w:t>
      </w:r>
      <w:r w:rsidRPr="009B3615">
        <w:rPr>
          <w:rFonts w:ascii="Times New Roman" w:eastAsia="楷体" w:hAnsi="Times New Roman" w:hint="eastAsia"/>
          <w:color w:val="000000" w:themeColor="text1"/>
          <w:sz w:val="24"/>
          <w:szCs w:val="24"/>
        </w:rPr>
        <w:t>至</w:t>
      </w:r>
      <w:r w:rsidRPr="009B3615">
        <w:rPr>
          <w:rFonts w:ascii="Times New Roman" w:eastAsia="楷体" w:hAnsi="Times New Roman" w:hint="eastAsia"/>
          <w:color w:val="000000" w:themeColor="text1"/>
          <w:sz w:val="24"/>
          <w:szCs w:val="24"/>
        </w:rPr>
        <w:t>103.81</w:t>
      </w:r>
      <w:r w:rsidRPr="009B3615">
        <w:rPr>
          <w:rFonts w:ascii="Times New Roman" w:eastAsia="楷体" w:hAnsi="Times New Roman" w:hint="eastAsia"/>
          <w:color w:val="000000" w:themeColor="text1"/>
          <w:sz w:val="24"/>
          <w:szCs w:val="24"/>
        </w:rPr>
        <w:t>，美十债收益率跌</w:t>
      </w:r>
      <w:r w:rsidRPr="009B3615">
        <w:rPr>
          <w:rFonts w:ascii="Times New Roman" w:eastAsia="楷体" w:hAnsi="Times New Roman" w:hint="eastAsia"/>
          <w:color w:val="000000" w:themeColor="text1"/>
          <w:sz w:val="24"/>
          <w:szCs w:val="24"/>
        </w:rPr>
        <w:t>3.4bp</w:t>
      </w:r>
      <w:r w:rsidRPr="009B3615">
        <w:rPr>
          <w:rFonts w:ascii="Times New Roman" w:eastAsia="楷体" w:hAnsi="Times New Roman" w:hint="eastAsia"/>
          <w:color w:val="000000" w:themeColor="text1"/>
          <w:sz w:val="24"/>
          <w:szCs w:val="24"/>
        </w:rPr>
        <w:t>至</w:t>
      </w:r>
      <w:r w:rsidRPr="009B3615">
        <w:rPr>
          <w:rFonts w:ascii="Times New Roman" w:eastAsia="楷体" w:hAnsi="Times New Roman" w:hint="eastAsia"/>
          <w:color w:val="000000" w:themeColor="text1"/>
          <w:sz w:val="24"/>
          <w:szCs w:val="24"/>
        </w:rPr>
        <w:t>4.203%</w:t>
      </w:r>
      <w:r w:rsidRPr="009B3615">
        <w:rPr>
          <w:rFonts w:ascii="Times New Roman" w:eastAsia="楷体" w:hAnsi="Times New Roman" w:hint="eastAsia"/>
          <w:color w:val="000000" w:themeColor="text1"/>
          <w:sz w:val="24"/>
          <w:szCs w:val="24"/>
        </w:rPr>
        <w:t>，外盘</w:t>
      </w:r>
      <w:r w:rsidRPr="009B3615">
        <w:rPr>
          <w:rFonts w:ascii="Times New Roman" w:eastAsia="楷体" w:hAnsi="Times New Roman" w:hint="eastAsia"/>
          <w:color w:val="000000" w:themeColor="text1"/>
          <w:sz w:val="24"/>
          <w:szCs w:val="24"/>
        </w:rPr>
        <w:t>COMEX</w:t>
      </w:r>
      <w:r w:rsidRPr="009B3615">
        <w:rPr>
          <w:rFonts w:ascii="Times New Roman" w:eastAsia="楷体" w:hAnsi="Times New Roman" w:hint="eastAsia"/>
          <w:color w:val="000000" w:themeColor="text1"/>
          <w:sz w:val="24"/>
          <w:szCs w:val="24"/>
        </w:rPr>
        <w:t>金价涨</w:t>
      </w:r>
      <w:r w:rsidRPr="009B3615">
        <w:rPr>
          <w:rFonts w:ascii="Times New Roman" w:eastAsia="楷体" w:hAnsi="Times New Roman" w:hint="eastAsia"/>
          <w:color w:val="000000" w:themeColor="text1"/>
          <w:sz w:val="24"/>
          <w:szCs w:val="24"/>
        </w:rPr>
        <w:t>0.07%</w:t>
      </w:r>
      <w:r w:rsidRPr="009B3615">
        <w:rPr>
          <w:rFonts w:ascii="Times New Roman" w:eastAsia="楷体" w:hAnsi="Times New Roman" w:hint="eastAsia"/>
          <w:color w:val="000000" w:themeColor="text1"/>
          <w:sz w:val="24"/>
          <w:szCs w:val="24"/>
        </w:rPr>
        <w:t>至</w:t>
      </w:r>
      <w:r w:rsidRPr="009B3615">
        <w:rPr>
          <w:rFonts w:ascii="Times New Roman" w:eastAsia="楷体" w:hAnsi="Times New Roman" w:hint="eastAsia"/>
          <w:color w:val="000000" w:themeColor="text1"/>
          <w:sz w:val="24"/>
          <w:szCs w:val="24"/>
        </w:rPr>
        <w:t>1995</w:t>
      </w:r>
      <w:r w:rsidRPr="009B3615">
        <w:rPr>
          <w:rFonts w:ascii="Times New Roman" w:eastAsia="楷体" w:hAnsi="Times New Roman" w:hint="eastAsia"/>
          <w:color w:val="000000" w:themeColor="text1"/>
          <w:sz w:val="24"/>
          <w:szCs w:val="24"/>
        </w:rPr>
        <w:t>美元</w:t>
      </w:r>
      <w:r w:rsidRPr="009B3615">
        <w:rPr>
          <w:rFonts w:ascii="Times New Roman" w:eastAsia="楷体" w:hAnsi="Times New Roman" w:hint="eastAsia"/>
          <w:color w:val="000000" w:themeColor="text1"/>
          <w:sz w:val="24"/>
          <w:szCs w:val="24"/>
        </w:rPr>
        <w:t>/</w:t>
      </w:r>
      <w:r w:rsidRPr="009B3615">
        <w:rPr>
          <w:rFonts w:ascii="Times New Roman" w:eastAsia="楷体" w:hAnsi="Times New Roman" w:hint="eastAsia"/>
          <w:color w:val="000000" w:themeColor="text1"/>
          <w:sz w:val="24"/>
          <w:szCs w:val="24"/>
        </w:rPr>
        <w:t>盎司，</w:t>
      </w:r>
      <w:r w:rsidRPr="009B3615">
        <w:rPr>
          <w:rFonts w:ascii="Times New Roman" w:eastAsia="楷体" w:hAnsi="Times New Roman" w:hint="eastAsia"/>
          <w:color w:val="000000" w:themeColor="text1"/>
          <w:sz w:val="24"/>
          <w:szCs w:val="24"/>
        </w:rPr>
        <w:t>COMEX</w:t>
      </w:r>
      <w:r w:rsidRPr="009B3615">
        <w:rPr>
          <w:rFonts w:ascii="Times New Roman" w:eastAsia="楷体" w:hAnsi="Times New Roman" w:hint="eastAsia"/>
          <w:color w:val="000000" w:themeColor="text1"/>
          <w:sz w:val="24"/>
          <w:szCs w:val="24"/>
        </w:rPr>
        <w:t>银价涨</w:t>
      </w:r>
      <w:r w:rsidRPr="009B3615">
        <w:rPr>
          <w:rFonts w:ascii="Times New Roman" w:eastAsia="楷体" w:hAnsi="Times New Roman" w:hint="eastAsia"/>
          <w:color w:val="000000" w:themeColor="text1"/>
          <w:sz w:val="24"/>
          <w:szCs w:val="24"/>
        </w:rPr>
        <w:t>0.03%</w:t>
      </w:r>
      <w:r w:rsidRPr="009B3615">
        <w:rPr>
          <w:rFonts w:ascii="Times New Roman" w:eastAsia="楷体" w:hAnsi="Times New Roman" w:hint="eastAsia"/>
          <w:color w:val="000000" w:themeColor="text1"/>
          <w:sz w:val="24"/>
          <w:szCs w:val="24"/>
        </w:rPr>
        <w:t>至</w:t>
      </w:r>
      <w:r w:rsidRPr="009B3615">
        <w:rPr>
          <w:rFonts w:ascii="Times New Roman" w:eastAsia="楷体" w:hAnsi="Times New Roman" w:hint="eastAsia"/>
          <w:color w:val="000000" w:themeColor="text1"/>
          <w:sz w:val="24"/>
          <w:szCs w:val="24"/>
        </w:rPr>
        <w:t>23.065</w:t>
      </w:r>
      <w:r w:rsidRPr="009B3615">
        <w:rPr>
          <w:rFonts w:ascii="Times New Roman" w:eastAsia="楷体" w:hAnsi="Times New Roman" w:hint="eastAsia"/>
          <w:color w:val="000000" w:themeColor="text1"/>
          <w:sz w:val="24"/>
          <w:szCs w:val="24"/>
        </w:rPr>
        <w:t>美元</w:t>
      </w:r>
      <w:r w:rsidRPr="009B3615">
        <w:rPr>
          <w:rFonts w:ascii="Times New Roman" w:eastAsia="楷体" w:hAnsi="Times New Roman" w:hint="eastAsia"/>
          <w:color w:val="000000" w:themeColor="text1"/>
          <w:sz w:val="24"/>
          <w:szCs w:val="24"/>
        </w:rPr>
        <w:t>/</w:t>
      </w:r>
      <w:r w:rsidRPr="009B3615">
        <w:rPr>
          <w:rFonts w:ascii="Times New Roman" w:eastAsia="楷体" w:hAnsi="Times New Roman" w:hint="eastAsia"/>
          <w:color w:val="000000" w:themeColor="text1"/>
          <w:sz w:val="24"/>
          <w:szCs w:val="24"/>
        </w:rPr>
        <w:t>盎司。沪金跌</w:t>
      </w:r>
      <w:r w:rsidRPr="009B3615">
        <w:rPr>
          <w:rFonts w:ascii="Times New Roman" w:eastAsia="楷体" w:hAnsi="Times New Roman" w:hint="eastAsia"/>
          <w:color w:val="000000" w:themeColor="text1"/>
          <w:sz w:val="24"/>
          <w:szCs w:val="24"/>
        </w:rPr>
        <w:t>0.12%</w:t>
      </w:r>
      <w:r w:rsidRPr="009B3615">
        <w:rPr>
          <w:rFonts w:ascii="Times New Roman" w:eastAsia="楷体" w:hAnsi="Times New Roman" w:hint="eastAsia"/>
          <w:color w:val="000000" w:themeColor="text1"/>
          <w:sz w:val="24"/>
          <w:szCs w:val="24"/>
        </w:rPr>
        <w:t>，沪银微涨</w:t>
      </w:r>
      <w:r w:rsidRPr="009B3615">
        <w:rPr>
          <w:rFonts w:ascii="Times New Roman" w:eastAsia="楷体" w:hAnsi="Times New Roman" w:hint="eastAsia"/>
          <w:color w:val="000000" w:themeColor="text1"/>
          <w:sz w:val="24"/>
          <w:szCs w:val="24"/>
        </w:rPr>
        <w:t>0.03%</w:t>
      </w:r>
      <w:r w:rsidRPr="009B3615">
        <w:rPr>
          <w:rFonts w:ascii="Times New Roman" w:eastAsia="楷体" w:hAnsi="Times New Roman" w:hint="eastAsia"/>
          <w:color w:val="000000" w:themeColor="text1"/>
          <w:sz w:val="24"/>
          <w:szCs w:val="24"/>
        </w:rPr>
        <w:t>。美国</w:t>
      </w:r>
      <w:r w:rsidRPr="009B3615">
        <w:rPr>
          <w:rFonts w:ascii="Times New Roman" w:eastAsia="楷体" w:hAnsi="Times New Roman" w:hint="eastAsia"/>
          <w:color w:val="000000" w:themeColor="text1"/>
          <w:sz w:val="24"/>
          <w:szCs w:val="24"/>
        </w:rPr>
        <w:t>11</w:t>
      </w:r>
      <w:r w:rsidRPr="009B3615">
        <w:rPr>
          <w:rFonts w:ascii="Times New Roman" w:eastAsia="楷体" w:hAnsi="Times New Roman" w:hint="eastAsia"/>
          <w:color w:val="000000" w:themeColor="text1"/>
          <w:sz w:val="24"/>
          <w:szCs w:val="24"/>
        </w:rPr>
        <w:t>月未季调</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同比增</w:t>
      </w:r>
      <w:r w:rsidRPr="009B3615">
        <w:rPr>
          <w:rFonts w:ascii="Times New Roman" w:eastAsia="楷体" w:hAnsi="Times New Roman" w:hint="eastAsia"/>
          <w:color w:val="000000" w:themeColor="text1"/>
          <w:sz w:val="24"/>
          <w:szCs w:val="24"/>
        </w:rPr>
        <w:t>3.1%</w:t>
      </w:r>
      <w:r w:rsidRPr="009B3615">
        <w:rPr>
          <w:rFonts w:ascii="Times New Roman" w:eastAsia="楷体" w:hAnsi="Times New Roman" w:hint="eastAsia"/>
          <w:color w:val="000000" w:themeColor="text1"/>
          <w:sz w:val="24"/>
          <w:szCs w:val="24"/>
        </w:rPr>
        <w:t>，较前值回落</w:t>
      </w:r>
      <w:r w:rsidRPr="009B3615">
        <w:rPr>
          <w:rFonts w:ascii="Times New Roman" w:eastAsia="楷体" w:hAnsi="Times New Roman" w:hint="eastAsia"/>
          <w:color w:val="000000" w:themeColor="text1"/>
          <w:sz w:val="24"/>
          <w:szCs w:val="24"/>
        </w:rPr>
        <w:t>0.1</w:t>
      </w:r>
      <w:r w:rsidRPr="009B3615">
        <w:rPr>
          <w:rFonts w:ascii="Times New Roman" w:eastAsia="楷体" w:hAnsi="Times New Roman" w:hint="eastAsia"/>
          <w:color w:val="000000" w:themeColor="text1"/>
          <w:sz w:val="24"/>
          <w:szCs w:val="24"/>
        </w:rPr>
        <w:t>个百分点，创</w:t>
      </w:r>
      <w:r w:rsidRPr="009B3615">
        <w:rPr>
          <w:rFonts w:ascii="Times New Roman" w:eastAsia="楷体" w:hAnsi="Times New Roman" w:hint="eastAsia"/>
          <w:color w:val="000000" w:themeColor="text1"/>
          <w:sz w:val="24"/>
          <w:szCs w:val="24"/>
        </w:rPr>
        <w:t>6</w:t>
      </w:r>
      <w:r w:rsidRPr="009B3615">
        <w:rPr>
          <w:rFonts w:ascii="Times New Roman" w:eastAsia="楷体" w:hAnsi="Times New Roman" w:hint="eastAsia"/>
          <w:color w:val="000000" w:themeColor="text1"/>
          <w:sz w:val="24"/>
          <w:szCs w:val="24"/>
        </w:rPr>
        <w:t>月以来新低，符合预期；季调后</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环比增</w:t>
      </w:r>
      <w:r w:rsidRPr="009B3615">
        <w:rPr>
          <w:rFonts w:ascii="Times New Roman" w:eastAsia="楷体" w:hAnsi="Times New Roman" w:hint="eastAsia"/>
          <w:color w:val="000000" w:themeColor="text1"/>
          <w:sz w:val="24"/>
          <w:szCs w:val="24"/>
        </w:rPr>
        <w:t>0.1%</w:t>
      </w:r>
      <w:r w:rsidRPr="009B3615">
        <w:rPr>
          <w:rFonts w:ascii="Times New Roman" w:eastAsia="楷体" w:hAnsi="Times New Roman" w:hint="eastAsia"/>
          <w:color w:val="000000" w:themeColor="text1"/>
          <w:sz w:val="24"/>
          <w:szCs w:val="24"/>
        </w:rPr>
        <w:t>，持平预期及前值；未季调核心</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同比增</w:t>
      </w:r>
      <w:r w:rsidRPr="009B3615">
        <w:rPr>
          <w:rFonts w:ascii="Times New Roman" w:eastAsia="楷体" w:hAnsi="Times New Roman" w:hint="eastAsia"/>
          <w:color w:val="000000" w:themeColor="text1"/>
          <w:sz w:val="24"/>
          <w:szCs w:val="24"/>
        </w:rPr>
        <w:t>4%</w:t>
      </w:r>
      <w:r w:rsidRPr="009B3615">
        <w:rPr>
          <w:rFonts w:ascii="Times New Roman" w:eastAsia="楷体" w:hAnsi="Times New Roman" w:hint="eastAsia"/>
          <w:color w:val="000000" w:themeColor="text1"/>
          <w:sz w:val="24"/>
          <w:szCs w:val="24"/>
        </w:rPr>
        <w:t>，与预期及前值一致；核心</w:t>
      </w:r>
      <w:r w:rsidRPr="009B3615">
        <w:rPr>
          <w:rFonts w:ascii="Times New Roman" w:eastAsia="楷体" w:hAnsi="Times New Roman" w:hint="eastAsia"/>
          <w:color w:val="000000" w:themeColor="text1"/>
          <w:sz w:val="24"/>
          <w:szCs w:val="24"/>
        </w:rPr>
        <w:t>CPI</w:t>
      </w:r>
      <w:r w:rsidRPr="009B3615">
        <w:rPr>
          <w:rFonts w:ascii="Times New Roman" w:eastAsia="楷体" w:hAnsi="Times New Roman" w:hint="eastAsia"/>
          <w:color w:val="000000" w:themeColor="text1"/>
          <w:sz w:val="24"/>
          <w:szCs w:val="24"/>
        </w:rPr>
        <w:t>环比增</w:t>
      </w:r>
      <w:r w:rsidRPr="009B3615">
        <w:rPr>
          <w:rFonts w:ascii="Times New Roman" w:eastAsia="楷体" w:hAnsi="Times New Roman" w:hint="eastAsia"/>
          <w:color w:val="000000" w:themeColor="text1"/>
          <w:sz w:val="24"/>
          <w:szCs w:val="24"/>
        </w:rPr>
        <w:t>0.3%</w:t>
      </w:r>
      <w:r w:rsidRPr="009B3615">
        <w:rPr>
          <w:rFonts w:ascii="Times New Roman" w:eastAsia="楷体" w:hAnsi="Times New Roman" w:hint="eastAsia"/>
          <w:color w:val="000000" w:themeColor="text1"/>
          <w:sz w:val="24"/>
          <w:szCs w:val="24"/>
        </w:rPr>
        <w:t>，较前值回落</w:t>
      </w:r>
      <w:r w:rsidRPr="009B3615">
        <w:rPr>
          <w:rFonts w:ascii="Times New Roman" w:eastAsia="楷体" w:hAnsi="Times New Roman" w:hint="eastAsia"/>
          <w:color w:val="000000" w:themeColor="text1"/>
          <w:sz w:val="24"/>
          <w:szCs w:val="24"/>
        </w:rPr>
        <w:t>0.1</w:t>
      </w:r>
      <w:r w:rsidRPr="009B3615">
        <w:rPr>
          <w:rFonts w:ascii="Times New Roman" w:eastAsia="楷体" w:hAnsi="Times New Roman" w:hint="eastAsia"/>
          <w:color w:val="000000" w:themeColor="text1"/>
          <w:sz w:val="24"/>
          <w:szCs w:val="24"/>
        </w:rPr>
        <w:t>个百分点，符合预期。美国</w:t>
      </w:r>
      <w:r w:rsidRPr="009B3615">
        <w:rPr>
          <w:rFonts w:ascii="Times New Roman" w:eastAsia="楷体" w:hAnsi="Times New Roman" w:hint="eastAsia"/>
          <w:color w:val="000000" w:themeColor="text1"/>
          <w:sz w:val="24"/>
          <w:szCs w:val="24"/>
        </w:rPr>
        <w:t>11</w:t>
      </w:r>
      <w:r w:rsidRPr="009B3615">
        <w:rPr>
          <w:rFonts w:ascii="Times New Roman" w:eastAsia="楷体" w:hAnsi="Times New Roman" w:hint="eastAsia"/>
          <w:color w:val="000000" w:themeColor="text1"/>
          <w:sz w:val="24"/>
          <w:szCs w:val="24"/>
        </w:rPr>
        <w:t>月实际收入环比上升</w:t>
      </w:r>
      <w:r w:rsidRPr="009B3615">
        <w:rPr>
          <w:rFonts w:ascii="Times New Roman" w:eastAsia="楷体" w:hAnsi="Times New Roman" w:hint="eastAsia"/>
          <w:color w:val="000000" w:themeColor="text1"/>
          <w:sz w:val="24"/>
          <w:szCs w:val="24"/>
        </w:rPr>
        <w:t>0.5%</w:t>
      </w:r>
      <w:r w:rsidRPr="009B3615">
        <w:rPr>
          <w:rFonts w:ascii="Times New Roman" w:eastAsia="楷体" w:hAnsi="Times New Roman" w:hint="eastAsia"/>
          <w:color w:val="000000" w:themeColor="text1"/>
          <w:sz w:val="24"/>
          <w:szCs w:val="24"/>
        </w:rPr>
        <w:t>，前值降</w:t>
      </w:r>
      <w:r w:rsidRPr="009B3615">
        <w:rPr>
          <w:rFonts w:ascii="Times New Roman" w:eastAsia="楷体" w:hAnsi="Times New Roman" w:hint="eastAsia"/>
          <w:color w:val="000000" w:themeColor="text1"/>
          <w:sz w:val="24"/>
          <w:szCs w:val="24"/>
        </w:rPr>
        <w:t>0.1%</w:t>
      </w:r>
      <w:r w:rsidRPr="009B3615">
        <w:rPr>
          <w:rFonts w:ascii="Times New Roman" w:eastAsia="楷体" w:hAnsi="Times New Roman" w:hint="eastAsia"/>
          <w:color w:val="000000" w:themeColor="text1"/>
          <w:sz w:val="24"/>
          <w:szCs w:val="24"/>
        </w:rPr>
        <w:t>。留意</w:t>
      </w:r>
      <w:r w:rsidRPr="009B3615">
        <w:rPr>
          <w:rFonts w:ascii="Times New Roman" w:eastAsia="楷体" w:hAnsi="Times New Roman" w:hint="eastAsia"/>
          <w:color w:val="000000" w:themeColor="text1"/>
          <w:sz w:val="24"/>
          <w:szCs w:val="24"/>
        </w:rPr>
        <w:t>PPI</w:t>
      </w:r>
      <w:r w:rsidRPr="009B3615">
        <w:rPr>
          <w:rFonts w:ascii="Times New Roman" w:eastAsia="楷体" w:hAnsi="Times New Roman" w:hint="eastAsia"/>
          <w:color w:val="000000" w:themeColor="text1"/>
          <w:sz w:val="24"/>
          <w:szCs w:val="24"/>
        </w:rPr>
        <w:t>通胀数据及周四凌晨美联储</w:t>
      </w:r>
      <w:r w:rsidRPr="009B3615">
        <w:rPr>
          <w:rFonts w:ascii="Times New Roman" w:eastAsia="楷体" w:hAnsi="Times New Roman" w:hint="eastAsia"/>
          <w:color w:val="000000" w:themeColor="text1"/>
          <w:sz w:val="24"/>
          <w:szCs w:val="24"/>
        </w:rPr>
        <w:t>12</w:t>
      </w:r>
      <w:r w:rsidRPr="009B3615">
        <w:rPr>
          <w:rFonts w:ascii="Times New Roman" w:eastAsia="楷体" w:hAnsi="Times New Roman" w:hint="eastAsia"/>
          <w:color w:val="000000" w:themeColor="text1"/>
          <w:sz w:val="24"/>
          <w:szCs w:val="24"/>
        </w:rPr>
        <w:t>月议息决议。若美联储如近期市场预期般维持鹰派表态且不对降息置评，议息会议后贵金属价格短线或有所承压。留意前期乐观预期略微回调修正的可能性，若美联储二季度左右启动降息，贵金属价格上行空间可能随之打开，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335789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335789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9B3615" w:rsidRPr="009B3615">
        <w:rPr>
          <w:rFonts w:ascii="楷体" w:eastAsia="楷体" w:hAnsi="楷体" w:hint="eastAsia"/>
          <w:b/>
          <w:color w:val="000000" w:themeColor="text1"/>
          <w:sz w:val="24"/>
          <w:szCs w:val="24"/>
        </w:rPr>
        <w:t>回归基本面逻辑，期价大幅下跌</w:t>
      </w:r>
      <w:bookmarkEnd w:id="18"/>
    </w:p>
    <w:p w:rsidR="00F50569" w:rsidRDefault="009B3615" w:rsidP="00F50569">
      <w:pPr>
        <w:ind w:leftChars="300" w:left="630"/>
        <w:rPr>
          <w:rFonts w:ascii="楷体" w:eastAsia="楷体" w:hAnsi="楷体"/>
          <w:color w:val="000000" w:themeColor="text1"/>
          <w:sz w:val="24"/>
          <w:szCs w:val="24"/>
        </w:rPr>
      </w:pPr>
      <w:r w:rsidRPr="009B3615">
        <w:rPr>
          <w:rFonts w:ascii="楷体" w:eastAsia="楷体" w:hAnsi="楷体" w:hint="eastAsia"/>
          <w:color w:val="000000" w:themeColor="text1"/>
          <w:sz w:val="24"/>
          <w:szCs w:val="24"/>
        </w:rPr>
        <w:t>昨日期价低开后弱势震荡，07合约收跌8.59%至93100元/吨。目前近远价差收窄，价格相对接近成本支撑。现货方面需求长期偏弱，但是年后或仍有部分采购需求集中体现，因此不排除一季度以内出现需求侧驱动阶段性反弹的可能性，此方面或更多体现在偏近月的合约；较远期的合约或更多地反映供应过剩的预期，若后续价格再击穿成本线，远月合约相对走弱概率可能较大。近期多空博弈有所加剧，留意交易风险，建议单边谨慎观望，可择机考虑正套策略</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3357892"/>
      <w:r>
        <w:rPr>
          <w:rFonts w:ascii="楷体" w:eastAsia="楷体" w:hAnsi="楷体" w:hint="eastAsia"/>
          <w:b/>
          <w:color w:val="000000" w:themeColor="text1"/>
          <w:sz w:val="24"/>
          <w:szCs w:val="24"/>
        </w:rPr>
        <w:t>螺纹钢：</w:t>
      </w:r>
      <w:bookmarkEnd w:id="16"/>
      <w:bookmarkEnd w:id="17"/>
      <w:r w:rsidR="00B449F5" w:rsidRPr="00B449F5">
        <w:rPr>
          <w:rFonts w:ascii="楷体" w:eastAsia="楷体" w:hAnsi="楷体" w:hint="eastAsia"/>
          <w:b/>
          <w:color w:val="000000" w:themeColor="text1"/>
          <w:sz w:val="24"/>
          <w:szCs w:val="24"/>
        </w:rPr>
        <w:t>利多交易相对充分，短期注意回调风险</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B449F5" w:rsidP="00201944">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lastRenderedPageBreak/>
        <w:t>钢厂陆续披露冬储政策，市场或逐渐进入冬储博弈阶段，市场对未来的预期对价格影响更大。重大会议精神偏温和刺激，前期市场预期较足，短期或存在回调风险。预计钢价或高位震荡运行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3357893"/>
      <w:r>
        <w:rPr>
          <w:rFonts w:ascii="楷体" w:eastAsia="楷体" w:hAnsi="楷体" w:hint="eastAsia"/>
          <w:b/>
          <w:color w:val="000000" w:themeColor="text1"/>
          <w:sz w:val="24"/>
          <w:szCs w:val="24"/>
        </w:rPr>
        <w:t>焦炭：</w:t>
      </w:r>
      <w:bookmarkEnd w:id="20"/>
      <w:bookmarkEnd w:id="21"/>
      <w:r w:rsidR="00B449F5" w:rsidRPr="00B449F5">
        <w:rPr>
          <w:rFonts w:ascii="楷体" w:eastAsia="楷体" w:hAnsi="楷体" w:hint="eastAsia"/>
          <w:b/>
          <w:color w:val="000000" w:themeColor="text1"/>
          <w:sz w:val="24"/>
          <w:szCs w:val="24"/>
        </w:rPr>
        <w:t>第三轮提涨落地，盘面区间震荡</w:t>
      </w:r>
      <w:bookmarkEnd w:id="22"/>
    </w:p>
    <w:p w:rsidR="003F56A5" w:rsidRDefault="00B449F5" w:rsidP="00572E35">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第三轮提涨落地，下游库存相对健康，成材利润偏低情况下，下游继续补库动力不足，预计短期区间震荡为主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3357894"/>
      <w:r>
        <w:rPr>
          <w:rFonts w:ascii="楷体" w:eastAsia="楷体" w:hAnsi="楷体" w:hint="eastAsia"/>
          <w:b/>
          <w:color w:val="000000" w:themeColor="text1"/>
          <w:sz w:val="24"/>
          <w:szCs w:val="24"/>
        </w:rPr>
        <w:t>焦煤：</w:t>
      </w:r>
      <w:r w:rsidR="00B449F5" w:rsidRPr="00B449F5">
        <w:rPr>
          <w:rFonts w:ascii="楷体" w:eastAsia="楷体" w:hAnsi="楷体" w:hint="eastAsia"/>
          <w:b/>
          <w:sz w:val="24"/>
          <w:szCs w:val="24"/>
        </w:rPr>
        <w:t>继续补库动力不足，煤价短期偏弱震荡</w:t>
      </w:r>
      <w:bookmarkEnd w:id="23"/>
    </w:p>
    <w:p w:rsidR="003F56A5" w:rsidRDefault="00B449F5">
      <w:pPr>
        <w:ind w:leftChars="300" w:left="630"/>
        <w:rPr>
          <w:rFonts w:ascii="楷体" w:eastAsia="楷体" w:hAnsi="楷体"/>
          <w:bCs/>
          <w:sz w:val="24"/>
          <w:szCs w:val="24"/>
        </w:rPr>
      </w:pPr>
      <w:r w:rsidRPr="00B449F5">
        <w:rPr>
          <w:rFonts w:ascii="楷体" w:eastAsia="楷体" w:hAnsi="楷体" w:hint="eastAsia"/>
          <w:sz w:val="24"/>
          <w:szCs w:val="24"/>
        </w:rPr>
        <w:t>下游刚经历一轮补库，整体库存处于合理水平，短期上行驱动不强。煤矿仍处于低产、低库存状态，叠加仍有部分冬储量未完成，价格仍有支撑。短期煤价高位下，随钢价震荡，相对偏弱</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3357895"/>
      <w:r>
        <w:rPr>
          <w:rFonts w:ascii="楷体" w:eastAsia="楷体" w:hAnsi="楷体" w:hint="eastAsia"/>
          <w:b/>
          <w:color w:val="000000" w:themeColor="text1"/>
          <w:sz w:val="24"/>
          <w:szCs w:val="24"/>
        </w:rPr>
        <w:t>铜：</w:t>
      </w:r>
      <w:bookmarkEnd w:id="24"/>
      <w:bookmarkEnd w:id="25"/>
      <w:r w:rsidR="00B449F5" w:rsidRPr="00B449F5">
        <w:rPr>
          <w:rFonts w:ascii="楷体" w:eastAsia="楷体" w:hAnsi="楷体" w:hint="eastAsia"/>
          <w:b/>
          <w:color w:val="000000" w:themeColor="text1"/>
          <w:sz w:val="24"/>
          <w:szCs w:val="24"/>
        </w:rPr>
        <w:t>短期维持高位运行</w:t>
      </w:r>
      <w:bookmarkEnd w:id="26"/>
    </w:p>
    <w:p w:rsidR="00B449F5" w:rsidRPr="00B449F5" w:rsidRDefault="00B449F5" w:rsidP="00B449F5">
      <w:pPr>
        <w:ind w:leftChars="300" w:left="630"/>
        <w:rPr>
          <w:rFonts w:ascii="楷体" w:eastAsia="楷体" w:hAnsi="楷体" w:hint="eastAsia"/>
          <w:color w:val="000000" w:themeColor="text1"/>
          <w:sz w:val="24"/>
          <w:szCs w:val="24"/>
        </w:rPr>
      </w:pPr>
      <w:r w:rsidRPr="00B449F5">
        <w:rPr>
          <w:rFonts w:ascii="楷体" w:eastAsia="楷体" w:hAnsi="楷体" w:hint="eastAsia"/>
          <w:color w:val="000000" w:themeColor="text1"/>
          <w:sz w:val="24"/>
          <w:szCs w:val="24"/>
        </w:rPr>
        <w:t>(1)宏观：美国11月CPI同比上涨3.1%，预期上涨3.1%，前值上涨3.2%。11月核心CPI同比上涨4%，预期上涨4%，前值上涨4%。</w:t>
      </w:r>
    </w:p>
    <w:p w:rsidR="00B449F5" w:rsidRPr="00B449F5" w:rsidRDefault="00B449F5" w:rsidP="00B449F5">
      <w:pPr>
        <w:ind w:leftChars="300" w:left="630"/>
        <w:rPr>
          <w:rFonts w:ascii="楷体" w:eastAsia="楷体" w:hAnsi="楷体" w:hint="eastAsia"/>
          <w:color w:val="000000" w:themeColor="text1"/>
          <w:sz w:val="24"/>
          <w:szCs w:val="24"/>
        </w:rPr>
      </w:pPr>
      <w:r w:rsidRPr="00B449F5">
        <w:rPr>
          <w:rFonts w:ascii="楷体" w:eastAsia="楷体" w:hAnsi="楷体" w:hint="eastAsia"/>
          <w:color w:val="000000" w:themeColor="text1"/>
          <w:sz w:val="24"/>
          <w:szCs w:val="24"/>
        </w:rPr>
        <w:t>(2)库存：12月12日，SHFE仓单库存2749吨，增350吨；LME仓单库存180175吨，减2025吨。</w:t>
      </w:r>
    </w:p>
    <w:p w:rsidR="00B449F5" w:rsidRPr="00B449F5" w:rsidRDefault="00B449F5" w:rsidP="00B449F5">
      <w:pPr>
        <w:ind w:leftChars="300" w:left="630"/>
        <w:rPr>
          <w:rFonts w:ascii="楷体" w:eastAsia="楷体" w:hAnsi="楷体" w:hint="eastAsia"/>
          <w:color w:val="000000" w:themeColor="text1"/>
          <w:sz w:val="24"/>
          <w:szCs w:val="24"/>
        </w:rPr>
      </w:pPr>
      <w:r w:rsidRPr="00B449F5">
        <w:rPr>
          <w:rFonts w:ascii="楷体" w:eastAsia="楷体" w:hAnsi="楷体" w:hint="eastAsia"/>
          <w:color w:val="000000" w:themeColor="text1"/>
          <w:sz w:val="24"/>
          <w:szCs w:val="24"/>
        </w:rPr>
        <w:t>(3)精废价差：12月12日，Mysteel精废价差1716，收窄148。目前价差在合理价差1384之上。</w:t>
      </w:r>
    </w:p>
    <w:p w:rsidR="00B449F5" w:rsidRPr="00B449F5" w:rsidRDefault="00B449F5" w:rsidP="00B449F5">
      <w:pPr>
        <w:ind w:leftChars="300" w:left="630"/>
        <w:rPr>
          <w:rFonts w:ascii="楷体" w:eastAsia="楷体" w:hAnsi="楷体"/>
          <w:color w:val="000000" w:themeColor="text1"/>
          <w:sz w:val="24"/>
          <w:szCs w:val="24"/>
        </w:rPr>
      </w:pPr>
    </w:p>
    <w:p w:rsidR="00127803" w:rsidRPr="00127803" w:rsidRDefault="00B449F5" w:rsidP="00B449F5">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综述：宏观面，美国11月通胀数据基本符合预期，近期经济数据显示就业市场正在冷却但仍具韧性，后期通胀或仍有粘性，降息预期或反复调整。基本面，期货月差坚挺，上海地区现货转为贴水，下游消费表现不佳。但低库存逻辑仍存，且国内政策预期乐观，价格仍有较强支撑，短期铜价延续高位运行，主波动区间参考67500-69500。关注12月14日美联储利率决议</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3357896"/>
      <w:r>
        <w:rPr>
          <w:rFonts w:ascii="楷体" w:eastAsia="楷体" w:hAnsi="楷体" w:hint="eastAsia"/>
          <w:b/>
          <w:color w:val="000000" w:themeColor="text1"/>
          <w:sz w:val="24"/>
          <w:szCs w:val="24"/>
        </w:rPr>
        <w:t>铝：</w:t>
      </w:r>
      <w:bookmarkEnd w:id="27"/>
      <w:bookmarkEnd w:id="28"/>
      <w:r w:rsidR="00B449F5" w:rsidRPr="00B449F5">
        <w:rPr>
          <w:rFonts w:ascii="楷体" w:eastAsia="楷体" w:hAnsi="楷体" w:hint="eastAsia"/>
          <w:b/>
          <w:color w:val="000000" w:themeColor="text1"/>
          <w:sz w:val="24"/>
          <w:szCs w:val="24"/>
        </w:rPr>
        <w:t>宏观情绪谨慎，低库存支撑铝价反弹</w:t>
      </w:r>
      <w:bookmarkEnd w:id="29"/>
    </w:p>
    <w:p w:rsidR="003F56A5" w:rsidRDefault="00B449F5" w:rsidP="00127803">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欧美加息逐步接近尾声，明年进入降息周期可能性走强，中国经济持续向好，政策面利多托举各板块消费。基本面来看，云南电解铝减产完成后，内蒙古新音华年内投产落地约计12万吨，整体电解铝运行产能保持高位平稳运行，下游企业加工冶炼淡季之下提振乏力，社会库存持续库区，铝价持续低位，下游逢低补库，行业铸锭比例偏低，整体上价格运行上下有限，期价前期走跌触及18400-19300主震荡区间下沿，短期有反弹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3357897"/>
      <w:r>
        <w:rPr>
          <w:rFonts w:ascii="楷体" w:eastAsia="楷体" w:hAnsi="楷体" w:hint="eastAsia"/>
          <w:b/>
          <w:color w:val="000000" w:themeColor="text1"/>
          <w:sz w:val="24"/>
          <w:szCs w:val="24"/>
        </w:rPr>
        <w:t>锌：</w:t>
      </w:r>
      <w:r w:rsidR="00B449F5" w:rsidRPr="00B449F5">
        <w:rPr>
          <w:rFonts w:ascii="楷体" w:eastAsia="楷体" w:hAnsi="楷体" w:hint="eastAsia"/>
          <w:b/>
          <w:color w:val="000000" w:themeColor="text1"/>
          <w:sz w:val="24"/>
          <w:szCs w:val="24"/>
        </w:rPr>
        <w:t>下方空间有限，锌市价格反弹</w:t>
      </w:r>
      <w:bookmarkEnd w:id="30"/>
    </w:p>
    <w:p w:rsidR="003F56A5" w:rsidRDefault="00B449F5" w:rsidP="000B0648">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矿端延续偏紧，进口盈利窗口打开，后续进口货源持续流入补充内需市场，目前锌价位于成本支撑附近，价格反弹冶炼厂利润有所修复但有限，需求端淡季疲软，下游逢低补库，库存低位支撑价格，预计锌价下方空间有限，关注反弹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3357898"/>
      <w:r>
        <w:rPr>
          <w:rFonts w:ascii="楷体" w:eastAsia="楷体" w:hAnsi="楷体" w:hint="eastAsia"/>
          <w:b/>
          <w:color w:val="000000" w:themeColor="text1"/>
          <w:sz w:val="24"/>
          <w:szCs w:val="24"/>
        </w:rPr>
        <w:t>镍：</w:t>
      </w:r>
      <w:r w:rsidR="00B449F5" w:rsidRPr="00B449F5">
        <w:rPr>
          <w:rFonts w:ascii="楷体" w:eastAsia="楷体" w:hAnsi="楷体" w:hint="eastAsia"/>
          <w:b/>
          <w:color w:val="000000" w:themeColor="text1"/>
          <w:sz w:val="24"/>
          <w:szCs w:val="24"/>
        </w:rPr>
        <w:t>供强需弱格局不改，暂无明显反弹驱动</w:t>
      </w:r>
      <w:bookmarkEnd w:id="31"/>
    </w:p>
    <w:p w:rsidR="003F56A5" w:rsidRDefault="00B449F5">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宏观面，美国11月CPI数据符合市场预期，体现通胀仍具有粘性，美联储</w:t>
      </w:r>
      <w:r w:rsidRPr="00B449F5">
        <w:rPr>
          <w:rFonts w:ascii="楷体" w:eastAsia="楷体" w:hAnsi="楷体" w:hint="eastAsia"/>
          <w:color w:val="000000" w:themeColor="text1"/>
          <w:sz w:val="24"/>
          <w:szCs w:val="24"/>
        </w:rPr>
        <w:lastRenderedPageBreak/>
        <w:t>降息预期有所降温。成本端，镍产品已全线产能过剩，且硫酸镍在原料宽松和需求萎靡处境下持续下跌，镍成本支撑存在继续下移的可能性。供需端，11月精炼镍供应小幅下降，但供强需弱格局依旧，全球显性库存持续累库，压制镍价。镍价暂无明显反弹动能，需等待需求好转或明显减产，预计以偏弱震荡筑底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335789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3357900"/>
      <w:r>
        <w:rPr>
          <w:rFonts w:ascii="楷体" w:eastAsia="楷体" w:hAnsi="楷体" w:hint="eastAsia"/>
          <w:b/>
          <w:color w:val="000000" w:themeColor="text1"/>
          <w:sz w:val="24"/>
          <w:szCs w:val="24"/>
        </w:rPr>
        <w:t>不锈钢：</w:t>
      </w:r>
      <w:r w:rsidR="00B449F5" w:rsidRPr="00B449F5">
        <w:rPr>
          <w:rFonts w:ascii="楷体" w:eastAsia="楷体" w:hAnsi="楷体" w:hint="eastAsia"/>
          <w:b/>
          <w:color w:val="000000" w:themeColor="text1"/>
          <w:sz w:val="24"/>
          <w:szCs w:val="24"/>
        </w:rPr>
        <w:t>基本面未有改善，等待成本支撑企稳</w:t>
      </w:r>
      <w:bookmarkEnd w:id="33"/>
    </w:p>
    <w:p w:rsidR="003F56A5" w:rsidRDefault="00B449F5" w:rsidP="001529BB">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近期宏观情绪修复，但不锈钢基本面未有改善。从供需来看，不锈钢厂在12月开工率有所上升，但需求却维持疲弱，部分厂家在年底资金压力下低价出货，下游成交氛围不见明显起色，供增需弱态势对不锈钢施压。从成本来看，镍铁厂承受着需求不振、钢厂压价、过剩压力，镍矿价格也受到需求不振带来的压制，不锈钢原料价格仍未企稳。不锈钢价短期内预计偏弱运行，上行动能需等待原料价格企稳或需求好转</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3357901"/>
      <w:r>
        <w:rPr>
          <w:rFonts w:ascii="楷体" w:eastAsia="楷体" w:hAnsi="楷体" w:hint="eastAsia"/>
          <w:b/>
          <w:color w:val="000000" w:themeColor="text1"/>
          <w:sz w:val="24"/>
          <w:szCs w:val="24"/>
        </w:rPr>
        <w:t>工业硅：</w:t>
      </w:r>
      <w:r w:rsidR="009B3615" w:rsidRPr="009B3615">
        <w:rPr>
          <w:rFonts w:ascii="楷体" w:eastAsia="楷体" w:hAnsi="楷体" w:hint="eastAsia"/>
          <w:b/>
          <w:sz w:val="24"/>
          <w:szCs w:val="24"/>
        </w:rPr>
        <w:t>成本支撑或逐步显现，短期或震荡为主</w:t>
      </w:r>
      <w:bookmarkEnd w:id="34"/>
    </w:p>
    <w:p w:rsidR="003F56A5" w:rsidRDefault="009B3615" w:rsidP="00827E8A">
      <w:pPr>
        <w:ind w:leftChars="300" w:left="630"/>
        <w:rPr>
          <w:rFonts w:ascii="楷体" w:eastAsia="楷体" w:hAnsi="楷体"/>
          <w:sz w:val="24"/>
          <w:szCs w:val="24"/>
        </w:rPr>
      </w:pPr>
      <w:r w:rsidRPr="009B3615">
        <w:rPr>
          <w:rFonts w:ascii="楷体" w:eastAsia="楷体" w:hAnsi="楷体" w:hint="eastAsia"/>
          <w:sz w:val="24"/>
          <w:szCs w:val="24"/>
        </w:rPr>
        <w:t>12月12日，Si2402主力合约呈震荡走势，收盘价13785元/吨，较上一收盘价涨跌幅+0.11%。据SMM调研了解，西南地区大幅持续减产。云南方面，怒江硅厂已全部停炉，省内其他地区也在进行减产停炉情况，开工持续走低；四川方面，12月电价走高，生产压力较大，出现明显大幅停炉，减产仍在持续。但北方开工处于高位，整体呈稳步小幅增长。综合来看，西南持续减产使得供应宽松有所改善，后续仍有减产预期，成本支撑或逐步显现，但北方高开工下，暂难造成供应短缺局面，短期市场或将围绕成本线附近震荡为主。策略上，可尝试波段操作，主力合约参考区间（13500，14000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335790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3C4855" w:rsidRDefault="00CC3FFA" w:rsidP="003C4855">
      <w:pPr>
        <w:ind w:firstLineChars="200" w:firstLine="482"/>
        <w:outlineLvl w:val="1"/>
        <w:rPr>
          <w:rFonts w:ascii="楷体" w:eastAsia="楷体" w:hAnsi="楷体"/>
          <w:b/>
          <w:sz w:val="24"/>
          <w:szCs w:val="24"/>
        </w:rPr>
      </w:pPr>
      <w:bookmarkStart w:id="37" w:name="_Toc15335790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3C4855" w:rsidRPr="003C4855">
        <w:rPr>
          <w:rFonts w:ascii="楷体" w:eastAsia="楷体" w:hAnsi="楷体" w:hint="eastAsia"/>
          <w:b/>
          <w:sz w:val="24"/>
          <w:szCs w:val="24"/>
        </w:rPr>
        <w:t>短时天胶超跌反弹 但上方空间有限</w:t>
      </w:r>
      <w:bookmarkEnd w:id="37"/>
    </w:p>
    <w:p w:rsidR="003F56A5" w:rsidRDefault="003C4855">
      <w:pPr>
        <w:ind w:leftChars="300" w:left="630"/>
        <w:rPr>
          <w:rFonts w:ascii="楷体" w:eastAsia="楷体" w:hAnsi="楷体"/>
          <w:sz w:val="24"/>
          <w:szCs w:val="24"/>
        </w:rPr>
      </w:pPr>
      <w:r w:rsidRPr="003C4855">
        <w:rPr>
          <w:rFonts w:ascii="楷体" w:eastAsia="楷体" w:hAnsi="楷体" w:hint="eastAsia"/>
          <w:sz w:val="24"/>
          <w:szCs w:val="24"/>
        </w:rPr>
        <w:t>点评：天然橡胶在延续偏弱下行后，近期出现企稳态势。供应方面，短时</w:t>
      </w:r>
      <w:r w:rsidRPr="003C4855">
        <w:rPr>
          <w:rFonts w:ascii="楷体" w:eastAsia="楷体" w:hAnsi="楷体" w:hint="eastAsia"/>
          <w:sz w:val="24"/>
          <w:szCs w:val="24"/>
        </w:rPr>
        <w:lastRenderedPageBreak/>
        <w:t>国内产区陆续停割与海外雨季结束逐渐上量预期相互博弈，上游生产利润已处低位，原料收购价格松动空间有限。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10月数据同环比继续走强，汽车消费旺季来临市场景气度高。整体看，本轮下跌其实早有征兆，上一波上涨期间出现头肩形与顶背离情况。早前橡胶已回吐近50%的涨幅。短时天胶市场超跌反弹，但无明显推动下，上方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335790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3C4855" w:rsidRPr="003C4855">
        <w:rPr>
          <w:rFonts w:ascii="Calibri" w:eastAsia="楷体" w:hAnsi="Calibri" w:cs="Calibri" w:hint="eastAsia"/>
          <w:b/>
          <w:color w:val="000000" w:themeColor="text1"/>
          <w:sz w:val="24"/>
          <w:szCs w:val="24"/>
        </w:rPr>
        <w:t>供需矛盾不突出</w:t>
      </w:r>
      <w:r w:rsidR="003C4855" w:rsidRPr="003C4855">
        <w:rPr>
          <w:rFonts w:ascii="Calibri" w:eastAsia="楷体" w:hAnsi="Calibri" w:cs="Calibri" w:hint="eastAsia"/>
          <w:b/>
          <w:color w:val="000000" w:themeColor="text1"/>
          <w:sz w:val="24"/>
          <w:szCs w:val="24"/>
        </w:rPr>
        <w:t xml:space="preserve"> </w:t>
      </w:r>
      <w:r w:rsidR="003C4855" w:rsidRPr="003C4855">
        <w:rPr>
          <w:rFonts w:ascii="Calibri" w:eastAsia="楷体" w:hAnsi="Calibri" w:cs="Calibri" w:hint="eastAsia"/>
          <w:b/>
          <w:color w:val="000000" w:themeColor="text1"/>
          <w:sz w:val="24"/>
          <w:szCs w:val="24"/>
        </w:rPr>
        <w:t>短期跟随成本端调整</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3C4855" w:rsidP="002C73FE">
      <w:pPr>
        <w:ind w:leftChars="300" w:left="630"/>
        <w:rPr>
          <w:rFonts w:ascii="楷体" w:eastAsia="楷体" w:hAnsi="楷体"/>
          <w:color w:val="000000" w:themeColor="text1"/>
          <w:sz w:val="24"/>
          <w:szCs w:val="24"/>
        </w:rPr>
      </w:pPr>
      <w:r w:rsidRPr="003C4855">
        <w:rPr>
          <w:rFonts w:ascii="楷体" w:eastAsia="楷体" w:hAnsi="楷体" w:hint="eastAsia"/>
          <w:color w:val="000000" w:themeColor="text1"/>
          <w:sz w:val="24"/>
          <w:szCs w:val="24"/>
        </w:rPr>
        <w:t>美国CPI数据显示通胀压力依然存在，市场担忧美联储或仍将维持高利率，叠加需求前景欠佳，国际油价大幅下跌。PX方面，亚洲PX供应仍较充裕，PTA供应方面，本周福海创450万吨PTA装置提负，逸盛海南250万吨PTA装置另一条线投料重启，个别装置负荷提升，PTA负荷涨至77.4%（-0.7%）。本周聚酯装置整体变动不是太大，局部微调为主，截至12.7，初步核算国内大陆地区聚酯负荷在90.8%。综合来看，PTA近期供应端缩减，聚酯链品种开工相对高位维持，供需关系缓和。且主力切换到05合约后加工费低位但短期来看围绕成本端回调，趋势仍偏弱，关注5700附近支撑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7B681E" w:rsidRDefault="00CC3FFA" w:rsidP="007B681E">
      <w:pPr>
        <w:ind w:leftChars="200" w:left="420"/>
        <w:outlineLvl w:val="1"/>
        <w:rPr>
          <w:rFonts w:ascii="楷体" w:eastAsia="楷体" w:hAnsi="楷体"/>
          <w:b/>
          <w:color w:val="000000" w:themeColor="text1"/>
          <w:sz w:val="24"/>
          <w:szCs w:val="24"/>
        </w:rPr>
      </w:pPr>
      <w:bookmarkStart w:id="39" w:name="_Toc153357905"/>
      <w:r>
        <w:rPr>
          <w:rFonts w:ascii="楷体" w:eastAsia="楷体" w:hAnsi="楷体" w:hint="eastAsia"/>
          <w:b/>
          <w:color w:val="000000" w:themeColor="text1"/>
          <w:sz w:val="24"/>
          <w:szCs w:val="24"/>
        </w:rPr>
        <w:t>聚烯烃：</w:t>
      </w:r>
      <w:r w:rsidR="003C4855" w:rsidRPr="003C4855">
        <w:rPr>
          <w:rFonts w:ascii="楷体" w:eastAsia="楷体" w:hAnsi="楷体" w:hint="eastAsia"/>
          <w:b/>
          <w:color w:val="000000" w:themeColor="text1"/>
          <w:sz w:val="24"/>
          <w:szCs w:val="24"/>
        </w:rPr>
        <w:t>成本供需均无亮点 聚烯烃维持低位震荡</w:t>
      </w:r>
      <w:bookmarkEnd w:id="39"/>
    </w:p>
    <w:p w:rsidR="003F56A5" w:rsidRDefault="003C4855">
      <w:pPr>
        <w:ind w:leftChars="300" w:left="630"/>
        <w:rPr>
          <w:rFonts w:ascii="楷体" w:eastAsia="楷体" w:hAnsi="楷体"/>
          <w:bCs/>
          <w:sz w:val="24"/>
          <w:szCs w:val="24"/>
        </w:rPr>
      </w:pPr>
      <w:r w:rsidRPr="003C4855">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通胀数据引发交易员担忧美联储可能近期内不准备放松利率，欧美原油期货下跌近4%，对需求担忧以及美国等非欧佩克国家产量增加也打压市场气氛。需求方面，PE下游方面，农膜整体需求平平，工厂生产清淡，棚膜工厂多停机检修；PP下游方面，BOPP市场成交刚需有量，整体量较上一交易日增加，BOPP企业未交付订单多数在一周以内。综合来看，近期聚烯烃较多装置停车检修，开工负荷仍偏低，供应端压力不大，整体库存小幅去库，但去化速率偏慢。PE下游农膜厂开工再度走弱，“双十二”购物节即将结束，需求季节性转弱。聚烯烃供强需弱格局，驱动较弱，建议逢高做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3357906"/>
      <w:r>
        <w:rPr>
          <w:rFonts w:ascii="楷体" w:eastAsia="楷体" w:hAnsi="楷体" w:hint="eastAsia"/>
          <w:b/>
          <w:color w:val="000000" w:themeColor="text1"/>
          <w:sz w:val="24"/>
          <w:szCs w:val="24"/>
        </w:rPr>
        <w:t>MEG：</w:t>
      </w:r>
      <w:r w:rsidR="009B3615" w:rsidRPr="009B3615">
        <w:rPr>
          <w:rFonts w:ascii="楷体" w:eastAsia="楷体" w:hAnsi="楷体" w:hint="eastAsia"/>
          <w:b/>
          <w:color w:val="000000" w:themeColor="text1"/>
          <w:sz w:val="24"/>
          <w:szCs w:val="24"/>
        </w:rPr>
        <w:t>区间操作为主</w:t>
      </w:r>
      <w:bookmarkEnd w:id="40"/>
    </w:p>
    <w:p w:rsidR="003F56A5" w:rsidRDefault="009B3615" w:rsidP="00152664">
      <w:pPr>
        <w:ind w:leftChars="300" w:left="630"/>
        <w:rPr>
          <w:rFonts w:ascii="楷体" w:eastAsia="楷体" w:hAnsi="楷体"/>
          <w:color w:val="000000" w:themeColor="text1"/>
          <w:sz w:val="24"/>
          <w:szCs w:val="24"/>
        </w:rPr>
      </w:pPr>
      <w:r w:rsidRPr="009B3615">
        <w:rPr>
          <w:rFonts w:ascii="楷体" w:eastAsia="楷体" w:hAnsi="楷体" w:hint="eastAsia"/>
          <w:color w:val="000000" w:themeColor="text1"/>
          <w:sz w:val="24"/>
          <w:szCs w:val="24"/>
        </w:rPr>
        <w:t>供需情况，12.11华东主港地区MEG港口库存约124万吨附近，环比上期增加0.4万吨。12月11日-12月17日，张家港到货数量约为3万吨，太仓码头到货数量约为4.3万吨，宁波到货数量约为2.5万吨，上海到船数量约为0万吨，主港计划到货总数为9.8万吨。截至12月7日，中国大陆地区乙二醇整体开工负荷在61.65%（+0.59%），其中煤制乙二醇开工负荷在64.6%（+4.15%）。</w:t>
      </w:r>
      <w:r w:rsidRPr="009B3615">
        <w:rPr>
          <w:rFonts w:ascii="Calibri" w:eastAsia="楷体" w:hAnsi="Calibri" w:cs="Calibri"/>
          <w:color w:val="000000" w:themeColor="text1"/>
          <w:sz w:val="24"/>
          <w:szCs w:val="24"/>
        </w:rPr>
        <w:t> </w:t>
      </w:r>
      <w:r w:rsidRPr="009B3615">
        <w:rPr>
          <w:rFonts w:ascii="楷体" w:eastAsia="楷体" w:hAnsi="楷体" w:hint="eastAsia"/>
          <w:color w:val="000000" w:themeColor="text1"/>
          <w:sz w:val="24"/>
          <w:szCs w:val="24"/>
        </w:rPr>
        <w:t>新疆中昆60万吨/年新装置顺利出料，目前逐步提负中</w:t>
      </w:r>
      <w:r w:rsidRPr="009B3615">
        <w:rPr>
          <w:rFonts w:ascii="Calibri" w:eastAsia="楷体" w:hAnsi="Calibri" w:cs="Calibri"/>
          <w:color w:val="000000" w:themeColor="text1"/>
          <w:sz w:val="24"/>
          <w:szCs w:val="24"/>
        </w:rPr>
        <w:t> </w:t>
      </w:r>
      <w:r w:rsidRPr="009B3615">
        <w:rPr>
          <w:rFonts w:ascii="楷体" w:eastAsia="楷体" w:hAnsi="楷体" w:hint="eastAsia"/>
          <w:color w:val="000000" w:themeColor="text1"/>
          <w:sz w:val="24"/>
          <w:szCs w:val="24"/>
        </w:rPr>
        <w:t>。截至12月7日，国内大陆地区聚酯负荷在90.8%，节前聚酯开工高位</w:t>
      </w:r>
      <w:r w:rsidRPr="009B3615">
        <w:rPr>
          <w:rFonts w:ascii="楷体" w:eastAsia="楷体" w:hAnsi="楷体" w:hint="eastAsia"/>
          <w:color w:val="000000" w:themeColor="text1"/>
          <w:sz w:val="24"/>
          <w:szCs w:val="24"/>
        </w:rPr>
        <w:lastRenderedPageBreak/>
        <w:t>维持。终端来看，江浙终端开工率继续下滑，新订单持续性不足。江浙加弹综合开工90%（-1%）维持，江浙织机综合开工小幅下滑至82%（-2%），江浙印染综合开工下滑至78%（-3%）。综合来看，进口到港减少及聚酯高开工维持驱动仍存，预计12月乙二醇供需改善呈现紧平衡格局。关注乙二醇低多机会，下方支撑4050-4060，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Pr="0008229A" w:rsidRDefault="0079299D" w:rsidP="0008229A">
      <w:pPr>
        <w:ind w:leftChars="200" w:left="420"/>
        <w:outlineLvl w:val="1"/>
        <w:rPr>
          <w:rFonts w:ascii="楷体" w:eastAsia="楷体" w:hAnsi="楷体"/>
          <w:b/>
          <w:color w:val="000000" w:themeColor="text1"/>
          <w:sz w:val="24"/>
          <w:szCs w:val="24"/>
        </w:rPr>
      </w:pPr>
      <w:bookmarkStart w:id="41" w:name="_Toc15335790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B449F5" w:rsidRPr="00B449F5">
        <w:rPr>
          <w:rFonts w:ascii="楷体" w:eastAsia="楷体" w:hAnsi="楷体" w:hint="eastAsia"/>
          <w:b/>
          <w:color w:val="000000" w:themeColor="text1"/>
          <w:sz w:val="24"/>
          <w:szCs w:val="24"/>
        </w:rPr>
        <w:t>补库趋缓，偏弱震荡</w:t>
      </w:r>
      <w:bookmarkEnd w:id="41"/>
    </w:p>
    <w:p w:rsidR="00A71A7E" w:rsidRDefault="00B449F5" w:rsidP="002B2B4E">
      <w:pPr>
        <w:ind w:leftChars="300" w:left="630"/>
        <w:rPr>
          <w:rFonts w:ascii="楷体" w:eastAsia="楷体" w:hAnsi="楷体"/>
          <w:color w:val="000000" w:themeColor="text1"/>
          <w:sz w:val="24"/>
          <w:szCs w:val="24"/>
        </w:rPr>
      </w:pPr>
      <w:r w:rsidRPr="00B449F5">
        <w:rPr>
          <w:rFonts w:ascii="楷体" w:eastAsia="楷体" w:hAnsi="楷体" w:hint="eastAsia"/>
          <w:color w:val="000000" w:themeColor="text1"/>
          <w:sz w:val="24"/>
          <w:szCs w:val="24"/>
        </w:rPr>
        <w:t>隆众资讯12月12日报道:今日浮法玻璃现货价格2010元/吨，较上一交易日持平。截至2023年12月11日，全国浮法玻璃日产量为17.16万吨，较上周下降1200T/d。库存上，上周全国浮法玻璃样本企业总库存3287.9万重箱，环比下滑482.2万重箱，环比-12.79%，贸易商经过前两周补库以后，多数持稳操作，下游加工厂按需拿货。盘面近月01合约小幅贴水，现货产销走弱，价格稳价，期现商高位有注册仓单套保，近月01合约承压，远月05主力合约由需求预期驱动，宏观表现积极+低库存补库，向下空间有限，但短期下游操作谨慎，补库走缓，进入弱震荡行情</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Pr="009D2D8B" w:rsidRDefault="0079299D" w:rsidP="009D2D8B">
      <w:pPr>
        <w:ind w:leftChars="200" w:left="420"/>
        <w:outlineLvl w:val="1"/>
        <w:rPr>
          <w:rFonts w:ascii="楷体" w:eastAsia="楷体" w:hAnsi="楷体"/>
          <w:b/>
          <w:color w:val="000000" w:themeColor="text1"/>
          <w:sz w:val="24"/>
          <w:szCs w:val="24"/>
        </w:rPr>
      </w:pPr>
      <w:bookmarkStart w:id="42" w:name="_Toc15335790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B449F5" w:rsidRPr="00B449F5">
        <w:rPr>
          <w:rFonts w:ascii="楷体" w:eastAsia="楷体" w:hAnsi="楷体" w:hint="eastAsia"/>
          <w:b/>
          <w:color w:val="000000" w:themeColor="text1"/>
          <w:sz w:val="24"/>
          <w:szCs w:val="24"/>
        </w:rPr>
        <w:t>现货稳价期，短期无强驱动</w:t>
      </w:r>
      <w:bookmarkEnd w:id="42"/>
    </w:p>
    <w:p w:rsidR="00A71A7E" w:rsidRDefault="00B449F5" w:rsidP="002B2B4E">
      <w:pPr>
        <w:ind w:leftChars="300" w:left="630"/>
        <w:rPr>
          <w:rFonts w:ascii="楷体" w:eastAsia="楷体" w:hAnsi="楷体"/>
          <w:bCs/>
          <w:sz w:val="24"/>
          <w:szCs w:val="24"/>
        </w:rPr>
      </w:pPr>
      <w:r w:rsidRPr="00B449F5">
        <w:rPr>
          <w:rFonts w:ascii="楷体" w:eastAsia="楷体" w:hAnsi="楷体" w:hint="eastAsia"/>
          <w:color w:val="000000" w:themeColor="text1"/>
          <w:sz w:val="24"/>
          <w:szCs w:val="24"/>
        </w:rPr>
        <w:t>纯碱现货价格高位震荡。华北重碱报价3000元/吨，成交较少;华南重碱报价3250元/吨。供给方面，截至20231207，周内纯碱产量66.21万吨，涨幅0.37%。周纯碱厂家库存36.70万吨，环比-1.35万吨，跌幅3.55%%，待发订单排到月底。周内供给端装置扰动较多，山东海天装置问题短停，预计2-3日，江苏昆山短停1天，青海地区保持低负荷运行，应城新都化工20号检修，预计10天，苏盐井神11号检修，预计10天。从库存结构上来看，厂库库存仍处于低位，供给端反复扰动，短期稳价难跌。盘面上，01合约走交割逻辑，下游阶段性补库进入尾声，剩余现货端碱厂待发订单接近月底，下半月不再封单，新单要到1月，涨跌有限;远月05收月间价差，短期波动较大，追多谨慎，期价高位震荡，做空尚早，等待累库信号出现，建议观望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33579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335791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B449F5" w:rsidRPr="00B449F5">
        <w:rPr>
          <w:rFonts w:ascii="楷体" w:eastAsia="楷体" w:hAnsi="楷体" w:hint="eastAsia"/>
          <w:b/>
          <w:sz w:val="24"/>
          <w:szCs w:val="24"/>
        </w:rPr>
        <w:t>南美天气不稳定，期价震荡运行</w:t>
      </w:r>
      <w:bookmarkEnd w:id="44"/>
    </w:p>
    <w:p w:rsidR="003F56A5" w:rsidRDefault="00B449F5">
      <w:pPr>
        <w:ind w:leftChars="300" w:left="630"/>
        <w:rPr>
          <w:rFonts w:ascii="楷体" w:eastAsia="楷体" w:hAnsi="楷体"/>
          <w:sz w:val="24"/>
          <w:szCs w:val="24"/>
        </w:rPr>
      </w:pPr>
      <w:r w:rsidRPr="00B449F5">
        <w:rPr>
          <w:rFonts w:ascii="楷体" w:eastAsia="楷体" w:hAnsi="楷体" w:hint="eastAsia"/>
          <w:sz w:val="24"/>
          <w:szCs w:val="24"/>
        </w:rPr>
        <w:t>因预报显示巴西大豆干旱产区将继续迎来降水，CBOT大豆冲高回落，在1300上方波动。随着美豆定产后，市场定价中心逐步转向南美，巴西天气不确定性较大，目前种植进度落后于去年同期及五年均值水平为91%，虽当前美农报告对南美产量调整不及预期，但中长期南美丰产预期能否兑现仍是后续价格走势的关键，关注巴西后续天气及种植情况。国内现货基差延续偏弱，供应端进入11月份后，随着进口大豆到港增加，油厂大豆库存开始回升，油厂开机率提升，豆粕产出增加，但因下游成交未见明显好转，豆粕库存较前一周增至73.79万吨，当前沿海主流油厂豆粕现货报价上调至3950-4050元/吨。但11月份进口大豆到港不及预期，为792万吨，叠加近期华北延迟到港问题，支撑油厂挺价情绪。需求，下游生猪养殖利润维持亏损，但在能繁存栏高位下，下游随采随用，保持安全库存。菜粕供</w:t>
      </w:r>
      <w:r w:rsidRPr="00B449F5">
        <w:rPr>
          <w:rFonts w:ascii="楷体" w:eastAsia="楷体" w:hAnsi="楷体" w:hint="eastAsia"/>
          <w:sz w:val="24"/>
          <w:szCs w:val="24"/>
        </w:rPr>
        <w:lastRenderedPageBreak/>
        <w:t>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波动区间3350-3550，菜粕建议短线顺势操作，近月压力仍较大，可关注1-5反套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3357911"/>
      <w:r>
        <w:rPr>
          <w:rFonts w:ascii="楷体" w:eastAsia="楷体" w:hAnsi="楷体" w:hint="eastAsia"/>
          <w:b/>
          <w:color w:val="000000" w:themeColor="text1"/>
          <w:sz w:val="24"/>
          <w:szCs w:val="24"/>
        </w:rPr>
        <w:t>油脂：</w:t>
      </w:r>
      <w:r w:rsidR="00B449F5" w:rsidRPr="00B449F5">
        <w:rPr>
          <w:rFonts w:ascii="楷体" w:eastAsia="楷体" w:hAnsi="楷体" w:hint="eastAsia"/>
          <w:b/>
          <w:sz w:val="24"/>
          <w:szCs w:val="24"/>
        </w:rPr>
        <w:t>MPOB报告中性偏多，油脂反弹乏力</w:t>
      </w:r>
      <w:bookmarkEnd w:id="45"/>
    </w:p>
    <w:p w:rsidR="003F56A5" w:rsidRDefault="00B449F5" w:rsidP="00792D31">
      <w:pPr>
        <w:ind w:leftChars="300" w:left="630"/>
        <w:rPr>
          <w:rFonts w:ascii="楷体" w:eastAsia="楷体" w:hAnsi="楷体"/>
          <w:sz w:val="24"/>
          <w:szCs w:val="24"/>
        </w:rPr>
      </w:pPr>
      <w:r w:rsidRPr="00B449F5">
        <w:rPr>
          <w:rFonts w:ascii="楷体" w:eastAsia="楷体" w:hAnsi="楷体" w:hint="eastAsia"/>
          <w:sz w:val="24"/>
          <w:szCs w:val="24"/>
        </w:rPr>
        <w:t>11月MPOB报告数据中性略偏多，报告落地后对期价有所支撑，但在美国通胀数据回升以及供应过剩担忧下，国际原油大跌，叠加国内高库存压制，拖累油脂走势。棕榈油，产地11月份进入季节性减产周期，库存压力逐步释放，但中长期在厄尔尼诺现象扰动下，价格下方存支撑，但短期未见异常。印尼棕榈油9月份产需双增，但产量增幅不及需求，库存环比下降。而马棕11月份产需双降，因产量降幅略高于预期，库存降幅环比达1.09%。四季度主要关注厄尔尼诺对产量的扰动，为中长期潜在利多因素。国内棕榈油9-10月份进口到港维持高位，但在高库存抑制下后续进口预计减少，最新商业库存减至94.37万吨。需求端，因节前备货，叠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成交疲软。菜油预计供需双旺。当前主产地菜籽新作处于出口阶段，集中上市压力也抑制期价走势。随着11月份后进口菜籽到港增加，菜籽开机及压榨水平提升，10月菜籽进口3.4万吨，环比减89%，且四季度菜籽进口预期宽松。需求方面，与豆油价差持续收窄，部分地区出现与豆油价格平水情况，需求好转支撑当前价格。短期油脂预计维持震荡调整，上方压力仍存，建议短线波段操作；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3357912"/>
      <w:r>
        <w:rPr>
          <w:rFonts w:ascii="楷体" w:eastAsia="楷体" w:hAnsi="楷体" w:hint="eastAsia"/>
          <w:b/>
          <w:bCs/>
          <w:color w:val="000000" w:themeColor="text1"/>
        </w:rPr>
        <w:t>玉米与淀粉：</w:t>
      </w:r>
      <w:r w:rsidR="00B449F5" w:rsidRPr="00B449F5">
        <w:rPr>
          <w:rFonts w:ascii="楷体" w:eastAsia="楷体" w:hAnsi="楷体" w:hint="eastAsia"/>
          <w:b/>
        </w:rPr>
        <w:t>现货带动期价延续弱势</w:t>
      </w:r>
      <w:bookmarkEnd w:id="46"/>
    </w:p>
    <w:p w:rsidR="00B449F5" w:rsidRPr="00B449F5" w:rsidRDefault="00B449F5" w:rsidP="00B449F5">
      <w:pPr>
        <w:pStyle w:val="paragraph"/>
        <w:spacing w:after="60"/>
        <w:ind w:leftChars="300" w:left="630"/>
        <w:rPr>
          <w:rFonts w:ascii="楷体" w:eastAsia="楷体" w:hAnsi="楷体" w:hint="eastAsia"/>
        </w:rPr>
      </w:pPr>
      <w:r w:rsidRPr="00B449F5">
        <w:rPr>
          <w:rFonts w:ascii="楷体" w:eastAsia="楷体" w:hAnsi="楷体" w:hint="eastAsia"/>
        </w:rPr>
        <w:t>对于玉米而言，市场延续供需博弈，在余粮压力有待释放的情况下，中下游建库意愿依然疲弱，前期生猪养殖行业非瘟疫情和资金链问题的担忧带动玉米期价创出新低。在这种情况下，除了需要继续关注上游农户的惜售心理外，中下游还需要特别留意生猪价格和行业动向，因其可能带来建库意愿的变量。在这种情况下，暂维持中性，后期或转向看多，建议暂以观望为宜。</w:t>
      </w:r>
    </w:p>
    <w:p w:rsidR="003F56A5" w:rsidRDefault="00B449F5" w:rsidP="00B449F5">
      <w:pPr>
        <w:pStyle w:val="paragraph"/>
        <w:spacing w:before="0" w:beforeAutospacing="0" w:after="60" w:afterAutospacing="0"/>
        <w:ind w:leftChars="300" w:left="630"/>
        <w:rPr>
          <w:rFonts w:ascii="楷体" w:eastAsia="楷体" w:hAnsi="楷体"/>
        </w:rPr>
      </w:pPr>
      <w:r w:rsidRPr="00B449F5">
        <w:rPr>
          <w:rFonts w:ascii="楷体" w:eastAsia="楷体" w:hAnsi="楷体" w:hint="eastAsia"/>
        </w:rPr>
        <w:t>对于淀粉而言，分析市场可以看出，近期淀粉行业供需端的利空与副产品端的利空大致相互抵消，而现货基差则带来一定支撑，市场更多关注原料成本端，短期更多源于华北-东北产区玉米价差的变动，其中长期方向性仍有待评估。在这种情况下，我们维持中性观点，单边建议暂以观望为宜，可轻仓参与淀粉-玉米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3357913"/>
      <w:r>
        <w:rPr>
          <w:rFonts w:ascii="楷体" w:eastAsia="楷体" w:hAnsi="楷体" w:hint="eastAsia"/>
          <w:b/>
          <w:bCs/>
          <w:color w:val="000000" w:themeColor="text1"/>
        </w:rPr>
        <w:t>畜禽养殖：</w:t>
      </w:r>
      <w:r w:rsidR="00B449F5" w:rsidRPr="00B449F5">
        <w:rPr>
          <w:rFonts w:ascii="楷体" w:eastAsia="楷体" w:hAnsi="楷体" w:hint="eastAsia"/>
          <w:b/>
          <w:bCs/>
          <w:color w:val="000000" w:themeColor="text1"/>
        </w:rPr>
        <w:t>生猪近月期价大幅反弹</w:t>
      </w:r>
      <w:bookmarkEnd w:id="47"/>
    </w:p>
    <w:p w:rsidR="00B449F5" w:rsidRPr="00B449F5" w:rsidRDefault="00B449F5" w:rsidP="00B449F5">
      <w:pPr>
        <w:pStyle w:val="paragraph"/>
        <w:spacing w:after="60"/>
        <w:ind w:leftChars="300" w:left="630"/>
        <w:rPr>
          <w:rFonts w:ascii="楷体" w:eastAsia="楷体" w:hAnsi="楷体" w:hint="eastAsia"/>
        </w:rPr>
      </w:pPr>
      <w:r w:rsidRPr="00B449F5">
        <w:rPr>
          <w:rFonts w:ascii="楷体" w:eastAsia="楷体" w:hAnsi="楷体" w:hint="eastAsia"/>
        </w:rPr>
        <w:lastRenderedPageBreak/>
        <w:t>对于生猪而言，分析市场可以看出，现货在非瘟疫情和产业链资金问题的带动下，养殖户生猪出栏增加，现货持续下跌，在这种情况下，市场倾向于认为生猪提前出栏减少节后供应，且生猪产能去化带来周期见底，期价结构彻底转为远月升水结构，这一乐观预期存在一定合理性，但也存在较大的不确定性。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其一可以参考去年现货崩盘后产能去化幅度，其二则是规模企业当前已公布的出栏目标。综上所述，基于各合约不确定性的考虑，维持中性观点，建议投资者观望为宜。</w:t>
      </w:r>
    </w:p>
    <w:p w:rsidR="003F56A5" w:rsidRDefault="00B449F5" w:rsidP="00B449F5">
      <w:pPr>
        <w:pStyle w:val="paragraph"/>
        <w:spacing w:before="0" w:beforeAutospacing="0" w:after="60" w:afterAutospacing="0"/>
        <w:ind w:leftChars="300" w:left="630"/>
        <w:rPr>
          <w:rFonts w:ascii="楷体" w:eastAsia="楷体" w:hAnsi="楷体"/>
        </w:rPr>
      </w:pPr>
      <w:r w:rsidRPr="00B449F5">
        <w:rPr>
          <w:rFonts w:ascii="楷体" w:eastAsia="楷体" w:hAnsi="楷体" w:hint="eastAsia"/>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我们倾向于鸡蛋期价或趋于震荡调整，在这个过程中，市场将根据季节性旺季期间的现货表现来判断接下来特别是春节后的鸡蛋供需状况。在这种情况下，我们维持中性观点，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3357914"/>
      <w:r>
        <w:rPr>
          <w:rFonts w:ascii="楷体" w:eastAsia="楷体" w:hAnsi="楷体" w:hint="eastAsia"/>
          <w:b/>
          <w:sz w:val="24"/>
          <w:szCs w:val="24"/>
        </w:rPr>
        <w:t>郑棉：</w:t>
      </w:r>
      <w:r w:rsidR="00B449F5" w:rsidRPr="00B449F5">
        <w:rPr>
          <w:rFonts w:ascii="楷体" w:eastAsia="楷体" w:hAnsi="楷体" w:hint="eastAsia"/>
          <w:b/>
          <w:sz w:val="24"/>
          <w:szCs w:val="24"/>
        </w:rPr>
        <w:t>震荡整理</w:t>
      </w:r>
      <w:bookmarkEnd w:id="48"/>
    </w:p>
    <w:p w:rsidR="003F56A5" w:rsidRDefault="00B449F5" w:rsidP="007B3290">
      <w:pPr>
        <w:ind w:leftChars="300" w:left="630"/>
        <w:rPr>
          <w:rFonts w:ascii="楷体" w:eastAsia="楷体" w:hAnsi="楷体"/>
          <w:sz w:val="24"/>
          <w:szCs w:val="24"/>
        </w:rPr>
      </w:pPr>
      <w:r w:rsidRPr="00B449F5">
        <w:rPr>
          <w:rFonts w:ascii="楷体" w:eastAsia="楷体" w:hAnsi="楷体" w:hint="eastAsia"/>
          <w:sz w:val="24"/>
          <w:szCs w:val="24"/>
        </w:rPr>
        <w:t>随着前期棉花棉纱价格大幅下跌释放利空，近期下游形势略有好转，纺织企业开机率和布料企业开机率微升，纱线库存微降。但虽说前三项数据出现拐点，但整体而言开机率仍处低位，而纱线库存的消化也非短期可一蹴而就的事情。郑棉仓单急速增加，仓单加有效预报已升至8200+张，同比增加近6800张，仓单的激增和套保压力或限制其反弹高度。预计短期40日均线处承压，05在15000-15500元/吨区间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3357915"/>
      <w:r>
        <w:rPr>
          <w:rFonts w:ascii="楷体" w:eastAsia="楷体" w:hAnsi="楷体" w:hint="eastAsia"/>
          <w:b/>
          <w:sz w:val="24"/>
          <w:szCs w:val="24"/>
        </w:rPr>
        <w:t>白糖：</w:t>
      </w:r>
      <w:r w:rsidR="003C4855" w:rsidRPr="003C4855">
        <w:rPr>
          <w:rFonts w:ascii="楷体" w:eastAsia="楷体" w:hAnsi="楷体" w:hint="eastAsia"/>
          <w:b/>
          <w:sz w:val="24"/>
          <w:szCs w:val="24"/>
        </w:rPr>
        <w:t>偏弱震荡</w:t>
      </w:r>
      <w:bookmarkEnd w:id="49"/>
    </w:p>
    <w:p w:rsidR="00296325" w:rsidRDefault="003C4855" w:rsidP="00296325">
      <w:pPr>
        <w:ind w:leftChars="300" w:left="630"/>
        <w:rPr>
          <w:rFonts w:ascii="楷体" w:eastAsia="楷体" w:hAnsi="楷体"/>
          <w:sz w:val="24"/>
          <w:szCs w:val="24"/>
        </w:rPr>
      </w:pPr>
      <w:r w:rsidRPr="003C4855">
        <w:rPr>
          <w:rFonts w:ascii="楷体" w:eastAsia="楷体" w:hAnsi="楷体" w:hint="eastAsia"/>
          <w:sz w:val="24"/>
          <w:szCs w:val="24"/>
        </w:rPr>
        <w:t>咨询机构StoneX预计巴西中南部地区2024/25年度糖产量预计达到创纪录的4320万吨，较上年增长3.3%。巴西糖厂预计在2024/25年度将51.4%的甘蔗用于制糖，高于上年的49%。印度欲行政干预使得甘蔗用于生产白糖而非乙醇。国际原糖走势偏空。国内新糖上市，传闻本榨季广西有望增产15%—20%。10月进口量大增至92.5万吨。供应短期内趋向宽松，尾随国际糖价继续走弱</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3357916"/>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3357917"/>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9B3615" w:rsidRPr="009B3615">
        <w:rPr>
          <w:rFonts w:ascii="Times New Roman" w:eastAsia="楷体" w:hAnsi="Times New Roman" w:hint="eastAsia"/>
          <w:b/>
          <w:color w:val="000000" w:themeColor="text1"/>
          <w:sz w:val="24"/>
          <w:szCs w:val="24"/>
        </w:rPr>
        <w:t>现货端利好消息支撑，</w:t>
      </w:r>
      <w:r w:rsidR="009B3615" w:rsidRPr="009B3615">
        <w:rPr>
          <w:rFonts w:ascii="Times New Roman" w:eastAsia="楷体" w:hAnsi="Times New Roman" w:hint="eastAsia"/>
          <w:b/>
          <w:color w:val="000000" w:themeColor="text1"/>
          <w:sz w:val="24"/>
          <w:szCs w:val="24"/>
        </w:rPr>
        <w:t>EC</w:t>
      </w:r>
      <w:r w:rsidR="009B3615" w:rsidRPr="009B3615">
        <w:rPr>
          <w:rFonts w:ascii="Times New Roman" w:eastAsia="楷体" w:hAnsi="Times New Roman" w:hint="eastAsia"/>
          <w:b/>
          <w:color w:val="000000" w:themeColor="text1"/>
          <w:sz w:val="24"/>
          <w:szCs w:val="24"/>
        </w:rPr>
        <w:t>或将保持高位震荡</w:t>
      </w:r>
      <w:bookmarkEnd w:id="51"/>
    </w:p>
    <w:p w:rsidR="009B3615" w:rsidRPr="009B3615" w:rsidRDefault="009B3615" w:rsidP="009B3615">
      <w:pPr>
        <w:ind w:leftChars="300" w:left="630"/>
        <w:rPr>
          <w:rFonts w:ascii="Times New Roman" w:eastAsia="楷体" w:hAnsi="Times New Roman" w:hint="eastAsia"/>
          <w:color w:val="000000" w:themeColor="text1"/>
          <w:sz w:val="24"/>
          <w:szCs w:val="24"/>
        </w:rPr>
      </w:pPr>
      <w:r w:rsidRPr="009B3615">
        <w:rPr>
          <w:rFonts w:ascii="Times New Roman" w:eastAsia="楷体" w:hAnsi="Times New Roman" w:hint="eastAsia"/>
          <w:color w:val="000000" w:themeColor="text1"/>
          <w:sz w:val="24"/>
          <w:szCs w:val="24"/>
        </w:rPr>
        <w:t>期货价格高位震荡，主要受到现货价格持续上行以及预期端</w:t>
      </w:r>
      <w:r w:rsidRPr="009B3615">
        <w:rPr>
          <w:rFonts w:ascii="Times New Roman" w:eastAsia="楷体" w:hAnsi="Times New Roman" w:hint="eastAsia"/>
          <w:color w:val="000000" w:themeColor="text1"/>
          <w:sz w:val="24"/>
          <w:szCs w:val="24"/>
        </w:rPr>
        <w:t>1</w:t>
      </w:r>
      <w:r w:rsidRPr="009B3615">
        <w:rPr>
          <w:rFonts w:ascii="Times New Roman" w:eastAsia="楷体" w:hAnsi="Times New Roman" w:hint="eastAsia"/>
          <w:color w:val="000000" w:themeColor="text1"/>
          <w:sz w:val="24"/>
          <w:szCs w:val="24"/>
        </w:rPr>
        <w:t>月运价再度宣涨的支撑。供应端方面，近期马士基、达飞、</w:t>
      </w:r>
      <w:r w:rsidRPr="009B3615">
        <w:rPr>
          <w:rFonts w:ascii="Times New Roman" w:eastAsia="楷体" w:hAnsi="Times New Roman" w:hint="eastAsia"/>
          <w:color w:val="000000" w:themeColor="text1"/>
          <w:sz w:val="24"/>
          <w:szCs w:val="24"/>
        </w:rPr>
        <w:t>COSCO</w:t>
      </w:r>
      <w:r w:rsidRPr="009B3615">
        <w:rPr>
          <w:rFonts w:ascii="Times New Roman" w:eastAsia="楷体" w:hAnsi="Times New Roman" w:hint="eastAsia"/>
          <w:color w:val="000000" w:themeColor="text1"/>
          <w:sz w:val="24"/>
          <w:szCs w:val="24"/>
        </w:rPr>
        <w:t>、</w:t>
      </w:r>
      <w:r w:rsidRPr="009B3615">
        <w:rPr>
          <w:rFonts w:ascii="Times New Roman" w:eastAsia="楷体" w:hAnsi="Times New Roman" w:hint="eastAsia"/>
          <w:color w:val="000000" w:themeColor="text1"/>
          <w:sz w:val="24"/>
          <w:szCs w:val="24"/>
        </w:rPr>
        <w:t>HPL</w:t>
      </w:r>
      <w:r w:rsidRPr="009B3615">
        <w:rPr>
          <w:rFonts w:ascii="Times New Roman" w:eastAsia="楷体" w:hAnsi="Times New Roman" w:hint="eastAsia"/>
          <w:color w:val="000000" w:themeColor="text1"/>
          <w:sz w:val="24"/>
          <w:szCs w:val="24"/>
        </w:rPr>
        <w:t>、</w:t>
      </w:r>
      <w:r w:rsidRPr="009B3615">
        <w:rPr>
          <w:rFonts w:ascii="Times New Roman" w:eastAsia="楷体" w:hAnsi="Times New Roman" w:hint="eastAsia"/>
          <w:color w:val="000000" w:themeColor="text1"/>
          <w:sz w:val="24"/>
          <w:szCs w:val="24"/>
        </w:rPr>
        <w:t>EMC</w:t>
      </w:r>
      <w:r w:rsidRPr="009B3615">
        <w:rPr>
          <w:rFonts w:ascii="Times New Roman" w:eastAsia="楷体" w:hAnsi="Times New Roman" w:hint="eastAsia"/>
          <w:color w:val="000000" w:themeColor="text1"/>
          <w:sz w:val="24"/>
          <w:szCs w:val="24"/>
        </w:rPr>
        <w:t>等船司</w:t>
      </w:r>
      <w:r w:rsidRPr="009B3615">
        <w:rPr>
          <w:rFonts w:ascii="Times New Roman" w:eastAsia="楷体" w:hAnsi="Times New Roman" w:hint="eastAsia"/>
          <w:color w:val="000000" w:themeColor="text1"/>
          <w:sz w:val="24"/>
          <w:szCs w:val="24"/>
        </w:rPr>
        <w:t>1</w:t>
      </w:r>
      <w:r w:rsidRPr="009B3615">
        <w:rPr>
          <w:rFonts w:ascii="Times New Roman" w:eastAsia="楷体" w:hAnsi="Times New Roman" w:hint="eastAsia"/>
          <w:color w:val="000000" w:themeColor="text1"/>
          <w:sz w:val="24"/>
          <w:szCs w:val="24"/>
        </w:rPr>
        <w:t>月初的运价均计划上调或已经上调，比起</w:t>
      </w:r>
      <w:r w:rsidRPr="009B3615">
        <w:rPr>
          <w:rFonts w:ascii="Times New Roman" w:eastAsia="楷体" w:hAnsi="Times New Roman" w:hint="eastAsia"/>
          <w:color w:val="000000" w:themeColor="text1"/>
          <w:sz w:val="24"/>
          <w:szCs w:val="24"/>
        </w:rPr>
        <w:t>12</w:t>
      </w:r>
      <w:r w:rsidRPr="009B3615">
        <w:rPr>
          <w:rFonts w:ascii="Times New Roman" w:eastAsia="楷体" w:hAnsi="Times New Roman" w:hint="eastAsia"/>
          <w:color w:val="000000" w:themeColor="text1"/>
          <w:sz w:val="24"/>
          <w:szCs w:val="24"/>
        </w:rPr>
        <w:t>月中旬价格上调幅度高达</w:t>
      </w:r>
      <w:r w:rsidRPr="009B3615">
        <w:rPr>
          <w:rFonts w:ascii="Times New Roman" w:eastAsia="楷体" w:hAnsi="Times New Roman" w:hint="eastAsia"/>
          <w:color w:val="000000" w:themeColor="text1"/>
          <w:sz w:val="24"/>
          <w:szCs w:val="24"/>
        </w:rPr>
        <w:t>20%</w:t>
      </w:r>
      <w:r w:rsidRPr="009B3615">
        <w:rPr>
          <w:rFonts w:ascii="Times New Roman" w:eastAsia="楷体" w:hAnsi="Times New Roman" w:hint="eastAsia"/>
          <w:color w:val="000000" w:themeColor="text1"/>
          <w:sz w:val="24"/>
          <w:szCs w:val="24"/>
        </w:rPr>
        <w:t>。外需方面，</w:t>
      </w:r>
      <w:r w:rsidRPr="009B3615">
        <w:rPr>
          <w:rFonts w:ascii="Times New Roman" w:eastAsia="楷体" w:hAnsi="Times New Roman" w:hint="eastAsia"/>
          <w:color w:val="000000" w:themeColor="text1"/>
          <w:sz w:val="24"/>
          <w:szCs w:val="24"/>
        </w:rPr>
        <w:t>11</w:t>
      </w:r>
      <w:r w:rsidRPr="009B3615">
        <w:rPr>
          <w:rFonts w:ascii="Times New Roman" w:eastAsia="楷体" w:hAnsi="Times New Roman" w:hint="eastAsia"/>
          <w:color w:val="000000" w:themeColor="text1"/>
          <w:sz w:val="24"/>
          <w:szCs w:val="24"/>
        </w:rPr>
        <w:t>月欧元区制造业</w:t>
      </w:r>
      <w:r w:rsidRPr="009B3615">
        <w:rPr>
          <w:rFonts w:ascii="Times New Roman" w:eastAsia="楷体" w:hAnsi="Times New Roman" w:hint="eastAsia"/>
          <w:color w:val="000000" w:themeColor="text1"/>
          <w:sz w:val="24"/>
          <w:szCs w:val="24"/>
        </w:rPr>
        <w:t>PMI</w:t>
      </w:r>
      <w:r w:rsidRPr="009B3615">
        <w:rPr>
          <w:rFonts w:ascii="Times New Roman" w:eastAsia="楷体" w:hAnsi="Times New Roman" w:hint="eastAsia"/>
          <w:color w:val="000000" w:themeColor="text1"/>
          <w:sz w:val="24"/>
          <w:szCs w:val="24"/>
        </w:rPr>
        <w:t>数据为</w:t>
      </w:r>
      <w:r w:rsidRPr="009B3615">
        <w:rPr>
          <w:rFonts w:ascii="Times New Roman" w:eastAsia="楷体" w:hAnsi="Times New Roman" w:hint="eastAsia"/>
          <w:color w:val="000000" w:themeColor="text1"/>
          <w:sz w:val="24"/>
          <w:szCs w:val="24"/>
        </w:rPr>
        <w:t>43.8</w:t>
      </w:r>
      <w:r w:rsidRPr="009B3615">
        <w:rPr>
          <w:rFonts w:ascii="Times New Roman" w:eastAsia="楷体" w:hAnsi="Times New Roman" w:hint="eastAsia"/>
          <w:color w:val="000000" w:themeColor="text1"/>
          <w:sz w:val="24"/>
          <w:szCs w:val="24"/>
        </w:rPr>
        <w:t>，超过预期的</w:t>
      </w:r>
      <w:r w:rsidRPr="009B3615">
        <w:rPr>
          <w:rFonts w:ascii="Times New Roman" w:eastAsia="楷体" w:hAnsi="Times New Roman" w:hint="eastAsia"/>
          <w:color w:val="000000" w:themeColor="text1"/>
          <w:sz w:val="24"/>
          <w:szCs w:val="24"/>
        </w:rPr>
        <w:t>43.4</w:t>
      </w:r>
      <w:r w:rsidRPr="009B3615">
        <w:rPr>
          <w:rFonts w:ascii="Times New Roman" w:eastAsia="楷体" w:hAnsi="Times New Roman" w:hint="eastAsia"/>
          <w:color w:val="000000" w:themeColor="text1"/>
          <w:sz w:val="24"/>
          <w:szCs w:val="24"/>
        </w:rPr>
        <w:t>，但依然离荣枯线较远。</w:t>
      </w:r>
    </w:p>
    <w:p w:rsidR="00152664" w:rsidRDefault="009B3615" w:rsidP="009B3615">
      <w:pPr>
        <w:ind w:leftChars="300" w:left="630"/>
        <w:rPr>
          <w:rFonts w:ascii="Times New Roman" w:eastAsia="楷体" w:hAnsi="Times New Roman"/>
          <w:color w:val="000000" w:themeColor="text1"/>
          <w:sz w:val="24"/>
          <w:szCs w:val="24"/>
        </w:rPr>
      </w:pPr>
      <w:r w:rsidRPr="009B3615">
        <w:rPr>
          <w:rFonts w:ascii="Times New Roman" w:eastAsia="楷体" w:hAnsi="Times New Roman" w:hint="eastAsia"/>
          <w:color w:val="000000" w:themeColor="text1"/>
          <w:sz w:val="24"/>
          <w:szCs w:val="24"/>
        </w:rPr>
        <w:t>总体来看，近期船司密集提价引致现货指数持续向上，</w:t>
      </w:r>
      <w:r w:rsidRPr="009B3615">
        <w:rPr>
          <w:rFonts w:ascii="Times New Roman" w:eastAsia="楷体" w:hAnsi="Times New Roman" w:hint="eastAsia"/>
          <w:color w:val="000000" w:themeColor="text1"/>
          <w:sz w:val="24"/>
          <w:szCs w:val="24"/>
        </w:rPr>
        <w:t>SCFI</w:t>
      </w:r>
      <w:r w:rsidRPr="009B3615">
        <w:rPr>
          <w:rFonts w:ascii="Times New Roman" w:eastAsia="楷体" w:hAnsi="Times New Roman" w:hint="eastAsia"/>
          <w:color w:val="000000" w:themeColor="text1"/>
          <w:sz w:val="24"/>
          <w:szCs w:val="24"/>
        </w:rPr>
        <w:t>指数兑现</w:t>
      </w:r>
      <w:r w:rsidRPr="009B3615">
        <w:rPr>
          <w:rFonts w:ascii="Times New Roman" w:eastAsia="楷体" w:hAnsi="Times New Roman" w:hint="eastAsia"/>
          <w:color w:val="000000" w:themeColor="text1"/>
          <w:sz w:val="24"/>
          <w:szCs w:val="24"/>
        </w:rPr>
        <w:t>12</w:t>
      </w:r>
      <w:r w:rsidRPr="009B3615">
        <w:rPr>
          <w:rFonts w:ascii="Times New Roman" w:eastAsia="楷体" w:hAnsi="Times New Roman" w:hint="eastAsia"/>
          <w:color w:val="000000" w:themeColor="text1"/>
          <w:sz w:val="24"/>
          <w:szCs w:val="24"/>
        </w:rPr>
        <w:t>月中涨价，但还未覆盖</w:t>
      </w:r>
      <w:r w:rsidRPr="009B3615">
        <w:rPr>
          <w:rFonts w:ascii="Times New Roman" w:eastAsia="楷体" w:hAnsi="Times New Roman" w:hint="eastAsia"/>
          <w:color w:val="000000" w:themeColor="text1"/>
          <w:sz w:val="24"/>
          <w:szCs w:val="24"/>
        </w:rPr>
        <w:t>1</w:t>
      </w:r>
      <w:r w:rsidRPr="009B3615">
        <w:rPr>
          <w:rFonts w:ascii="Times New Roman" w:eastAsia="楷体" w:hAnsi="Times New Roman" w:hint="eastAsia"/>
          <w:color w:val="000000" w:themeColor="text1"/>
          <w:sz w:val="24"/>
          <w:szCs w:val="24"/>
        </w:rPr>
        <w:t>月初价格。因此</w:t>
      </w:r>
      <w:r w:rsidRPr="009B3615">
        <w:rPr>
          <w:rFonts w:ascii="Times New Roman" w:eastAsia="楷体" w:hAnsi="Times New Roman" w:hint="eastAsia"/>
          <w:color w:val="000000" w:themeColor="text1"/>
          <w:sz w:val="24"/>
          <w:szCs w:val="24"/>
        </w:rPr>
        <w:t>EC</w:t>
      </w:r>
      <w:r w:rsidRPr="009B3615">
        <w:rPr>
          <w:rFonts w:ascii="Times New Roman" w:eastAsia="楷体" w:hAnsi="Times New Roman" w:hint="eastAsia"/>
          <w:color w:val="000000" w:themeColor="text1"/>
          <w:sz w:val="24"/>
          <w:szCs w:val="24"/>
        </w:rPr>
        <w:t>价格预计将保持高位震荡，待本月中下旬观察实际兑现情况，建议在操作上注意节奏把握</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DF" w:rsidRDefault="005842DF">
      <w:r>
        <w:separator/>
      </w:r>
    </w:p>
  </w:endnote>
  <w:endnote w:type="continuationSeparator" w:id="0">
    <w:p w:rsidR="005842DF" w:rsidRDefault="0058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88DBD62" wp14:editId="00A743E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F07E7">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F07E7">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DF" w:rsidRDefault="005842DF">
      <w:r>
        <w:separator/>
      </w:r>
    </w:p>
  </w:footnote>
  <w:footnote w:type="continuationSeparator" w:id="0">
    <w:p w:rsidR="005842DF" w:rsidRDefault="00584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4562CA5" wp14:editId="58FBA24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BE4AC97" wp14:editId="7EBDF51E">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449F5">
      <w:rPr>
        <w:rFonts w:ascii="Times New Roman" w:eastAsia="楷体" w:hAnsi="Times New Roman" w:hint="eastAsia"/>
        <w:b/>
        <w:bCs/>
        <w:noProof/>
        <w:color w:val="833C0B"/>
        <w:sz w:val="21"/>
      </w:rPr>
      <w:t>2023</w:t>
    </w:r>
    <w:r w:rsidR="00B449F5">
      <w:rPr>
        <w:rFonts w:ascii="Times New Roman" w:eastAsia="楷体" w:hAnsi="Times New Roman" w:hint="eastAsia"/>
        <w:b/>
        <w:bCs/>
        <w:noProof/>
        <w:color w:val="833C0B"/>
        <w:sz w:val="21"/>
      </w:rPr>
      <w:t>年</w:t>
    </w:r>
    <w:r w:rsidR="00B449F5">
      <w:rPr>
        <w:rFonts w:ascii="Times New Roman" w:eastAsia="楷体" w:hAnsi="Times New Roman" w:hint="eastAsia"/>
        <w:b/>
        <w:bCs/>
        <w:noProof/>
        <w:color w:val="833C0B"/>
        <w:sz w:val="21"/>
      </w:rPr>
      <w:t>12</w:t>
    </w:r>
    <w:r w:rsidR="00B449F5">
      <w:rPr>
        <w:rFonts w:ascii="Times New Roman" w:eastAsia="楷体" w:hAnsi="Times New Roman" w:hint="eastAsia"/>
        <w:b/>
        <w:bCs/>
        <w:noProof/>
        <w:color w:val="833C0B"/>
        <w:sz w:val="21"/>
      </w:rPr>
      <w:t>月</w:t>
    </w:r>
    <w:r w:rsidR="00B449F5">
      <w:rPr>
        <w:rFonts w:ascii="Times New Roman" w:eastAsia="楷体" w:hAnsi="Times New Roman" w:hint="eastAsia"/>
        <w:b/>
        <w:bCs/>
        <w:noProof/>
        <w:color w:val="833C0B"/>
        <w:sz w:val="21"/>
      </w:rPr>
      <w:t>13</w:t>
    </w:r>
    <w:r w:rsidR="00B449F5">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3DBE1-E44D-4398-A6AC-DADF2870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4899</TotalTime>
  <Pages>10</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154</cp:revision>
  <cp:lastPrinted>2023-06-08T02:23:00Z</cp:lastPrinted>
  <dcterms:created xsi:type="dcterms:W3CDTF">2022-11-15T10:06:00Z</dcterms:created>
  <dcterms:modified xsi:type="dcterms:W3CDTF">2023-12-13T03:04:00Z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