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Pr="00152664" w:rsidRDefault="00CC3FFA" w:rsidP="00152664">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B86490"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B86490" w:rsidRPr="00C31755">
            <w:rPr>
              <w:rStyle w:val="a9"/>
              <w:noProof/>
            </w:rPr>
            <w:fldChar w:fldCharType="begin"/>
          </w:r>
          <w:r w:rsidR="00B86490" w:rsidRPr="00C31755">
            <w:rPr>
              <w:rStyle w:val="a9"/>
              <w:noProof/>
            </w:rPr>
            <w:instrText xml:space="preserve"> </w:instrText>
          </w:r>
          <w:r w:rsidR="00B86490">
            <w:rPr>
              <w:noProof/>
            </w:rPr>
            <w:instrText>HYPERLINK \l "_Toc153272196"</w:instrText>
          </w:r>
          <w:r w:rsidR="00B86490" w:rsidRPr="00C31755">
            <w:rPr>
              <w:rStyle w:val="a9"/>
              <w:noProof/>
            </w:rPr>
            <w:instrText xml:space="preserve"> </w:instrText>
          </w:r>
          <w:r w:rsidR="00B86490" w:rsidRPr="00C31755">
            <w:rPr>
              <w:rStyle w:val="a9"/>
              <w:noProof/>
            </w:rPr>
          </w:r>
          <w:r w:rsidR="00B86490" w:rsidRPr="00C31755">
            <w:rPr>
              <w:rStyle w:val="a9"/>
              <w:noProof/>
            </w:rPr>
            <w:fldChar w:fldCharType="separate"/>
          </w:r>
          <w:r w:rsidR="00B86490" w:rsidRPr="00C31755">
            <w:rPr>
              <w:rStyle w:val="a9"/>
              <w:rFonts w:ascii="Times New Roman" w:eastAsia="楷体" w:hAnsi="Times New Roman"/>
              <w:b/>
              <w:noProof/>
            </w:rPr>
            <w:t>[</w:t>
          </w:r>
          <w:r w:rsidR="00B86490" w:rsidRPr="00C31755">
            <w:rPr>
              <w:rStyle w:val="a9"/>
              <w:rFonts w:ascii="Times New Roman" w:eastAsia="楷体" w:hAnsi="Times New Roman"/>
              <w:b/>
              <w:noProof/>
            </w:rPr>
            <w:t>金融</w:t>
          </w:r>
          <w:r w:rsidR="00B86490" w:rsidRPr="00C31755">
            <w:rPr>
              <w:rStyle w:val="a9"/>
              <w:rFonts w:ascii="Times New Roman" w:eastAsia="楷体" w:hAnsi="Times New Roman"/>
              <w:b/>
              <w:noProof/>
            </w:rPr>
            <w:t>]</w:t>
          </w:r>
          <w:r w:rsidR="00B86490" w:rsidRPr="00C31755">
            <w:rPr>
              <w:rStyle w:val="a9"/>
              <w:noProof/>
            </w:rPr>
            <w:fldChar w:fldCharType="end"/>
          </w:r>
        </w:p>
        <w:p w:rsidR="00B86490" w:rsidRDefault="00B86490">
          <w:pPr>
            <w:pStyle w:val="23"/>
            <w:tabs>
              <w:tab w:val="right" w:leader="dot" w:pos="8296"/>
            </w:tabs>
            <w:rPr>
              <w:rFonts w:eastAsiaTheme="minorEastAsia"/>
              <w:noProof/>
              <w:szCs w:val="22"/>
            </w:rPr>
          </w:pPr>
          <w:hyperlink w:anchor="_Toc153272197" w:history="1">
            <w:r w:rsidRPr="00C31755">
              <w:rPr>
                <w:rStyle w:val="a9"/>
                <w:rFonts w:ascii="Times New Roman" w:eastAsia="楷体" w:hAnsi="Times New Roman"/>
                <w:b/>
                <w:noProof/>
              </w:rPr>
              <w:t>股指：待企稳后低多</w:t>
            </w:r>
            <w:r w:rsidRPr="00C31755">
              <w:rPr>
                <w:rStyle w:val="a9"/>
                <w:rFonts w:ascii="Times New Roman" w:eastAsia="楷体" w:hAnsi="Times New Roman"/>
                <w:b/>
                <w:noProof/>
              </w:rPr>
              <w:t>IM</w:t>
            </w:r>
          </w:hyperlink>
        </w:p>
        <w:p w:rsidR="00B86490" w:rsidRDefault="00B86490">
          <w:pPr>
            <w:pStyle w:val="11"/>
            <w:tabs>
              <w:tab w:val="right" w:leader="dot" w:pos="8296"/>
            </w:tabs>
            <w:rPr>
              <w:rFonts w:eastAsiaTheme="minorEastAsia"/>
              <w:noProof/>
              <w:szCs w:val="22"/>
            </w:rPr>
          </w:pPr>
          <w:hyperlink w:anchor="_Toc153272198" w:history="1">
            <w:r w:rsidRPr="00C31755">
              <w:rPr>
                <w:rStyle w:val="a9"/>
                <w:rFonts w:ascii="Times New Roman" w:eastAsia="楷体" w:hAnsi="Times New Roman"/>
                <w:b/>
                <w:noProof/>
              </w:rPr>
              <w:t>[</w:t>
            </w:r>
            <w:r w:rsidRPr="00C31755">
              <w:rPr>
                <w:rStyle w:val="a9"/>
                <w:rFonts w:ascii="Times New Roman" w:eastAsia="楷体" w:hAnsi="Times New Roman"/>
                <w:b/>
                <w:noProof/>
              </w:rPr>
              <w:t>贵金属</w:t>
            </w:r>
            <w:r w:rsidRPr="00C31755">
              <w:rPr>
                <w:rStyle w:val="a9"/>
                <w:rFonts w:ascii="Times New Roman" w:eastAsia="楷体" w:hAnsi="Times New Roman"/>
                <w:b/>
                <w:noProof/>
              </w:rPr>
              <w:t>]</w:t>
            </w:r>
          </w:hyperlink>
        </w:p>
        <w:p w:rsidR="00B86490" w:rsidRDefault="00B86490">
          <w:pPr>
            <w:pStyle w:val="23"/>
            <w:tabs>
              <w:tab w:val="right" w:leader="dot" w:pos="8296"/>
            </w:tabs>
            <w:rPr>
              <w:rFonts w:eastAsiaTheme="minorEastAsia"/>
              <w:noProof/>
              <w:szCs w:val="22"/>
            </w:rPr>
          </w:pPr>
          <w:hyperlink w:anchor="_Toc153272199" w:history="1">
            <w:r w:rsidRPr="00C31755">
              <w:rPr>
                <w:rStyle w:val="a9"/>
                <w:rFonts w:ascii="Times New Roman" w:eastAsia="楷体" w:hAnsi="Times New Roman"/>
                <w:b/>
                <w:noProof/>
              </w:rPr>
              <w:t>贵金属：静待美国</w:t>
            </w:r>
            <w:r w:rsidRPr="00C31755">
              <w:rPr>
                <w:rStyle w:val="a9"/>
                <w:rFonts w:ascii="Times New Roman" w:eastAsia="楷体" w:hAnsi="Times New Roman"/>
                <w:b/>
                <w:noProof/>
              </w:rPr>
              <w:t>CPI</w:t>
            </w:r>
            <w:r w:rsidRPr="00C31755">
              <w:rPr>
                <w:rStyle w:val="a9"/>
                <w:rFonts w:ascii="Times New Roman" w:eastAsia="楷体" w:hAnsi="Times New Roman"/>
                <w:b/>
                <w:noProof/>
              </w:rPr>
              <w:t>通胀数据，贵金属价格下跌</w:t>
            </w:r>
          </w:hyperlink>
        </w:p>
        <w:p w:rsidR="00B86490" w:rsidRDefault="00B86490">
          <w:pPr>
            <w:pStyle w:val="11"/>
            <w:tabs>
              <w:tab w:val="right" w:leader="dot" w:pos="8296"/>
            </w:tabs>
            <w:rPr>
              <w:rFonts w:eastAsiaTheme="minorEastAsia"/>
              <w:noProof/>
              <w:szCs w:val="22"/>
            </w:rPr>
          </w:pPr>
          <w:hyperlink w:anchor="_Toc153272200" w:history="1">
            <w:r w:rsidRPr="00C31755">
              <w:rPr>
                <w:rStyle w:val="a9"/>
                <w:rFonts w:ascii="Times New Roman" w:eastAsia="楷体" w:hAnsi="Times New Roman"/>
                <w:b/>
                <w:noProof/>
              </w:rPr>
              <w:t>[</w:t>
            </w:r>
            <w:r w:rsidRPr="00C31755">
              <w:rPr>
                <w:rStyle w:val="a9"/>
                <w:rFonts w:ascii="Times New Roman" w:eastAsia="楷体" w:hAnsi="Times New Roman"/>
                <w:b/>
                <w:noProof/>
              </w:rPr>
              <w:t>金属</w:t>
            </w:r>
            <w:r w:rsidRPr="00C31755">
              <w:rPr>
                <w:rStyle w:val="a9"/>
                <w:rFonts w:ascii="Times New Roman" w:eastAsia="楷体" w:hAnsi="Times New Roman"/>
                <w:b/>
                <w:noProof/>
              </w:rPr>
              <w:t>]</w:t>
            </w:r>
          </w:hyperlink>
        </w:p>
        <w:p w:rsidR="00B86490" w:rsidRDefault="00B86490">
          <w:pPr>
            <w:pStyle w:val="23"/>
            <w:tabs>
              <w:tab w:val="right" w:leader="dot" w:pos="8296"/>
            </w:tabs>
            <w:rPr>
              <w:rFonts w:eastAsiaTheme="minorEastAsia"/>
              <w:noProof/>
              <w:szCs w:val="22"/>
            </w:rPr>
          </w:pPr>
          <w:hyperlink w:anchor="_Toc153272201" w:history="1">
            <w:r w:rsidRPr="00C31755">
              <w:rPr>
                <w:rStyle w:val="a9"/>
                <w:rFonts w:ascii="楷体" w:eastAsia="楷体" w:hAnsi="楷体"/>
                <w:b/>
                <w:noProof/>
              </w:rPr>
              <w:t>碳酸锂：交割仓库扩容，期价高开低走</w:t>
            </w:r>
          </w:hyperlink>
        </w:p>
        <w:p w:rsidR="00B86490" w:rsidRDefault="00B86490">
          <w:pPr>
            <w:pStyle w:val="23"/>
            <w:tabs>
              <w:tab w:val="right" w:leader="dot" w:pos="8296"/>
            </w:tabs>
            <w:rPr>
              <w:rFonts w:eastAsiaTheme="minorEastAsia"/>
              <w:noProof/>
              <w:szCs w:val="22"/>
            </w:rPr>
          </w:pPr>
          <w:hyperlink w:anchor="_Toc153272202" w:history="1">
            <w:r w:rsidRPr="00C31755">
              <w:rPr>
                <w:rStyle w:val="a9"/>
                <w:rFonts w:ascii="楷体" w:eastAsia="楷体" w:hAnsi="楷体"/>
                <w:b/>
                <w:noProof/>
              </w:rPr>
              <w:t>螺纹钢：消息刺激下，盘面偏强运行</w:t>
            </w:r>
          </w:hyperlink>
        </w:p>
        <w:p w:rsidR="00B86490" w:rsidRDefault="00B86490">
          <w:pPr>
            <w:pStyle w:val="23"/>
            <w:tabs>
              <w:tab w:val="right" w:leader="dot" w:pos="8296"/>
            </w:tabs>
            <w:rPr>
              <w:rFonts w:eastAsiaTheme="minorEastAsia"/>
              <w:noProof/>
              <w:szCs w:val="22"/>
            </w:rPr>
          </w:pPr>
          <w:hyperlink w:anchor="_Toc153272203" w:history="1">
            <w:r w:rsidRPr="00C31755">
              <w:rPr>
                <w:rStyle w:val="a9"/>
                <w:rFonts w:ascii="楷体" w:eastAsia="楷体" w:hAnsi="楷体"/>
                <w:b/>
                <w:noProof/>
              </w:rPr>
              <w:t>焦炭：第三轮提涨提出，盘面区间震荡</w:t>
            </w:r>
          </w:hyperlink>
        </w:p>
        <w:p w:rsidR="00B86490" w:rsidRDefault="00B86490">
          <w:pPr>
            <w:pStyle w:val="23"/>
            <w:tabs>
              <w:tab w:val="right" w:leader="dot" w:pos="8296"/>
            </w:tabs>
            <w:rPr>
              <w:rFonts w:eastAsiaTheme="minorEastAsia"/>
              <w:noProof/>
              <w:szCs w:val="22"/>
            </w:rPr>
          </w:pPr>
          <w:hyperlink w:anchor="_Toc153272204" w:history="1">
            <w:r w:rsidRPr="00C31755">
              <w:rPr>
                <w:rStyle w:val="a9"/>
                <w:rFonts w:ascii="楷体" w:eastAsia="楷体" w:hAnsi="楷体"/>
                <w:b/>
                <w:noProof/>
              </w:rPr>
              <w:t>焦煤：现货有所松动，但下行空间有限</w:t>
            </w:r>
          </w:hyperlink>
        </w:p>
        <w:p w:rsidR="00B86490" w:rsidRDefault="00B86490">
          <w:pPr>
            <w:pStyle w:val="23"/>
            <w:tabs>
              <w:tab w:val="right" w:leader="dot" w:pos="8296"/>
            </w:tabs>
            <w:rPr>
              <w:rFonts w:eastAsiaTheme="minorEastAsia"/>
              <w:noProof/>
              <w:szCs w:val="22"/>
            </w:rPr>
          </w:pPr>
          <w:hyperlink w:anchor="_Toc153272205" w:history="1">
            <w:r w:rsidRPr="00C31755">
              <w:rPr>
                <w:rStyle w:val="a9"/>
                <w:rFonts w:ascii="楷体" w:eastAsia="楷体" w:hAnsi="楷体"/>
                <w:b/>
                <w:noProof/>
              </w:rPr>
              <w:t>铜：短期维持高位运行</w:t>
            </w:r>
          </w:hyperlink>
        </w:p>
        <w:p w:rsidR="00B86490" w:rsidRDefault="00B86490">
          <w:pPr>
            <w:pStyle w:val="23"/>
            <w:tabs>
              <w:tab w:val="right" w:leader="dot" w:pos="8296"/>
            </w:tabs>
            <w:rPr>
              <w:rFonts w:eastAsiaTheme="minorEastAsia"/>
              <w:noProof/>
              <w:szCs w:val="22"/>
            </w:rPr>
          </w:pPr>
          <w:hyperlink w:anchor="_Toc153272206" w:history="1">
            <w:r w:rsidRPr="00C31755">
              <w:rPr>
                <w:rStyle w:val="a9"/>
                <w:rFonts w:ascii="楷体" w:eastAsia="楷体" w:hAnsi="楷体"/>
                <w:b/>
                <w:noProof/>
              </w:rPr>
              <w:t>铝：铝价上下有限，关注区间反弹做多机会</w:t>
            </w:r>
          </w:hyperlink>
        </w:p>
        <w:p w:rsidR="00B86490" w:rsidRDefault="00B86490">
          <w:pPr>
            <w:pStyle w:val="23"/>
            <w:tabs>
              <w:tab w:val="right" w:leader="dot" w:pos="8296"/>
            </w:tabs>
            <w:rPr>
              <w:rFonts w:eastAsiaTheme="minorEastAsia"/>
              <w:noProof/>
              <w:szCs w:val="22"/>
            </w:rPr>
          </w:pPr>
          <w:hyperlink w:anchor="_Toc153272207" w:history="1">
            <w:r w:rsidRPr="00C31755">
              <w:rPr>
                <w:rStyle w:val="a9"/>
                <w:rFonts w:ascii="楷体" w:eastAsia="楷体" w:hAnsi="楷体"/>
                <w:b/>
                <w:noProof/>
              </w:rPr>
              <w:t>锌：锌价下方仍有支撑</w:t>
            </w:r>
          </w:hyperlink>
        </w:p>
        <w:p w:rsidR="00B86490" w:rsidRDefault="00B86490">
          <w:pPr>
            <w:pStyle w:val="23"/>
            <w:tabs>
              <w:tab w:val="right" w:leader="dot" w:pos="8296"/>
            </w:tabs>
            <w:rPr>
              <w:rFonts w:eastAsiaTheme="minorEastAsia"/>
              <w:noProof/>
              <w:szCs w:val="22"/>
            </w:rPr>
          </w:pPr>
          <w:hyperlink w:anchor="_Toc153272208" w:history="1">
            <w:r w:rsidRPr="00C31755">
              <w:rPr>
                <w:rStyle w:val="a9"/>
                <w:rFonts w:ascii="楷体" w:eastAsia="楷体" w:hAnsi="楷体"/>
                <w:b/>
                <w:noProof/>
              </w:rPr>
              <w:t>镍：过剩依旧，承压持续</w:t>
            </w:r>
          </w:hyperlink>
        </w:p>
        <w:p w:rsidR="00B86490" w:rsidRDefault="00B86490">
          <w:pPr>
            <w:pStyle w:val="23"/>
            <w:tabs>
              <w:tab w:val="right" w:leader="dot" w:pos="8296"/>
            </w:tabs>
            <w:rPr>
              <w:rFonts w:eastAsiaTheme="minorEastAsia"/>
              <w:noProof/>
              <w:szCs w:val="22"/>
            </w:rPr>
          </w:pPr>
          <w:hyperlink w:anchor="_Toc153272209" w:history="1">
            <w:r w:rsidRPr="00C31755">
              <w:rPr>
                <w:rStyle w:val="a9"/>
                <w:rFonts w:ascii="楷体" w:eastAsia="楷体" w:hAnsi="楷体"/>
                <w:b/>
                <w:noProof/>
              </w:rPr>
              <w:t>铅：铝价上方压力仍存</w:t>
            </w:r>
          </w:hyperlink>
        </w:p>
        <w:p w:rsidR="00B86490" w:rsidRDefault="00B86490">
          <w:pPr>
            <w:pStyle w:val="23"/>
            <w:tabs>
              <w:tab w:val="right" w:leader="dot" w:pos="8296"/>
            </w:tabs>
            <w:rPr>
              <w:rFonts w:eastAsiaTheme="minorEastAsia"/>
              <w:noProof/>
              <w:szCs w:val="22"/>
            </w:rPr>
          </w:pPr>
          <w:hyperlink w:anchor="_Toc153272210" w:history="1">
            <w:r w:rsidRPr="00C31755">
              <w:rPr>
                <w:rStyle w:val="a9"/>
                <w:rFonts w:ascii="楷体" w:eastAsia="楷体" w:hAnsi="楷体"/>
                <w:b/>
                <w:noProof/>
              </w:rPr>
              <w:t>不锈钢：成本支撑摇晃，需求维持疲弱</w:t>
            </w:r>
          </w:hyperlink>
        </w:p>
        <w:p w:rsidR="00B86490" w:rsidRDefault="00B86490">
          <w:pPr>
            <w:pStyle w:val="23"/>
            <w:tabs>
              <w:tab w:val="right" w:leader="dot" w:pos="8296"/>
            </w:tabs>
            <w:rPr>
              <w:rFonts w:eastAsiaTheme="minorEastAsia"/>
              <w:noProof/>
              <w:szCs w:val="22"/>
            </w:rPr>
          </w:pPr>
          <w:hyperlink w:anchor="_Toc153272211" w:history="1">
            <w:r w:rsidRPr="00C31755">
              <w:rPr>
                <w:rStyle w:val="a9"/>
                <w:rFonts w:ascii="楷体" w:eastAsia="楷体" w:hAnsi="楷体"/>
                <w:b/>
                <w:noProof/>
              </w:rPr>
              <w:t>工业硅：西南扩大减产规模，成本支撑或逐步显现</w:t>
            </w:r>
          </w:hyperlink>
        </w:p>
        <w:p w:rsidR="00B86490" w:rsidRDefault="00B86490">
          <w:pPr>
            <w:pStyle w:val="11"/>
            <w:tabs>
              <w:tab w:val="right" w:leader="dot" w:pos="8296"/>
            </w:tabs>
            <w:rPr>
              <w:rFonts w:eastAsiaTheme="minorEastAsia"/>
              <w:noProof/>
              <w:szCs w:val="22"/>
            </w:rPr>
          </w:pPr>
          <w:hyperlink w:anchor="_Toc153272212" w:history="1">
            <w:r w:rsidRPr="00C31755">
              <w:rPr>
                <w:rStyle w:val="a9"/>
                <w:rFonts w:ascii="Times New Roman" w:eastAsia="楷体" w:hAnsi="Times New Roman"/>
                <w:b/>
                <w:noProof/>
              </w:rPr>
              <w:t>[</w:t>
            </w:r>
            <w:r w:rsidRPr="00C31755">
              <w:rPr>
                <w:rStyle w:val="a9"/>
                <w:rFonts w:ascii="Times New Roman" w:eastAsia="楷体" w:hAnsi="Times New Roman"/>
                <w:b/>
                <w:noProof/>
              </w:rPr>
              <w:t>化工</w:t>
            </w:r>
            <w:r w:rsidRPr="00C31755">
              <w:rPr>
                <w:rStyle w:val="a9"/>
                <w:rFonts w:ascii="Times New Roman" w:eastAsia="楷体" w:hAnsi="Times New Roman"/>
                <w:b/>
                <w:noProof/>
              </w:rPr>
              <w:t>]</w:t>
            </w:r>
          </w:hyperlink>
        </w:p>
        <w:p w:rsidR="00B86490" w:rsidRDefault="00B86490">
          <w:pPr>
            <w:pStyle w:val="23"/>
            <w:tabs>
              <w:tab w:val="right" w:leader="dot" w:pos="8296"/>
            </w:tabs>
            <w:rPr>
              <w:rFonts w:eastAsiaTheme="minorEastAsia"/>
              <w:noProof/>
              <w:szCs w:val="22"/>
            </w:rPr>
          </w:pPr>
          <w:hyperlink w:anchor="_Toc153272213" w:history="1">
            <w:r w:rsidRPr="00C31755">
              <w:rPr>
                <w:rStyle w:val="a9"/>
                <w:rFonts w:ascii="Times New Roman" w:eastAsia="楷体" w:hAnsi="Times New Roman"/>
                <w:b/>
                <w:noProof/>
              </w:rPr>
              <w:t>天然橡胶</w:t>
            </w:r>
            <w:r w:rsidRPr="00C31755">
              <w:rPr>
                <w:rStyle w:val="a9"/>
                <w:rFonts w:ascii="Times New Roman" w:eastAsia="楷体" w:hAnsi="Times New Roman"/>
                <w:b/>
                <w:noProof/>
              </w:rPr>
              <w:t>:</w:t>
            </w:r>
            <w:r w:rsidRPr="00C31755">
              <w:rPr>
                <w:rStyle w:val="a9"/>
                <w:rFonts w:ascii="楷体" w:eastAsia="楷体" w:hAnsi="楷体"/>
                <w:b/>
                <w:noProof/>
              </w:rPr>
              <w:t xml:space="preserve"> 短时天胶超跌反弹 但上方空间有限</w:t>
            </w:r>
          </w:hyperlink>
        </w:p>
        <w:p w:rsidR="00B86490" w:rsidRDefault="00B86490">
          <w:pPr>
            <w:pStyle w:val="23"/>
            <w:tabs>
              <w:tab w:val="right" w:leader="dot" w:pos="8296"/>
            </w:tabs>
            <w:rPr>
              <w:rFonts w:eastAsiaTheme="minorEastAsia"/>
              <w:noProof/>
              <w:szCs w:val="22"/>
            </w:rPr>
          </w:pPr>
          <w:hyperlink w:anchor="_Toc153272214" w:history="1">
            <w:r w:rsidRPr="00C31755">
              <w:rPr>
                <w:rStyle w:val="a9"/>
                <w:rFonts w:ascii="楷体" w:eastAsia="楷体" w:hAnsi="楷体"/>
                <w:b/>
                <w:noProof/>
              </w:rPr>
              <w:t>PTA：</w:t>
            </w:r>
            <w:r w:rsidRPr="00C31755">
              <w:rPr>
                <w:rStyle w:val="a9"/>
                <w:rFonts w:ascii="Calibri" w:eastAsia="楷体" w:hAnsi="Calibri" w:cs="Calibri"/>
                <w:b/>
                <w:noProof/>
              </w:rPr>
              <w:t>供需矛盾不突出</w:t>
            </w:r>
            <w:r w:rsidRPr="00C31755">
              <w:rPr>
                <w:rStyle w:val="a9"/>
                <w:rFonts w:ascii="Calibri" w:eastAsia="楷体" w:hAnsi="Calibri" w:cs="Calibri"/>
                <w:b/>
                <w:noProof/>
              </w:rPr>
              <w:t xml:space="preserve"> </w:t>
            </w:r>
            <w:r w:rsidRPr="00C31755">
              <w:rPr>
                <w:rStyle w:val="a9"/>
                <w:rFonts w:ascii="Calibri" w:eastAsia="楷体" w:hAnsi="Calibri" w:cs="Calibri"/>
                <w:b/>
                <w:noProof/>
              </w:rPr>
              <w:t>短期跟随成本端调整</w:t>
            </w:r>
          </w:hyperlink>
        </w:p>
        <w:p w:rsidR="00B86490" w:rsidRDefault="00B86490">
          <w:pPr>
            <w:pStyle w:val="23"/>
            <w:tabs>
              <w:tab w:val="right" w:leader="dot" w:pos="8296"/>
            </w:tabs>
            <w:rPr>
              <w:rFonts w:eastAsiaTheme="minorEastAsia"/>
              <w:noProof/>
              <w:szCs w:val="22"/>
            </w:rPr>
          </w:pPr>
          <w:hyperlink w:anchor="_Toc153272215" w:history="1">
            <w:r w:rsidRPr="00C31755">
              <w:rPr>
                <w:rStyle w:val="a9"/>
                <w:rFonts w:ascii="楷体" w:eastAsia="楷体" w:hAnsi="楷体"/>
                <w:b/>
                <w:noProof/>
              </w:rPr>
              <w:t>聚烯烃：成本供需无亮点 聚烯烃维持低位震荡</w:t>
            </w:r>
          </w:hyperlink>
        </w:p>
        <w:p w:rsidR="00B86490" w:rsidRDefault="00B86490">
          <w:pPr>
            <w:pStyle w:val="23"/>
            <w:tabs>
              <w:tab w:val="right" w:leader="dot" w:pos="8296"/>
            </w:tabs>
            <w:rPr>
              <w:rFonts w:eastAsiaTheme="minorEastAsia"/>
              <w:noProof/>
              <w:szCs w:val="22"/>
            </w:rPr>
          </w:pPr>
          <w:hyperlink w:anchor="_Toc153272216" w:history="1">
            <w:r w:rsidRPr="00C31755">
              <w:rPr>
                <w:rStyle w:val="a9"/>
                <w:rFonts w:ascii="楷体" w:eastAsia="楷体" w:hAnsi="楷体"/>
                <w:b/>
                <w:noProof/>
              </w:rPr>
              <w:t>MEG：区间操作为主</w:t>
            </w:r>
          </w:hyperlink>
        </w:p>
        <w:p w:rsidR="00B86490" w:rsidRDefault="00B86490">
          <w:pPr>
            <w:pStyle w:val="23"/>
            <w:tabs>
              <w:tab w:val="right" w:leader="dot" w:pos="8296"/>
            </w:tabs>
            <w:rPr>
              <w:rFonts w:eastAsiaTheme="minorEastAsia"/>
              <w:noProof/>
              <w:szCs w:val="22"/>
            </w:rPr>
          </w:pPr>
          <w:hyperlink w:anchor="_Toc153272217" w:history="1">
            <w:r w:rsidRPr="00C31755">
              <w:rPr>
                <w:rStyle w:val="a9"/>
                <w:rFonts w:ascii="楷体" w:eastAsia="楷体" w:hAnsi="楷体"/>
                <w:b/>
                <w:noProof/>
              </w:rPr>
              <w:t>玻璃：强宏观预期弱基本面，震荡行情</w:t>
            </w:r>
          </w:hyperlink>
        </w:p>
        <w:p w:rsidR="00B86490" w:rsidRDefault="00B86490">
          <w:pPr>
            <w:pStyle w:val="23"/>
            <w:tabs>
              <w:tab w:val="right" w:leader="dot" w:pos="8296"/>
            </w:tabs>
            <w:rPr>
              <w:rFonts w:eastAsiaTheme="minorEastAsia"/>
              <w:noProof/>
              <w:szCs w:val="22"/>
            </w:rPr>
          </w:pPr>
          <w:hyperlink w:anchor="_Toc153272218" w:history="1">
            <w:r w:rsidRPr="00C31755">
              <w:rPr>
                <w:rStyle w:val="a9"/>
                <w:rFonts w:ascii="楷体" w:eastAsia="楷体" w:hAnsi="楷体"/>
                <w:b/>
                <w:noProof/>
              </w:rPr>
              <w:t>纯碱：近强远弱，高位震荡</w:t>
            </w:r>
          </w:hyperlink>
        </w:p>
        <w:p w:rsidR="00B86490" w:rsidRDefault="00B86490">
          <w:pPr>
            <w:pStyle w:val="11"/>
            <w:tabs>
              <w:tab w:val="right" w:leader="dot" w:pos="8296"/>
            </w:tabs>
            <w:rPr>
              <w:rFonts w:eastAsiaTheme="minorEastAsia"/>
              <w:noProof/>
              <w:szCs w:val="22"/>
            </w:rPr>
          </w:pPr>
          <w:hyperlink w:anchor="_Toc153272219" w:history="1">
            <w:r w:rsidRPr="00C31755">
              <w:rPr>
                <w:rStyle w:val="a9"/>
                <w:rFonts w:ascii="Times New Roman" w:eastAsia="楷体" w:hAnsi="Times New Roman"/>
                <w:b/>
                <w:noProof/>
              </w:rPr>
              <w:t>[</w:t>
            </w:r>
            <w:r w:rsidRPr="00C31755">
              <w:rPr>
                <w:rStyle w:val="a9"/>
                <w:rFonts w:ascii="Times New Roman" w:eastAsia="楷体" w:hAnsi="Times New Roman"/>
                <w:b/>
                <w:noProof/>
              </w:rPr>
              <w:t>农产品</w:t>
            </w:r>
            <w:r w:rsidRPr="00C31755">
              <w:rPr>
                <w:rStyle w:val="a9"/>
                <w:rFonts w:ascii="Times New Roman" w:eastAsia="楷体" w:hAnsi="Times New Roman"/>
                <w:b/>
                <w:noProof/>
              </w:rPr>
              <w:t>]</w:t>
            </w:r>
          </w:hyperlink>
        </w:p>
        <w:p w:rsidR="00B86490" w:rsidRDefault="00B86490">
          <w:pPr>
            <w:pStyle w:val="23"/>
            <w:tabs>
              <w:tab w:val="right" w:leader="dot" w:pos="8296"/>
            </w:tabs>
            <w:rPr>
              <w:rFonts w:eastAsiaTheme="minorEastAsia"/>
              <w:noProof/>
              <w:szCs w:val="22"/>
            </w:rPr>
          </w:pPr>
          <w:hyperlink w:anchor="_Toc153272220" w:history="1">
            <w:r w:rsidRPr="00C31755">
              <w:rPr>
                <w:rStyle w:val="a9"/>
                <w:rFonts w:ascii="楷体" w:eastAsia="楷体" w:hAnsi="楷体"/>
                <w:b/>
                <w:noProof/>
              </w:rPr>
              <w:t>豆粕/菜粕：期价震荡运行，基差偏弱</w:t>
            </w:r>
          </w:hyperlink>
        </w:p>
        <w:p w:rsidR="00B86490" w:rsidRDefault="00B86490">
          <w:pPr>
            <w:pStyle w:val="23"/>
            <w:tabs>
              <w:tab w:val="right" w:leader="dot" w:pos="8296"/>
            </w:tabs>
            <w:rPr>
              <w:rFonts w:eastAsiaTheme="minorEastAsia"/>
              <w:noProof/>
              <w:szCs w:val="22"/>
            </w:rPr>
          </w:pPr>
          <w:hyperlink w:anchor="_Toc153272221" w:history="1">
            <w:r w:rsidRPr="00C31755">
              <w:rPr>
                <w:rStyle w:val="a9"/>
                <w:rFonts w:ascii="楷体" w:eastAsia="楷体" w:hAnsi="楷体"/>
                <w:b/>
                <w:noProof/>
              </w:rPr>
              <w:t>油脂：短期期价反弹预计有限，等待MPOB报告进一步指引</w:t>
            </w:r>
          </w:hyperlink>
        </w:p>
        <w:p w:rsidR="00B86490" w:rsidRDefault="00B86490">
          <w:pPr>
            <w:pStyle w:val="23"/>
            <w:tabs>
              <w:tab w:val="right" w:leader="dot" w:pos="8296"/>
            </w:tabs>
            <w:rPr>
              <w:rFonts w:eastAsiaTheme="minorEastAsia"/>
              <w:noProof/>
              <w:szCs w:val="22"/>
            </w:rPr>
          </w:pPr>
          <w:hyperlink w:anchor="_Toc153272222" w:history="1">
            <w:r w:rsidRPr="00C31755">
              <w:rPr>
                <w:rStyle w:val="a9"/>
                <w:rFonts w:ascii="楷体" w:eastAsia="楷体" w:hAnsi="楷体"/>
                <w:b/>
                <w:bCs/>
                <w:noProof/>
              </w:rPr>
              <w:t>玉米与淀粉：</w:t>
            </w:r>
            <w:r w:rsidRPr="00C31755">
              <w:rPr>
                <w:rStyle w:val="a9"/>
                <w:rFonts w:ascii="楷体" w:eastAsia="楷体" w:hAnsi="楷体"/>
                <w:b/>
                <w:noProof/>
              </w:rPr>
              <w:t>现货带动期价再创新低</w:t>
            </w:r>
          </w:hyperlink>
        </w:p>
        <w:p w:rsidR="00B86490" w:rsidRDefault="00B86490">
          <w:pPr>
            <w:pStyle w:val="23"/>
            <w:tabs>
              <w:tab w:val="right" w:leader="dot" w:pos="8296"/>
            </w:tabs>
            <w:rPr>
              <w:rFonts w:eastAsiaTheme="minorEastAsia"/>
              <w:noProof/>
              <w:szCs w:val="22"/>
            </w:rPr>
          </w:pPr>
          <w:hyperlink w:anchor="_Toc153272223" w:history="1">
            <w:r w:rsidRPr="00C31755">
              <w:rPr>
                <w:rStyle w:val="a9"/>
                <w:rFonts w:ascii="楷体" w:eastAsia="楷体" w:hAnsi="楷体"/>
                <w:b/>
                <w:bCs/>
                <w:noProof/>
              </w:rPr>
              <w:t>畜禽养殖：关注生猪现货反弹的持续性</w:t>
            </w:r>
          </w:hyperlink>
        </w:p>
        <w:p w:rsidR="00B86490" w:rsidRDefault="00B86490">
          <w:pPr>
            <w:pStyle w:val="23"/>
            <w:tabs>
              <w:tab w:val="right" w:leader="dot" w:pos="8296"/>
            </w:tabs>
            <w:rPr>
              <w:rFonts w:eastAsiaTheme="minorEastAsia"/>
              <w:noProof/>
              <w:szCs w:val="22"/>
            </w:rPr>
          </w:pPr>
          <w:hyperlink w:anchor="_Toc153272224" w:history="1">
            <w:r w:rsidRPr="00C31755">
              <w:rPr>
                <w:rStyle w:val="a9"/>
                <w:rFonts w:ascii="楷体" w:eastAsia="楷体" w:hAnsi="楷体"/>
                <w:b/>
                <w:noProof/>
              </w:rPr>
              <w:t>郑棉：震荡整理，尝试站稳20日均线</w:t>
            </w:r>
          </w:hyperlink>
        </w:p>
        <w:p w:rsidR="00B86490" w:rsidRDefault="00B86490">
          <w:pPr>
            <w:pStyle w:val="23"/>
            <w:tabs>
              <w:tab w:val="right" w:leader="dot" w:pos="8296"/>
            </w:tabs>
            <w:rPr>
              <w:rFonts w:eastAsiaTheme="minorEastAsia"/>
              <w:noProof/>
              <w:szCs w:val="22"/>
            </w:rPr>
          </w:pPr>
          <w:hyperlink w:anchor="_Toc153272225" w:history="1">
            <w:r w:rsidRPr="00C31755">
              <w:rPr>
                <w:rStyle w:val="a9"/>
                <w:rFonts w:ascii="楷体" w:eastAsia="楷体" w:hAnsi="楷体"/>
                <w:b/>
                <w:noProof/>
              </w:rPr>
              <w:t>白糖：跳空低开，偏弱震荡</w:t>
            </w:r>
          </w:hyperlink>
        </w:p>
        <w:p w:rsidR="00B86490" w:rsidRDefault="00B86490">
          <w:pPr>
            <w:pStyle w:val="11"/>
            <w:tabs>
              <w:tab w:val="right" w:leader="dot" w:pos="8296"/>
            </w:tabs>
            <w:rPr>
              <w:rFonts w:eastAsiaTheme="minorEastAsia"/>
              <w:noProof/>
              <w:szCs w:val="22"/>
            </w:rPr>
          </w:pPr>
          <w:hyperlink w:anchor="_Toc153272226" w:history="1">
            <w:r w:rsidRPr="00C31755">
              <w:rPr>
                <w:rStyle w:val="a9"/>
                <w:rFonts w:ascii="Times New Roman" w:eastAsia="楷体" w:hAnsi="Times New Roman"/>
                <w:b/>
                <w:noProof/>
              </w:rPr>
              <w:t>[</w:t>
            </w:r>
            <w:r w:rsidRPr="00C31755">
              <w:rPr>
                <w:rStyle w:val="a9"/>
                <w:rFonts w:ascii="Times New Roman" w:eastAsia="楷体" w:hAnsi="Times New Roman"/>
                <w:b/>
                <w:noProof/>
              </w:rPr>
              <w:t>指数</w:t>
            </w:r>
            <w:r w:rsidRPr="00C31755">
              <w:rPr>
                <w:rStyle w:val="a9"/>
                <w:rFonts w:ascii="Times New Roman" w:eastAsia="楷体" w:hAnsi="Times New Roman"/>
                <w:b/>
                <w:noProof/>
              </w:rPr>
              <w:t>]</w:t>
            </w:r>
          </w:hyperlink>
        </w:p>
        <w:p w:rsidR="00B86490" w:rsidRDefault="00B86490">
          <w:pPr>
            <w:pStyle w:val="23"/>
            <w:tabs>
              <w:tab w:val="right" w:leader="dot" w:pos="8296"/>
            </w:tabs>
            <w:rPr>
              <w:rFonts w:eastAsiaTheme="minorEastAsia"/>
              <w:noProof/>
              <w:szCs w:val="22"/>
            </w:rPr>
          </w:pPr>
          <w:hyperlink w:anchor="_Toc153272227" w:history="1">
            <w:r w:rsidRPr="00C31755">
              <w:rPr>
                <w:rStyle w:val="a9"/>
                <w:rFonts w:ascii="Times New Roman" w:eastAsia="楷体" w:hAnsi="Times New Roman"/>
                <w:b/>
                <w:noProof/>
              </w:rPr>
              <w:t>集运指数（欧线）：</w:t>
            </w:r>
            <w:r w:rsidRPr="00C31755">
              <w:rPr>
                <w:rStyle w:val="a9"/>
                <w:rFonts w:ascii="Times New Roman" w:eastAsia="楷体" w:hAnsi="Times New Roman"/>
                <w:b/>
                <w:noProof/>
              </w:rPr>
              <w:t>SCFIS</w:t>
            </w:r>
            <w:r w:rsidRPr="00C31755">
              <w:rPr>
                <w:rStyle w:val="a9"/>
                <w:rFonts w:ascii="Times New Roman" w:eastAsia="楷体" w:hAnsi="Times New Roman"/>
                <w:b/>
                <w:noProof/>
              </w:rPr>
              <w:t>数据公布超预期，预计</w:t>
            </w:r>
            <w:r w:rsidRPr="00C31755">
              <w:rPr>
                <w:rStyle w:val="a9"/>
                <w:rFonts w:ascii="Times New Roman" w:eastAsia="楷体" w:hAnsi="Times New Roman"/>
                <w:b/>
                <w:noProof/>
              </w:rPr>
              <w:t>EC</w:t>
            </w:r>
            <w:r w:rsidRPr="00C31755">
              <w:rPr>
                <w:rStyle w:val="a9"/>
                <w:rFonts w:ascii="Times New Roman" w:eastAsia="楷体" w:hAnsi="Times New Roman"/>
                <w:b/>
                <w:noProof/>
              </w:rPr>
              <w:t>保持高位震荡</w:t>
            </w:r>
          </w:hyperlink>
        </w:p>
        <w:p w:rsidR="003F56A5" w:rsidRPr="00152664" w:rsidRDefault="00CC3FFA" w:rsidP="00152664">
          <w:pPr>
            <w:pStyle w:val="11"/>
            <w:tabs>
              <w:tab w:val="right" w:leader="dot" w:pos="8296"/>
            </w:tabs>
            <w:rPr>
              <w:rFonts w:eastAsiaTheme="minorEastAsia"/>
              <w:noProof/>
              <w:szCs w:val="22"/>
            </w:rPr>
          </w:pPr>
          <w:r>
            <w:rPr>
              <w:bCs/>
            </w:rPr>
            <w:fldChar w:fldCharType="end"/>
          </w:r>
          <w:r w:rsidR="00152664">
            <w:rPr>
              <w:rFonts w:eastAsiaTheme="minorEastAsia"/>
              <w:noProof/>
              <w:szCs w:val="22"/>
            </w:rPr>
            <w:t xml:space="preserve"> </w:t>
          </w:r>
        </w:p>
      </w:sdtContent>
    </w:sdt>
    <w:p w:rsidR="003F56A5" w:rsidRPr="001D5419" w:rsidRDefault="00CC3FFA" w:rsidP="001D5419">
      <w:pPr>
        <w:jc w:val="center"/>
        <w:rPr>
          <w:rFonts w:ascii="Times New Roman" w:eastAsia="楷体" w:hAnsi="Times New Roman" w:cs="Times New Roman"/>
          <w:color w:val="823C0B"/>
        </w:rPr>
        <w:sectPr w:rsidR="003F56A5" w:rsidRPr="001D5419">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sidRPr="001D5419">
        <w:rPr>
          <w:rFonts w:ascii="Times New Roman" w:eastAsia="楷体" w:hAnsi="Times New Roman" w:cs="Times New Roman" w:hint="eastAsia"/>
          <w:color w:val="823C0B"/>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5327219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53272197"/>
      <w:bookmarkEnd w:id="4"/>
      <w:r>
        <w:rPr>
          <w:rFonts w:ascii="Times New Roman" w:eastAsia="楷体" w:hAnsi="Times New Roman" w:hint="eastAsia"/>
          <w:b/>
          <w:color w:val="000000" w:themeColor="text1"/>
          <w:sz w:val="24"/>
          <w:szCs w:val="24"/>
        </w:rPr>
        <w:t>股指：</w:t>
      </w:r>
      <w:bookmarkEnd w:id="6"/>
      <w:bookmarkEnd w:id="7"/>
      <w:r w:rsidR="00C85762" w:rsidRPr="00C85762">
        <w:rPr>
          <w:rFonts w:ascii="Times New Roman" w:eastAsia="楷体" w:hAnsi="Times New Roman" w:hint="eastAsia"/>
          <w:b/>
          <w:color w:val="000000" w:themeColor="text1"/>
          <w:sz w:val="24"/>
          <w:szCs w:val="24"/>
        </w:rPr>
        <w:t>待企稳后低多</w:t>
      </w:r>
      <w:r w:rsidR="00C85762" w:rsidRPr="00C85762">
        <w:rPr>
          <w:rFonts w:ascii="Times New Roman" w:eastAsia="楷体" w:hAnsi="Times New Roman" w:hint="eastAsia"/>
          <w:b/>
          <w:color w:val="000000" w:themeColor="text1"/>
          <w:sz w:val="24"/>
          <w:szCs w:val="24"/>
        </w:rPr>
        <w:t>IM</w:t>
      </w:r>
      <w:bookmarkEnd w:id="8"/>
    </w:p>
    <w:p w:rsidR="003F56A5" w:rsidRDefault="00C85762" w:rsidP="003F43FB">
      <w:pPr>
        <w:ind w:leftChars="300" w:left="630"/>
        <w:rPr>
          <w:rFonts w:ascii="Times New Roman" w:eastAsia="楷体" w:hAnsi="Times New Roman"/>
          <w:color w:val="000000" w:themeColor="text1"/>
          <w:sz w:val="24"/>
          <w:szCs w:val="24"/>
        </w:rPr>
      </w:pPr>
      <w:r w:rsidRPr="00C85762">
        <w:rPr>
          <w:rFonts w:ascii="Times New Roman" w:eastAsia="楷体" w:hAnsi="Times New Roman" w:hint="eastAsia"/>
          <w:color w:val="000000" w:themeColor="text1"/>
          <w:sz w:val="24"/>
          <w:szCs w:val="24"/>
        </w:rPr>
        <w:t>昨日沪指探底回升，形成双底结构，</w:t>
      </w:r>
      <w:r w:rsidRPr="00C85762">
        <w:rPr>
          <w:rFonts w:ascii="Times New Roman" w:eastAsia="楷体" w:hAnsi="Times New Roman" w:hint="eastAsia"/>
          <w:color w:val="000000" w:themeColor="text1"/>
          <w:sz w:val="24"/>
          <w:szCs w:val="24"/>
        </w:rPr>
        <w:t>IH</w:t>
      </w:r>
      <w:r w:rsidRPr="00C85762">
        <w:rPr>
          <w:rFonts w:ascii="Times New Roman" w:eastAsia="楷体" w:hAnsi="Times New Roman" w:hint="eastAsia"/>
          <w:color w:val="000000" w:themeColor="text1"/>
          <w:sz w:val="24"/>
          <w:szCs w:val="24"/>
        </w:rPr>
        <w:t>、</w:t>
      </w:r>
      <w:r w:rsidRPr="00C85762">
        <w:rPr>
          <w:rFonts w:ascii="Times New Roman" w:eastAsia="楷体" w:hAnsi="Times New Roman" w:hint="eastAsia"/>
          <w:color w:val="000000" w:themeColor="text1"/>
          <w:sz w:val="24"/>
          <w:szCs w:val="24"/>
        </w:rPr>
        <w:t xml:space="preserve">IF </w:t>
      </w:r>
      <w:r w:rsidRPr="00C85762">
        <w:rPr>
          <w:rFonts w:ascii="Times New Roman" w:eastAsia="楷体" w:hAnsi="Times New Roman" w:hint="eastAsia"/>
          <w:color w:val="000000" w:themeColor="text1"/>
          <w:sz w:val="24"/>
          <w:szCs w:val="24"/>
        </w:rPr>
        <w:t>增仓超万手，期权持仓量</w:t>
      </w:r>
      <w:r w:rsidRPr="00C85762">
        <w:rPr>
          <w:rFonts w:ascii="Times New Roman" w:eastAsia="楷体" w:hAnsi="Times New Roman" w:hint="eastAsia"/>
          <w:color w:val="000000" w:themeColor="text1"/>
          <w:sz w:val="24"/>
          <w:szCs w:val="24"/>
        </w:rPr>
        <w:t xml:space="preserve"> PCR </w:t>
      </w:r>
      <w:r w:rsidRPr="00C85762">
        <w:rPr>
          <w:rFonts w:ascii="Times New Roman" w:eastAsia="楷体" w:hAnsi="Times New Roman" w:hint="eastAsia"/>
          <w:color w:val="000000" w:themeColor="text1"/>
          <w:sz w:val="24"/>
          <w:szCs w:val="24"/>
        </w:rPr>
        <w:t>有抬头迹象，临近重要会议，市场或有脉冲性行情提振市场情绪但近期市场对于政策利多脱敏且会议表述大概率不会超预期；另一方面，美联储不排除近期放鹰的可能性，底部反复将是常态。仓位上，双底结构叠加期货深度贴水提供充分的安全垫，操作上勿追高，等待</w:t>
      </w:r>
      <w:r w:rsidRPr="00C85762">
        <w:rPr>
          <w:rFonts w:ascii="Times New Roman" w:eastAsia="楷体" w:hAnsi="Times New Roman" w:hint="eastAsia"/>
          <w:color w:val="000000" w:themeColor="text1"/>
          <w:sz w:val="24"/>
          <w:szCs w:val="24"/>
        </w:rPr>
        <w:t>IM</w:t>
      </w:r>
      <w:r w:rsidRPr="00C85762">
        <w:rPr>
          <w:rFonts w:ascii="Times New Roman" w:eastAsia="楷体" w:hAnsi="Times New Roman" w:hint="eastAsia"/>
          <w:color w:val="000000" w:themeColor="text1"/>
          <w:sz w:val="24"/>
          <w:szCs w:val="24"/>
        </w:rPr>
        <w:t>低吸机会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5327219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53272199"/>
      <w:r>
        <w:rPr>
          <w:rFonts w:ascii="Times New Roman" w:eastAsia="楷体" w:hAnsi="Times New Roman" w:hint="eastAsia"/>
          <w:b/>
          <w:color w:val="000000" w:themeColor="text1"/>
          <w:sz w:val="24"/>
          <w:szCs w:val="24"/>
        </w:rPr>
        <w:t>贵金属：</w:t>
      </w:r>
      <w:r w:rsidR="00B86490" w:rsidRPr="00B86490">
        <w:rPr>
          <w:rFonts w:ascii="Times New Roman" w:eastAsia="楷体" w:hAnsi="Times New Roman" w:hint="eastAsia"/>
          <w:b/>
          <w:color w:val="000000" w:themeColor="text1"/>
          <w:sz w:val="24"/>
          <w:szCs w:val="24"/>
        </w:rPr>
        <w:t>静待美国</w:t>
      </w:r>
      <w:r w:rsidR="00B86490" w:rsidRPr="00B86490">
        <w:rPr>
          <w:rFonts w:ascii="Times New Roman" w:eastAsia="楷体" w:hAnsi="Times New Roman" w:hint="eastAsia"/>
          <w:b/>
          <w:color w:val="000000" w:themeColor="text1"/>
          <w:sz w:val="24"/>
          <w:szCs w:val="24"/>
        </w:rPr>
        <w:t>CPI</w:t>
      </w:r>
      <w:r w:rsidR="00B86490" w:rsidRPr="00B86490">
        <w:rPr>
          <w:rFonts w:ascii="Times New Roman" w:eastAsia="楷体" w:hAnsi="Times New Roman" w:hint="eastAsia"/>
          <w:b/>
          <w:color w:val="000000" w:themeColor="text1"/>
          <w:sz w:val="24"/>
          <w:szCs w:val="24"/>
        </w:rPr>
        <w:t>通胀数据，贵金属价格下跌</w:t>
      </w:r>
      <w:bookmarkEnd w:id="10"/>
    </w:p>
    <w:p w:rsidR="003F56A5" w:rsidRDefault="00B86490">
      <w:pPr>
        <w:ind w:leftChars="300" w:left="630"/>
        <w:rPr>
          <w:rFonts w:ascii="Times New Roman" w:eastAsia="楷体" w:hAnsi="Times New Roman"/>
          <w:sz w:val="24"/>
          <w:szCs w:val="24"/>
        </w:rPr>
      </w:pPr>
      <w:r w:rsidRPr="00B86490">
        <w:rPr>
          <w:rFonts w:ascii="Times New Roman" w:eastAsia="楷体" w:hAnsi="Times New Roman" w:hint="eastAsia"/>
          <w:color w:val="000000" w:themeColor="text1"/>
          <w:sz w:val="24"/>
          <w:szCs w:val="24"/>
        </w:rPr>
        <w:t>美元指数涨</w:t>
      </w:r>
      <w:r w:rsidRPr="00B86490">
        <w:rPr>
          <w:rFonts w:ascii="Times New Roman" w:eastAsia="楷体" w:hAnsi="Times New Roman" w:hint="eastAsia"/>
          <w:color w:val="000000" w:themeColor="text1"/>
          <w:sz w:val="24"/>
          <w:szCs w:val="24"/>
        </w:rPr>
        <w:t>0.08%</w:t>
      </w:r>
      <w:r w:rsidRPr="00B86490">
        <w:rPr>
          <w:rFonts w:ascii="Times New Roman" w:eastAsia="楷体" w:hAnsi="Times New Roman" w:hint="eastAsia"/>
          <w:color w:val="000000" w:themeColor="text1"/>
          <w:sz w:val="24"/>
          <w:szCs w:val="24"/>
        </w:rPr>
        <w:t>至</w:t>
      </w:r>
      <w:r w:rsidRPr="00B86490">
        <w:rPr>
          <w:rFonts w:ascii="Times New Roman" w:eastAsia="楷体" w:hAnsi="Times New Roman" w:hint="eastAsia"/>
          <w:color w:val="000000" w:themeColor="text1"/>
          <w:sz w:val="24"/>
          <w:szCs w:val="24"/>
        </w:rPr>
        <w:t>104.08</w:t>
      </w:r>
      <w:r w:rsidRPr="00B86490">
        <w:rPr>
          <w:rFonts w:ascii="Times New Roman" w:eastAsia="楷体" w:hAnsi="Times New Roman" w:hint="eastAsia"/>
          <w:color w:val="000000" w:themeColor="text1"/>
          <w:sz w:val="24"/>
          <w:szCs w:val="24"/>
        </w:rPr>
        <w:t>，美十债收益率涨</w:t>
      </w:r>
      <w:r w:rsidRPr="00B86490">
        <w:rPr>
          <w:rFonts w:ascii="Times New Roman" w:eastAsia="楷体" w:hAnsi="Times New Roman" w:hint="eastAsia"/>
          <w:color w:val="000000" w:themeColor="text1"/>
          <w:sz w:val="24"/>
          <w:szCs w:val="24"/>
        </w:rPr>
        <w:t>0.5bp</w:t>
      </w:r>
      <w:r w:rsidRPr="00B86490">
        <w:rPr>
          <w:rFonts w:ascii="Times New Roman" w:eastAsia="楷体" w:hAnsi="Times New Roman" w:hint="eastAsia"/>
          <w:color w:val="000000" w:themeColor="text1"/>
          <w:sz w:val="24"/>
          <w:szCs w:val="24"/>
        </w:rPr>
        <w:t>至</w:t>
      </w:r>
      <w:r w:rsidRPr="00B86490">
        <w:rPr>
          <w:rFonts w:ascii="Times New Roman" w:eastAsia="楷体" w:hAnsi="Times New Roman" w:hint="eastAsia"/>
          <w:color w:val="000000" w:themeColor="text1"/>
          <w:sz w:val="24"/>
          <w:szCs w:val="24"/>
        </w:rPr>
        <w:t>4.237%</w:t>
      </w:r>
      <w:r w:rsidRPr="00B86490">
        <w:rPr>
          <w:rFonts w:ascii="Times New Roman" w:eastAsia="楷体" w:hAnsi="Times New Roman" w:hint="eastAsia"/>
          <w:color w:val="000000" w:themeColor="text1"/>
          <w:sz w:val="24"/>
          <w:szCs w:val="24"/>
        </w:rPr>
        <w:t>，外盘</w:t>
      </w:r>
      <w:r w:rsidRPr="00B86490">
        <w:rPr>
          <w:rFonts w:ascii="Times New Roman" w:eastAsia="楷体" w:hAnsi="Times New Roman" w:hint="eastAsia"/>
          <w:color w:val="000000" w:themeColor="text1"/>
          <w:sz w:val="24"/>
          <w:szCs w:val="24"/>
        </w:rPr>
        <w:t>COMEX</w:t>
      </w:r>
      <w:r w:rsidRPr="00B86490">
        <w:rPr>
          <w:rFonts w:ascii="Times New Roman" w:eastAsia="楷体" w:hAnsi="Times New Roman" w:hint="eastAsia"/>
          <w:color w:val="000000" w:themeColor="text1"/>
          <w:sz w:val="24"/>
          <w:szCs w:val="24"/>
        </w:rPr>
        <w:t>金价跌</w:t>
      </w:r>
      <w:r w:rsidRPr="00B86490">
        <w:rPr>
          <w:rFonts w:ascii="Times New Roman" w:eastAsia="楷体" w:hAnsi="Times New Roman" w:hint="eastAsia"/>
          <w:color w:val="000000" w:themeColor="text1"/>
          <w:sz w:val="24"/>
          <w:szCs w:val="24"/>
        </w:rPr>
        <w:t>0.84%</w:t>
      </w:r>
      <w:r w:rsidRPr="00B86490">
        <w:rPr>
          <w:rFonts w:ascii="Times New Roman" w:eastAsia="楷体" w:hAnsi="Times New Roman" w:hint="eastAsia"/>
          <w:color w:val="000000" w:themeColor="text1"/>
          <w:sz w:val="24"/>
          <w:szCs w:val="24"/>
        </w:rPr>
        <w:t>至</w:t>
      </w:r>
      <w:r w:rsidRPr="00B86490">
        <w:rPr>
          <w:rFonts w:ascii="Times New Roman" w:eastAsia="楷体" w:hAnsi="Times New Roman" w:hint="eastAsia"/>
          <w:color w:val="000000" w:themeColor="text1"/>
          <w:sz w:val="24"/>
          <w:szCs w:val="24"/>
        </w:rPr>
        <w:t>1997.6</w:t>
      </w:r>
      <w:r w:rsidRPr="00B86490">
        <w:rPr>
          <w:rFonts w:ascii="Times New Roman" w:eastAsia="楷体" w:hAnsi="Times New Roman" w:hint="eastAsia"/>
          <w:color w:val="000000" w:themeColor="text1"/>
          <w:sz w:val="24"/>
          <w:szCs w:val="24"/>
        </w:rPr>
        <w:t>美元</w:t>
      </w:r>
      <w:r w:rsidRPr="00B86490">
        <w:rPr>
          <w:rFonts w:ascii="Times New Roman" w:eastAsia="楷体" w:hAnsi="Times New Roman" w:hint="eastAsia"/>
          <w:color w:val="000000" w:themeColor="text1"/>
          <w:sz w:val="24"/>
          <w:szCs w:val="24"/>
        </w:rPr>
        <w:t>/</w:t>
      </w:r>
      <w:r w:rsidRPr="00B86490">
        <w:rPr>
          <w:rFonts w:ascii="Times New Roman" w:eastAsia="楷体" w:hAnsi="Times New Roman" w:hint="eastAsia"/>
          <w:color w:val="000000" w:themeColor="text1"/>
          <w:sz w:val="24"/>
          <w:szCs w:val="24"/>
        </w:rPr>
        <w:t>盎司，</w:t>
      </w:r>
      <w:r w:rsidRPr="00B86490">
        <w:rPr>
          <w:rFonts w:ascii="Times New Roman" w:eastAsia="楷体" w:hAnsi="Times New Roman" w:hint="eastAsia"/>
          <w:color w:val="000000" w:themeColor="text1"/>
          <w:sz w:val="24"/>
          <w:szCs w:val="24"/>
        </w:rPr>
        <w:t>COMEX</w:t>
      </w:r>
      <w:r w:rsidRPr="00B86490">
        <w:rPr>
          <w:rFonts w:ascii="Times New Roman" w:eastAsia="楷体" w:hAnsi="Times New Roman" w:hint="eastAsia"/>
          <w:color w:val="000000" w:themeColor="text1"/>
          <w:sz w:val="24"/>
          <w:szCs w:val="24"/>
        </w:rPr>
        <w:t>银价跌</w:t>
      </w:r>
      <w:r w:rsidRPr="00B86490">
        <w:rPr>
          <w:rFonts w:ascii="Times New Roman" w:eastAsia="楷体" w:hAnsi="Times New Roman" w:hint="eastAsia"/>
          <w:color w:val="000000" w:themeColor="text1"/>
          <w:sz w:val="24"/>
          <w:szCs w:val="24"/>
        </w:rPr>
        <w:t>0.63%</w:t>
      </w:r>
      <w:r w:rsidRPr="00B86490">
        <w:rPr>
          <w:rFonts w:ascii="Times New Roman" w:eastAsia="楷体" w:hAnsi="Times New Roman" w:hint="eastAsia"/>
          <w:color w:val="000000" w:themeColor="text1"/>
          <w:sz w:val="24"/>
          <w:szCs w:val="24"/>
        </w:rPr>
        <w:t>至</w:t>
      </w:r>
      <w:r w:rsidRPr="00B86490">
        <w:rPr>
          <w:rFonts w:ascii="Times New Roman" w:eastAsia="楷体" w:hAnsi="Times New Roman" w:hint="eastAsia"/>
          <w:color w:val="000000" w:themeColor="text1"/>
          <w:sz w:val="24"/>
          <w:szCs w:val="24"/>
        </w:rPr>
        <w:t>23.13</w:t>
      </w:r>
      <w:r w:rsidRPr="00B86490">
        <w:rPr>
          <w:rFonts w:ascii="Times New Roman" w:eastAsia="楷体" w:hAnsi="Times New Roman" w:hint="eastAsia"/>
          <w:color w:val="000000" w:themeColor="text1"/>
          <w:sz w:val="24"/>
          <w:szCs w:val="24"/>
        </w:rPr>
        <w:t>美元</w:t>
      </w:r>
      <w:r w:rsidRPr="00B86490">
        <w:rPr>
          <w:rFonts w:ascii="Times New Roman" w:eastAsia="楷体" w:hAnsi="Times New Roman" w:hint="eastAsia"/>
          <w:color w:val="000000" w:themeColor="text1"/>
          <w:sz w:val="24"/>
          <w:szCs w:val="24"/>
        </w:rPr>
        <w:t>/</w:t>
      </w:r>
      <w:r w:rsidRPr="00B86490">
        <w:rPr>
          <w:rFonts w:ascii="Times New Roman" w:eastAsia="楷体" w:hAnsi="Times New Roman" w:hint="eastAsia"/>
          <w:color w:val="000000" w:themeColor="text1"/>
          <w:sz w:val="24"/>
          <w:szCs w:val="24"/>
        </w:rPr>
        <w:t>盎司。沪金跌</w:t>
      </w:r>
      <w:r w:rsidRPr="00B86490">
        <w:rPr>
          <w:rFonts w:ascii="Times New Roman" w:eastAsia="楷体" w:hAnsi="Times New Roman" w:hint="eastAsia"/>
          <w:color w:val="000000" w:themeColor="text1"/>
          <w:sz w:val="24"/>
          <w:szCs w:val="24"/>
        </w:rPr>
        <w:t>0.75%</w:t>
      </w:r>
      <w:r w:rsidRPr="00B86490">
        <w:rPr>
          <w:rFonts w:ascii="Times New Roman" w:eastAsia="楷体" w:hAnsi="Times New Roman" w:hint="eastAsia"/>
          <w:color w:val="000000" w:themeColor="text1"/>
          <w:sz w:val="24"/>
          <w:szCs w:val="24"/>
        </w:rPr>
        <w:t>，沪银跌</w:t>
      </w:r>
      <w:r w:rsidRPr="00B86490">
        <w:rPr>
          <w:rFonts w:ascii="Times New Roman" w:eastAsia="楷体" w:hAnsi="Times New Roman" w:hint="eastAsia"/>
          <w:color w:val="000000" w:themeColor="text1"/>
          <w:sz w:val="24"/>
          <w:szCs w:val="24"/>
        </w:rPr>
        <w:t>1.44%</w:t>
      </w:r>
      <w:r w:rsidRPr="00B86490">
        <w:rPr>
          <w:rFonts w:ascii="Times New Roman" w:eastAsia="楷体" w:hAnsi="Times New Roman" w:hint="eastAsia"/>
          <w:color w:val="000000" w:themeColor="text1"/>
          <w:sz w:val="24"/>
          <w:szCs w:val="24"/>
        </w:rPr>
        <w:t>。油价下跌，美国二手车批发价格小幅回落，房租增速放缓，医疗保险成本上升。此前市场预期美国</w:t>
      </w:r>
      <w:r w:rsidRPr="00B86490">
        <w:rPr>
          <w:rFonts w:ascii="Times New Roman" w:eastAsia="楷体" w:hAnsi="Times New Roman" w:hint="eastAsia"/>
          <w:color w:val="000000" w:themeColor="text1"/>
          <w:sz w:val="24"/>
          <w:szCs w:val="24"/>
        </w:rPr>
        <w:t>11</w:t>
      </w:r>
      <w:r w:rsidRPr="00B86490">
        <w:rPr>
          <w:rFonts w:ascii="Times New Roman" w:eastAsia="楷体" w:hAnsi="Times New Roman" w:hint="eastAsia"/>
          <w:color w:val="000000" w:themeColor="text1"/>
          <w:sz w:val="24"/>
          <w:szCs w:val="24"/>
        </w:rPr>
        <w:t>月</w:t>
      </w:r>
      <w:r w:rsidRPr="00B86490">
        <w:rPr>
          <w:rFonts w:ascii="Times New Roman" w:eastAsia="楷体" w:hAnsi="Times New Roman" w:hint="eastAsia"/>
          <w:color w:val="000000" w:themeColor="text1"/>
          <w:sz w:val="24"/>
          <w:szCs w:val="24"/>
        </w:rPr>
        <w:t>CPI</w:t>
      </w:r>
      <w:r w:rsidRPr="00B86490">
        <w:rPr>
          <w:rFonts w:ascii="Times New Roman" w:eastAsia="楷体" w:hAnsi="Times New Roman" w:hint="eastAsia"/>
          <w:color w:val="000000" w:themeColor="text1"/>
          <w:sz w:val="24"/>
          <w:szCs w:val="24"/>
        </w:rPr>
        <w:t>或小幅回落至约</w:t>
      </w:r>
      <w:r w:rsidRPr="00B86490">
        <w:rPr>
          <w:rFonts w:ascii="Times New Roman" w:eastAsia="楷体" w:hAnsi="Times New Roman" w:hint="eastAsia"/>
          <w:color w:val="000000" w:themeColor="text1"/>
          <w:sz w:val="24"/>
          <w:szCs w:val="24"/>
        </w:rPr>
        <w:t>3.1%</w:t>
      </w:r>
      <w:r w:rsidRPr="00B86490">
        <w:rPr>
          <w:rFonts w:ascii="Times New Roman" w:eastAsia="楷体" w:hAnsi="Times New Roman" w:hint="eastAsia"/>
          <w:color w:val="000000" w:themeColor="text1"/>
          <w:sz w:val="24"/>
          <w:szCs w:val="24"/>
        </w:rPr>
        <w:t>，环比或将持平；核心</w:t>
      </w:r>
      <w:r w:rsidRPr="00B86490">
        <w:rPr>
          <w:rFonts w:ascii="Times New Roman" w:eastAsia="楷体" w:hAnsi="Times New Roman" w:hint="eastAsia"/>
          <w:color w:val="000000" w:themeColor="text1"/>
          <w:sz w:val="24"/>
          <w:szCs w:val="24"/>
        </w:rPr>
        <w:t>CPI</w:t>
      </w:r>
      <w:r w:rsidRPr="00B86490">
        <w:rPr>
          <w:rFonts w:ascii="Times New Roman" w:eastAsia="楷体" w:hAnsi="Times New Roman" w:hint="eastAsia"/>
          <w:color w:val="000000" w:themeColor="text1"/>
          <w:sz w:val="24"/>
          <w:szCs w:val="24"/>
        </w:rPr>
        <w:t>同比或持平于约</w:t>
      </w:r>
      <w:r w:rsidRPr="00B86490">
        <w:rPr>
          <w:rFonts w:ascii="Times New Roman" w:eastAsia="楷体" w:hAnsi="Times New Roman" w:hint="eastAsia"/>
          <w:color w:val="000000" w:themeColor="text1"/>
          <w:sz w:val="24"/>
          <w:szCs w:val="24"/>
        </w:rPr>
        <w:t>4.0%</w:t>
      </w:r>
      <w:r w:rsidRPr="00B86490">
        <w:rPr>
          <w:rFonts w:ascii="Times New Roman" w:eastAsia="楷体" w:hAnsi="Times New Roman" w:hint="eastAsia"/>
          <w:color w:val="000000" w:themeColor="text1"/>
          <w:sz w:val="24"/>
          <w:szCs w:val="24"/>
        </w:rPr>
        <w:t>。周内关注美国</w:t>
      </w:r>
      <w:r w:rsidRPr="00B86490">
        <w:rPr>
          <w:rFonts w:ascii="Times New Roman" w:eastAsia="楷体" w:hAnsi="Times New Roman" w:hint="eastAsia"/>
          <w:color w:val="000000" w:themeColor="text1"/>
          <w:sz w:val="24"/>
          <w:szCs w:val="24"/>
        </w:rPr>
        <w:t>CPI</w:t>
      </w:r>
      <w:r w:rsidRPr="00B86490">
        <w:rPr>
          <w:rFonts w:ascii="Times New Roman" w:eastAsia="楷体" w:hAnsi="Times New Roman" w:hint="eastAsia"/>
          <w:color w:val="000000" w:themeColor="text1"/>
          <w:sz w:val="24"/>
          <w:szCs w:val="24"/>
        </w:rPr>
        <w:t>、</w:t>
      </w:r>
      <w:r w:rsidRPr="00B86490">
        <w:rPr>
          <w:rFonts w:ascii="Times New Roman" w:eastAsia="楷体" w:hAnsi="Times New Roman" w:hint="eastAsia"/>
          <w:color w:val="000000" w:themeColor="text1"/>
          <w:sz w:val="24"/>
          <w:szCs w:val="24"/>
        </w:rPr>
        <w:t>PPI</w:t>
      </w:r>
      <w:r w:rsidRPr="00B86490">
        <w:rPr>
          <w:rFonts w:ascii="Times New Roman" w:eastAsia="楷体" w:hAnsi="Times New Roman" w:hint="eastAsia"/>
          <w:color w:val="000000" w:themeColor="text1"/>
          <w:sz w:val="24"/>
          <w:szCs w:val="24"/>
        </w:rPr>
        <w:t>通胀数据公布情况，以及周四凌晨美联储</w:t>
      </w:r>
      <w:r w:rsidRPr="00B86490">
        <w:rPr>
          <w:rFonts w:ascii="Times New Roman" w:eastAsia="楷体" w:hAnsi="Times New Roman" w:hint="eastAsia"/>
          <w:color w:val="000000" w:themeColor="text1"/>
          <w:sz w:val="24"/>
          <w:szCs w:val="24"/>
        </w:rPr>
        <w:t>12</w:t>
      </w:r>
      <w:r w:rsidRPr="00B86490">
        <w:rPr>
          <w:rFonts w:ascii="Times New Roman" w:eastAsia="楷体" w:hAnsi="Times New Roman" w:hint="eastAsia"/>
          <w:color w:val="000000" w:themeColor="text1"/>
          <w:sz w:val="24"/>
          <w:szCs w:val="24"/>
        </w:rPr>
        <w:t>月议息决议。若美联储如近期市场预期般维持鹰派表态且不对降息置评，议息会议后贵金属价格短线或有所承压。留意前期乐观预期略微回调修正的可能性，若美联储二季度左右启动降息，贵金属价格上行空间可能随之打开，建议沪金、沪银逢回调择机做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5327220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53272201"/>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B86490" w:rsidRPr="00B86490">
        <w:rPr>
          <w:rFonts w:ascii="楷体" w:eastAsia="楷体" w:hAnsi="楷体" w:hint="eastAsia"/>
          <w:b/>
          <w:color w:val="000000" w:themeColor="text1"/>
          <w:sz w:val="24"/>
          <w:szCs w:val="24"/>
        </w:rPr>
        <w:t>交割仓库扩容，期价高开低走</w:t>
      </w:r>
      <w:bookmarkEnd w:id="18"/>
    </w:p>
    <w:p w:rsidR="00F50569" w:rsidRDefault="00B86490" w:rsidP="00F50569">
      <w:pPr>
        <w:ind w:leftChars="300" w:left="630"/>
        <w:rPr>
          <w:rFonts w:ascii="楷体" w:eastAsia="楷体" w:hAnsi="楷体"/>
          <w:color w:val="000000" w:themeColor="text1"/>
          <w:sz w:val="24"/>
          <w:szCs w:val="24"/>
        </w:rPr>
      </w:pPr>
      <w:r w:rsidRPr="00B86490">
        <w:rPr>
          <w:rFonts w:ascii="楷体" w:eastAsia="楷体" w:hAnsi="楷体" w:hint="eastAsia"/>
          <w:color w:val="000000" w:themeColor="text1"/>
          <w:sz w:val="24"/>
          <w:szCs w:val="24"/>
        </w:rPr>
        <w:t>期价昨日以涨停价高开，随后大幅下挫，07合约收跌4.82%至96800元/吨。一方面或由于部分交易者担忧三连涨停板后可能进一步收紧风控政策而带来的多头止盈卖盘。另一方面，广期所宣布增设交割厂库、交割仓库扩容，一定程度上令此前部分交易者所持的交割资源紧缺的逻辑有所证伪。据期货日报报道，当前产业客户交割意愿较为强烈，已有30多家产业客户与交割仓库联系交割入库事宜，截至目前，已检出货物100%合格，将陆续生成标准仓单。截至12月10日，碳酸锂期货意向交割量达1.05万吨。考虑到后续交割需求，为保障交割库容充足，经相关交割仓库申请，交易所同意将交割仓库最低保障库容由3万吨增加至6万吨，包括交割厂库可注册仓单在内，整体最低保障库容达6.315万吨。目前近远价差收窄，价格相对接近成本支撑。现货方面需求长期偏弱，但是年后或仍有部分采购需求集中体现，因此不排除一季度以内出现需求侧驱动阶段性反弹的可能性，此方面或更多体现在偏近月的合约；较远期的合约或更多地反映供应过剩的预期，若后续价格再击穿成本线，远月合约相对走弱概率可能较大。近期多空博弈有所加剧，留意交易风险，建议单边谨慎观望，可择机考虑正</w:t>
      </w:r>
      <w:r w:rsidRPr="00B86490">
        <w:rPr>
          <w:rFonts w:ascii="楷体" w:eastAsia="楷体" w:hAnsi="楷体" w:hint="eastAsia"/>
          <w:color w:val="000000" w:themeColor="text1"/>
          <w:sz w:val="24"/>
          <w:szCs w:val="24"/>
        </w:rPr>
        <w:lastRenderedPageBreak/>
        <w:t>套策略</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53272202"/>
      <w:r>
        <w:rPr>
          <w:rFonts w:ascii="楷体" w:eastAsia="楷体" w:hAnsi="楷体" w:hint="eastAsia"/>
          <w:b/>
          <w:color w:val="000000" w:themeColor="text1"/>
          <w:sz w:val="24"/>
          <w:szCs w:val="24"/>
        </w:rPr>
        <w:t>螺纹钢：</w:t>
      </w:r>
      <w:bookmarkEnd w:id="16"/>
      <w:bookmarkEnd w:id="17"/>
      <w:r w:rsidR="007D2916" w:rsidRPr="007D2916">
        <w:rPr>
          <w:rFonts w:ascii="楷体" w:eastAsia="楷体" w:hAnsi="楷体" w:hint="eastAsia"/>
          <w:b/>
          <w:color w:val="000000" w:themeColor="text1"/>
          <w:sz w:val="24"/>
          <w:szCs w:val="24"/>
        </w:rPr>
        <w:t>消息刺激下，盘面偏强运行</w:t>
      </w:r>
      <w:bookmarkEnd w:id="19"/>
      <w:r w:rsidR="009E75B7" w:rsidRPr="009E75B7">
        <w:rPr>
          <w:rFonts w:ascii="楷体" w:eastAsia="楷体" w:hAnsi="楷体" w:hint="eastAsia"/>
          <w:b/>
          <w:color w:val="000000" w:themeColor="text1"/>
          <w:sz w:val="24"/>
          <w:szCs w:val="24"/>
        </w:rPr>
        <w:t xml:space="preserve">  </w:t>
      </w:r>
      <w:r w:rsidR="009127EC" w:rsidRPr="009127EC">
        <w:rPr>
          <w:rFonts w:ascii="楷体" w:eastAsia="楷体" w:hAnsi="楷体" w:hint="eastAsia"/>
          <w:b/>
          <w:color w:val="000000" w:themeColor="text1"/>
          <w:sz w:val="24"/>
          <w:szCs w:val="24"/>
        </w:rPr>
        <w:t xml:space="preserve">  </w:t>
      </w:r>
    </w:p>
    <w:p w:rsidR="003F56A5" w:rsidRDefault="007D2916" w:rsidP="00201944">
      <w:pPr>
        <w:ind w:leftChars="300" w:left="630"/>
        <w:rPr>
          <w:rFonts w:ascii="楷体" w:eastAsia="楷体" w:hAnsi="楷体"/>
          <w:color w:val="000000" w:themeColor="text1"/>
          <w:sz w:val="24"/>
          <w:szCs w:val="24"/>
        </w:rPr>
      </w:pPr>
      <w:r w:rsidRPr="007D2916">
        <w:rPr>
          <w:rFonts w:ascii="楷体" w:eastAsia="楷体" w:hAnsi="楷体" w:hint="eastAsia"/>
          <w:color w:val="000000" w:themeColor="text1"/>
          <w:sz w:val="24"/>
          <w:szCs w:val="24"/>
        </w:rPr>
        <w:t>当前淡季累库，产量相对偏高，价格存在一定压力。个别钢厂已经披露冬储政策，市场或逐渐进入冬储博弈阶段。短期减产下基本面压力缓解，但核心还是在于宏观层面的预期博弈。短期重大会议及碳达峰政策刺激市场，价格偏强运行</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53272203"/>
      <w:r>
        <w:rPr>
          <w:rFonts w:ascii="楷体" w:eastAsia="楷体" w:hAnsi="楷体" w:hint="eastAsia"/>
          <w:b/>
          <w:color w:val="000000" w:themeColor="text1"/>
          <w:sz w:val="24"/>
          <w:szCs w:val="24"/>
        </w:rPr>
        <w:t>焦炭：</w:t>
      </w:r>
      <w:bookmarkEnd w:id="20"/>
      <w:bookmarkEnd w:id="21"/>
      <w:r w:rsidR="007D2916" w:rsidRPr="007D2916">
        <w:rPr>
          <w:rFonts w:ascii="楷体" w:eastAsia="楷体" w:hAnsi="楷体" w:hint="eastAsia"/>
          <w:b/>
          <w:color w:val="000000" w:themeColor="text1"/>
          <w:sz w:val="24"/>
          <w:szCs w:val="24"/>
        </w:rPr>
        <w:t>第三轮提涨提出，盘面区间震荡</w:t>
      </w:r>
      <w:bookmarkEnd w:id="22"/>
    </w:p>
    <w:p w:rsidR="003F56A5" w:rsidRDefault="007D2916" w:rsidP="00572E35">
      <w:pPr>
        <w:ind w:leftChars="300" w:left="630"/>
        <w:rPr>
          <w:rFonts w:ascii="楷体" w:eastAsia="楷体" w:hAnsi="楷体"/>
          <w:color w:val="000000" w:themeColor="text1"/>
          <w:sz w:val="24"/>
          <w:szCs w:val="24"/>
        </w:rPr>
      </w:pPr>
      <w:r w:rsidRPr="007D2916">
        <w:rPr>
          <w:rFonts w:ascii="楷体" w:eastAsia="楷体" w:hAnsi="楷体" w:hint="eastAsia"/>
          <w:color w:val="000000" w:themeColor="text1"/>
          <w:sz w:val="24"/>
          <w:szCs w:val="24"/>
        </w:rPr>
        <w:t>成本端有所松动，短期波幅不大，第三轮上涨存在分歧，或仍需博弈，短期区间震荡为主</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53272204"/>
      <w:r>
        <w:rPr>
          <w:rFonts w:ascii="楷体" w:eastAsia="楷体" w:hAnsi="楷体" w:hint="eastAsia"/>
          <w:b/>
          <w:color w:val="000000" w:themeColor="text1"/>
          <w:sz w:val="24"/>
          <w:szCs w:val="24"/>
        </w:rPr>
        <w:t>焦煤：</w:t>
      </w:r>
      <w:r w:rsidR="007D2916" w:rsidRPr="007D2916">
        <w:rPr>
          <w:rFonts w:ascii="楷体" w:eastAsia="楷体" w:hAnsi="楷体" w:hint="eastAsia"/>
          <w:b/>
          <w:sz w:val="24"/>
          <w:szCs w:val="24"/>
        </w:rPr>
        <w:t>现货有所松动，但下行空间有限</w:t>
      </w:r>
      <w:bookmarkEnd w:id="23"/>
    </w:p>
    <w:p w:rsidR="003F56A5" w:rsidRDefault="007D2916">
      <w:pPr>
        <w:ind w:leftChars="300" w:left="630"/>
        <w:rPr>
          <w:rFonts w:ascii="楷体" w:eastAsia="楷体" w:hAnsi="楷体"/>
          <w:bCs/>
          <w:sz w:val="24"/>
          <w:szCs w:val="24"/>
        </w:rPr>
      </w:pPr>
      <w:r w:rsidRPr="007D2916">
        <w:rPr>
          <w:rFonts w:ascii="楷体" w:eastAsia="楷体" w:hAnsi="楷体" w:hint="eastAsia"/>
          <w:sz w:val="24"/>
          <w:szCs w:val="24"/>
        </w:rPr>
        <w:t>产量边际向上修复，现货紧缺压力有所缓解，下游钢经历一轮补库，整体库存处于合理水平，短期上行驱动不强。煤矿仍处于低产、低库存状态，叠加仍有部分冬储量未完成，价格仍有支撑。短期震荡偏强为主</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53272205"/>
      <w:r>
        <w:rPr>
          <w:rFonts w:ascii="楷体" w:eastAsia="楷体" w:hAnsi="楷体" w:hint="eastAsia"/>
          <w:b/>
          <w:color w:val="000000" w:themeColor="text1"/>
          <w:sz w:val="24"/>
          <w:szCs w:val="24"/>
        </w:rPr>
        <w:t>铜：</w:t>
      </w:r>
      <w:bookmarkEnd w:id="24"/>
      <w:bookmarkEnd w:id="25"/>
      <w:r w:rsidR="00C85762" w:rsidRPr="00C85762">
        <w:rPr>
          <w:rFonts w:ascii="楷体" w:eastAsia="楷体" w:hAnsi="楷体" w:hint="eastAsia"/>
          <w:b/>
          <w:color w:val="000000" w:themeColor="text1"/>
          <w:sz w:val="24"/>
          <w:szCs w:val="24"/>
        </w:rPr>
        <w:t>短期维持高位运行</w:t>
      </w:r>
      <w:bookmarkEnd w:id="26"/>
    </w:p>
    <w:p w:rsidR="00C85762" w:rsidRPr="00C85762" w:rsidRDefault="00C85762" w:rsidP="00C85762">
      <w:pPr>
        <w:ind w:leftChars="300" w:left="630"/>
        <w:rPr>
          <w:rFonts w:ascii="楷体" w:eastAsia="楷体" w:hAnsi="楷体" w:hint="eastAsia"/>
          <w:color w:val="000000" w:themeColor="text1"/>
          <w:sz w:val="24"/>
          <w:szCs w:val="24"/>
        </w:rPr>
      </w:pPr>
      <w:r w:rsidRPr="00C85762">
        <w:rPr>
          <w:rFonts w:ascii="楷体" w:eastAsia="楷体" w:hAnsi="楷体" w:hint="eastAsia"/>
          <w:color w:val="000000" w:themeColor="text1"/>
          <w:sz w:val="24"/>
          <w:szCs w:val="24"/>
        </w:rPr>
        <w:t>(1)产业：中汽协公布11月汽车产销分别完成309.3万辆和297万辆，环比分别增长7%和4.1%，同比分别增长29.4%和27.4%。汽车产量创历史新高，销量接近300万辆。</w:t>
      </w:r>
    </w:p>
    <w:p w:rsidR="00C85762" w:rsidRPr="00C85762" w:rsidRDefault="00C85762" w:rsidP="00C85762">
      <w:pPr>
        <w:ind w:leftChars="300" w:left="630"/>
        <w:rPr>
          <w:rFonts w:ascii="楷体" w:eastAsia="楷体" w:hAnsi="楷体" w:hint="eastAsia"/>
          <w:color w:val="000000" w:themeColor="text1"/>
          <w:sz w:val="24"/>
          <w:szCs w:val="24"/>
        </w:rPr>
      </w:pPr>
      <w:r w:rsidRPr="00C85762">
        <w:rPr>
          <w:rFonts w:ascii="楷体" w:eastAsia="楷体" w:hAnsi="楷体" w:hint="eastAsia"/>
          <w:color w:val="000000" w:themeColor="text1"/>
          <w:sz w:val="24"/>
          <w:szCs w:val="24"/>
        </w:rPr>
        <w:t>(2)库存：12月11日，SHFE仓单库存2399吨，减174吨；LME仓单库存182200吨，增600吨。</w:t>
      </w:r>
    </w:p>
    <w:p w:rsidR="00C85762" w:rsidRPr="00C85762" w:rsidRDefault="00C85762" w:rsidP="00C85762">
      <w:pPr>
        <w:ind w:leftChars="300" w:left="630"/>
        <w:rPr>
          <w:rFonts w:ascii="楷体" w:eastAsia="楷体" w:hAnsi="楷体" w:hint="eastAsia"/>
          <w:color w:val="000000" w:themeColor="text1"/>
          <w:sz w:val="24"/>
          <w:szCs w:val="24"/>
        </w:rPr>
      </w:pPr>
      <w:r w:rsidRPr="00C85762">
        <w:rPr>
          <w:rFonts w:ascii="楷体" w:eastAsia="楷体" w:hAnsi="楷体" w:hint="eastAsia"/>
          <w:color w:val="000000" w:themeColor="text1"/>
          <w:sz w:val="24"/>
          <w:szCs w:val="24"/>
        </w:rPr>
        <w:t>(3)精废价差：12月11日，Mysteel精废价差1864，扩张74。目前价差在合理价差1388之上。</w:t>
      </w:r>
    </w:p>
    <w:p w:rsidR="00C85762" w:rsidRPr="00C85762" w:rsidRDefault="00C85762" w:rsidP="00C85762">
      <w:pPr>
        <w:ind w:leftChars="300" w:left="630"/>
        <w:rPr>
          <w:rFonts w:ascii="楷体" w:eastAsia="楷体" w:hAnsi="楷体"/>
          <w:color w:val="000000" w:themeColor="text1"/>
          <w:sz w:val="24"/>
          <w:szCs w:val="24"/>
        </w:rPr>
      </w:pPr>
    </w:p>
    <w:p w:rsidR="00127803" w:rsidRPr="00127803" w:rsidRDefault="00C85762" w:rsidP="00C85762">
      <w:pPr>
        <w:ind w:leftChars="300" w:left="630"/>
        <w:rPr>
          <w:rFonts w:ascii="楷体" w:eastAsia="楷体" w:hAnsi="楷体"/>
          <w:color w:val="000000" w:themeColor="text1"/>
          <w:sz w:val="24"/>
          <w:szCs w:val="24"/>
        </w:rPr>
      </w:pPr>
      <w:r w:rsidRPr="00C85762">
        <w:rPr>
          <w:rFonts w:ascii="楷体" w:eastAsia="楷体" w:hAnsi="楷体" w:hint="eastAsia"/>
          <w:color w:val="000000" w:themeColor="text1"/>
          <w:sz w:val="24"/>
          <w:szCs w:val="24"/>
        </w:rPr>
        <w:t>综述：宏观面，当前市场情绪及政策预期上内外整体仍延续乐观状态，对铜价仍提供正面支撑。基本面，矿端紧张交易情绪基本消化，前期高铜价高升水对铜下游消费抑制严重，消费面对沪铜支撑走弱，但低库存逻辑仍存。短期铜价延续高位运行，主波动区间参考67500-69500。关注12月14日美联储利率决议</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1B0610" w:rsidRDefault="00CC3FFA" w:rsidP="001B0610">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53272206"/>
      <w:r>
        <w:rPr>
          <w:rFonts w:ascii="楷体" w:eastAsia="楷体" w:hAnsi="楷体" w:hint="eastAsia"/>
          <w:b/>
          <w:color w:val="000000" w:themeColor="text1"/>
          <w:sz w:val="24"/>
          <w:szCs w:val="24"/>
        </w:rPr>
        <w:t>铝：</w:t>
      </w:r>
      <w:bookmarkEnd w:id="27"/>
      <w:bookmarkEnd w:id="28"/>
      <w:r w:rsidR="00C85762" w:rsidRPr="00C85762">
        <w:rPr>
          <w:rFonts w:ascii="楷体" w:eastAsia="楷体" w:hAnsi="楷体" w:hint="eastAsia"/>
          <w:b/>
          <w:color w:val="000000" w:themeColor="text1"/>
          <w:sz w:val="24"/>
          <w:szCs w:val="24"/>
        </w:rPr>
        <w:t>铝价上下有限，关注区间反弹做多机会</w:t>
      </w:r>
      <w:bookmarkEnd w:id="29"/>
    </w:p>
    <w:p w:rsidR="003F56A5" w:rsidRDefault="00C85762" w:rsidP="00127803">
      <w:pPr>
        <w:ind w:leftChars="300" w:left="630"/>
        <w:rPr>
          <w:rFonts w:ascii="楷体" w:eastAsia="楷体" w:hAnsi="楷体"/>
          <w:color w:val="000000" w:themeColor="text1"/>
          <w:sz w:val="24"/>
          <w:szCs w:val="24"/>
        </w:rPr>
      </w:pPr>
      <w:r w:rsidRPr="00C85762">
        <w:rPr>
          <w:rFonts w:ascii="楷体" w:eastAsia="楷体" w:hAnsi="楷体" w:hint="eastAsia"/>
          <w:color w:val="000000" w:themeColor="text1"/>
          <w:sz w:val="24"/>
          <w:szCs w:val="24"/>
        </w:rPr>
        <w:t>海外宏观风险依旧偏高，加息已接近尾声，美国非农数据超市场预期，实际降息依旧值得期待，明年联邦基金利率目标区间预计将大幅回落。穆迪下调中国主权信用评级为“负面”，国内依旧维持政策面的偏利多支持，中央政治经济局会议表示，24年经济动向为稳中向好。云南落实减产后，周内电解铝运行产能维持稳定，11月国内电解铝产量同比增长4.6%，进口盈利窗口打开，进口铝锭持续向国内市场流入，供应端依旧偏多看待。下游需求正值淡季消费，但用铝市场仍有新能源板块及冬季下游逢低补库需求支撑，交易所库存维持低位，社会库存持续去库。铝价近期走势偏弱，下游厂家逢低补库，社库水平下跌到55万吨附近，短期价格下方空间有限，关注波动区间18400-19300的跌后反弹做多机会</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53272207"/>
      <w:r>
        <w:rPr>
          <w:rFonts w:ascii="楷体" w:eastAsia="楷体" w:hAnsi="楷体" w:hint="eastAsia"/>
          <w:b/>
          <w:color w:val="000000" w:themeColor="text1"/>
          <w:sz w:val="24"/>
          <w:szCs w:val="24"/>
        </w:rPr>
        <w:lastRenderedPageBreak/>
        <w:t>锌：</w:t>
      </w:r>
      <w:r w:rsidR="00C85762" w:rsidRPr="00C85762">
        <w:rPr>
          <w:rFonts w:ascii="楷体" w:eastAsia="楷体" w:hAnsi="楷体" w:hint="eastAsia"/>
          <w:b/>
          <w:color w:val="000000" w:themeColor="text1"/>
          <w:sz w:val="24"/>
          <w:szCs w:val="24"/>
        </w:rPr>
        <w:t>锌价下方仍有支撑</w:t>
      </w:r>
      <w:bookmarkEnd w:id="30"/>
    </w:p>
    <w:p w:rsidR="003F56A5" w:rsidRDefault="00C85762" w:rsidP="000B0648">
      <w:pPr>
        <w:ind w:leftChars="300" w:left="630"/>
        <w:rPr>
          <w:rFonts w:ascii="楷体" w:eastAsia="楷体" w:hAnsi="楷体"/>
          <w:color w:val="000000" w:themeColor="text1"/>
          <w:sz w:val="24"/>
          <w:szCs w:val="24"/>
        </w:rPr>
      </w:pPr>
      <w:r w:rsidRPr="00C85762">
        <w:rPr>
          <w:rFonts w:ascii="楷体" w:eastAsia="楷体" w:hAnsi="楷体" w:hint="eastAsia"/>
          <w:color w:val="000000" w:themeColor="text1"/>
          <w:sz w:val="24"/>
          <w:szCs w:val="24"/>
        </w:rPr>
        <w:t>矿端延续偏紧，进口盈利窗口打开，后续进口货源持续流入补充内需市场，目前锌价位于成本支撑附近，价格反弹冶炼厂利润有所修复但有限，需求端淡季疲软，下游逢低补库，库存低位支撑价格，预计锌价下方空间有限，关注反弹机会</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53272208"/>
      <w:r>
        <w:rPr>
          <w:rFonts w:ascii="楷体" w:eastAsia="楷体" w:hAnsi="楷体" w:hint="eastAsia"/>
          <w:b/>
          <w:color w:val="000000" w:themeColor="text1"/>
          <w:sz w:val="24"/>
          <w:szCs w:val="24"/>
        </w:rPr>
        <w:t>镍：</w:t>
      </w:r>
      <w:r w:rsidR="00C85762" w:rsidRPr="00C85762">
        <w:rPr>
          <w:rFonts w:ascii="楷体" w:eastAsia="楷体" w:hAnsi="楷体" w:hint="eastAsia"/>
          <w:b/>
          <w:color w:val="000000" w:themeColor="text1"/>
          <w:sz w:val="24"/>
          <w:szCs w:val="24"/>
        </w:rPr>
        <w:t>过剩依旧，承压持续</w:t>
      </w:r>
      <w:bookmarkEnd w:id="31"/>
    </w:p>
    <w:p w:rsidR="003F56A5" w:rsidRDefault="00C85762">
      <w:pPr>
        <w:ind w:leftChars="300" w:left="630"/>
        <w:rPr>
          <w:rFonts w:ascii="楷体" w:eastAsia="楷体" w:hAnsi="楷体"/>
          <w:color w:val="000000" w:themeColor="text1"/>
          <w:sz w:val="24"/>
          <w:szCs w:val="24"/>
        </w:rPr>
      </w:pPr>
      <w:r w:rsidRPr="00C85762">
        <w:rPr>
          <w:rFonts w:ascii="楷体" w:eastAsia="楷体" w:hAnsi="楷体" w:hint="eastAsia"/>
          <w:color w:val="000000" w:themeColor="text1"/>
          <w:sz w:val="24"/>
          <w:szCs w:val="24"/>
        </w:rPr>
        <w:t>宏观面，美国11月非农数据超预期，但美联储降息预期仍存；国内11月CPI同比下降0.5%，但政策向好预期仍存，海内外宏观情绪整体上偏乐观。成本端，镍产品已全线产能过剩，且硫酸镍在原料宽松和需求萎靡处境下持续下跌，镍成本支撑存在继续下移的可能性。供需端，11月精炼镍供应小幅下降，但供强需弱格局依旧，全球显性库存持续累库，压制镍价。虽近期宏观压力缓解，但镍价暂无明显反弹动能，需等待需求好转或明显减产，预计以偏弱震荡筑底为主</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53272209"/>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DB4E25" w:rsidRPr="00DB4E25">
        <w:rPr>
          <w:rFonts w:ascii="楷体" w:eastAsia="楷体" w:hAnsi="楷体" w:hint="eastAsia"/>
          <w:b/>
          <w:color w:val="000000" w:themeColor="text1"/>
          <w:sz w:val="24"/>
          <w:szCs w:val="24"/>
        </w:rPr>
        <w:t>铝价上方压力仍存</w:t>
      </w:r>
      <w:bookmarkEnd w:id="32"/>
    </w:p>
    <w:p w:rsidR="008B13D2" w:rsidRPr="008B13D2" w:rsidRDefault="00DB4E25" w:rsidP="008B13D2">
      <w:pPr>
        <w:ind w:leftChars="300" w:left="630"/>
        <w:rPr>
          <w:rFonts w:ascii="楷体" w:eastAsia="楷体" w:hAnsi="楷体"/>
          <w:color w:val="000000" w:themeColor="text1"/>
          <w:sz w:val="24"/>
          <w:szCs w:val="24"/>
        </w:rPr>
      </w:pPr>
      <w:r w:rsidRPr="00DB4E25">
        <w:rPr>
          <w:rFonts w:ascii="楷体" w:eastAsia="楷体" w:hAnsi="楷体" w:hint="eastAsia"/>
          <w:color w:val="000000" w:themeColor="text1"/>
          <w:sz w:val="24"/>
          <w:szCs w:val="24"/>
        </w:rPr>
        <w:t>巴以冲突加剧，原油价格暴涨，市场对联储加息预期走强，带动大宗整体情绪偏弱。国内电解铝运行产能高位，但复产产能多为铝水，铝棒加工费持续下行，铝棒库存被动去库，反映出铝合金下游需求偏弱。LME铝锭库存假期间出现累库迹象，国内铝市交易所库存及社库较大幅度累库，铝锭市场供应偏紧，近期铝锭进口利润窗口打开，国内原铝进口同比增长。“金九银十”旺季之下，旺季消费效应不显，订单增幅不及预期，铝价高位抑制下游采购意愿，下游企业开工率略有修复但不及预期。整体上看，国内铝锭市场供应偏紧但有进口增量补充，目前电解铝生产产能高位，铝水转化率或因铸锭量偏少的情况作出下调动作，需求维持弱修复，铝价在强供应、弱消费的现实之下，价格上行驱动有限，节日前多次尝试突破箱体运行区间上沿无果，假期海外市场情绪偏弱，预计铝价节后将重回震荡区间中枢附近，约计在18500-19000之间</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53272210"/>
      <w:r>
        <w:rPr>
          <w:rFonts w:ascii="楷体" w:eastAsia="楷体" w:hAnsi="楷体" w:hint="eastAsia"/>
          <w:b/>
          <w:color w:val="000000" w:themeColor="text1"/>
          <w:sz w:val="24"/>
          <w:szCs w:val="24"/>
        </w:rPr>
        <w:t>不锈钢：</w:t>
      </w:r>
      <w:r w:rsidR="00C85762" w:rsidRPr="00C85762">
        <w:rPr>
          <w:rFonts w:ascii="楷体" w:eastAsia="楷体" w:hAnsi="楷体" w:hint="eastAsia"/>
          <w:b/>
          <w:color w:val="000000" w:themeColor="text1"/>
          <w:sz w:val="24"/>
          <w:szCs w:val="24"/>
        </w:rPr>
        <w:t>成本支撑摇晃，需求维持疲弱</w:t>
      </w:r>
      <w:bookmarkEnd w:id="33"/>
    </w:p>
    <w:p w:rsidR="003F56A5" w:rsidRDefault="00C85762" w:rsidP="001529BB">
      <w:pPr>
        <w:ind w:leftChars="300" w:left="630"/>
        <w:rPr>
          <w:rFonts w:ascii="楷体" w:eastAsia="楷体" w:hAnsi="楷体"/>
          <w:color w:val="000000" w:themeColor="text1"/>
          <w:sz w:val="24"/>
          <w:szCs w:val="24"/>
        </w:rPr>
      </w:pPr>
      <w:r w:rsidRPr="00C85762">
        <w:rPr>
          <w:rFonts w:ascii="楷体" w:eastAsia="楷体" w:hAnsi="楷体" w:hint="eastAsia"/>
          <w:color w:val="000000" w:themeColor="text1"/>
          <w:sz w:val="24"/>
          <w:szCs w:val="24"/>
        </w:rPr>
        <w:t>近期宏观情绪修复，但不锈钢基本面未有改善。从供需来看，不锈钢厂在12月开工率有所上升，但需求却维持疲弱，部分厂家在年底资金压力下低价出货，下游成交氛围不见明显起色，供增需弱态势对不锈钢施压。从成本来看，镍铁厂承受着需求不振、钢厂压价、过剩压力，镍矿价格也受到需求不振带来的压制，不锈钢原料价格仍未企稳。不锈钢价短期内预计偏弱运行，上行动能需等待原料价格企稳或需求好转</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53272211"/>
      <w:r>
        <w:rPr>
          <w:rFonts w:ascii="楷体" w:eastAsia="楷体" w:hAnsi="楷体" w:hint="eastAsia"/>
          <w:b/>
          <w:color w:val="000000" w:themeColor="text1"/>
          <w:sz w:val="24"/>
          <w:szCs w:val="24"/>
        </w:rPr>
        <w:t>工业硅：</w:t>
      </w:r>
      <w:r w:rsidR="00B86490" w:rsidRPr="00B86490">
        <w:rPr>
          <w:rFonts w:ascii="楷体" w:eastAsia="楷体" w:hAnsi="楷体" w:hint="eastAsia"/>
          <w:b/>
          <w:sz w:val="24"/>
          <w:szCs w:val="24"/>
        </w:rPr>
        <w:t>西南扩大减产规模，成本支撑或逐步显现</w:t>
      </w:r>
      <w:bookmarkEnd w:id="34"/>
    </w:p>
    <w:p w:rsidR="003F56A5" w:rsidRDefault="00B86490" w:rsidP="00827E8A">
      <w:pPr>
        <w:ind w:leftChars="300" w:left="630"/>
        <w:rPr>
          <w:rFonts w:ascii="楷体" w:eastAsia="楷体" w:hAnsi="楷体"/>
          <w:sz w:val="24"/>
          <w:szCs w:val="24"/>
        </w:rPr>
      </w:pPr>
      <w:r w:rsidRPr="00B86490">
        <w:rPr>
          <w:rFonts w:ascii="楷体" w:eastAsia="楷体" w:hAnsi="楷体" w:hint="eastAsia"/>
          <w:sz w:val="24"/>
          <w:szCs w:val="24"/>
        </w:rPr>
        <w:t>12月11日，Si2402主力合约呈下行走势，收盘价13770元/吨，较上一收盘价涨跌幅-0.76%。西南产区进入12月，电价在11月基础上进一步上调。其中四川上调约0.1元/ 度，云南上调0.03-0.05元/度不等，在行情低迷情况下，当地工厂纷纷采取停炉、减产等方式。据百川盈孚统计，上周西南地区共计停炉35台，当前四川、云南开炉率已降至40.6%、32.1%，处于较低位置，但后续或仍有下降空间。整体来看，供应整体呈现收缩，</w:t>
      </w:r>
      <w:r w:rsidRPr="00B86490">
        <w:rPr>
          <w:rFonts w:ascii="楷体" w:eastAsia="楷体" w:hAnsi="楷体" w:hint="eastAsia"/>
          <w:sz w:val="24"/>
          <w:szCs w:val="24"/>
        </w:rPr>
        <w:lastRenderedPageBreak/>
        <w:t>随着低价仓单货源陆续消化，成本支撑也将逐步显现，后续市场下行空间或有限。策略上，谨慎资金可暂时观望，激进资金可尝试逢低做多</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5327221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C85762" w:rsidRDefault="00CC3FFA" w:rsidP="00C85762">
      <w:pPr>
        <w:ind w:firstLineChars="200" w:firstLine="482"/>
        <w:outlineLvl w:val="1"/>
        <w:rPr>
          <w:rFonts w:ascii="楷体" w:eastAsia="楷体" w:hAnsi="楷体"/>
          <w:b/>
          <w:sz w:val="24"/>
          <w:szCs w:val="24"/>
        </w:rPr>
      </w:pPr>
      <w:bookmarkStart w:id="37" w:name="_Toc153272213"/>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C85762" w:rsidRPr="00C85762">
        <w:rPr>
          <w:rFonts w:ascii="楷体" w:eastAsia="楷体" w:hAnsi="楷体" w:hint="eastAsia"/>
          <w:b/>
          <w:sz w:val="24"/>
          <w:szCs w:val="24"/>
        </w:rPr>
        <w:t>短时天胶超跌反弹 但上方空间有限</w:t>
      </w:r>
      <w:bookmarkEnd w:id="37"/>
    </w:p>
    <w:p w:rsidR="003F56A5" w:rsidRDefault="00C85762">
      <w:pPr>
        <w:ind w:leftChars="300" w:left="630"/>
        <w:rPr>
          <w:rFonts w:ascii="楷体" w:eastAsia="楷体" w:hAnsi="楷体"/>
          <w:sz w:val="24"/>
          <w:szCs w:val="24"/>
        </w:rPr>
      </w:pPr>
      <w:r w:rsidRPr="00C85762">
        <w:rPr>
          <w:rFonts w:ascii="楷体" w:eastAsia="楷体" w:hAnsi="楷体" w:hint="eastAsia"/>
          <w:sz w:val="24"/>
          <w:szCs w:val="24"/>
        </w:rPr>
        <w:t>点评：天然橡胶在延续偏弱下行后，近期出现企稳态势。供应方面，短时国内产区陆续停割与海外雨季结束逐渐上量预期相互博弈，上游生产利润已处低位，原料收购价格松动空间有限。库存方面，随着海外订单陆续到港，逢下游工厂出货淡季，港口库存继续降库幅度受到压制，供需压制仍存。需求端来看，半钢胎样本企业外贸订单充足，且部分企业排产2024年订单。全钢胎样本企业出货偏慢，整体库存继续提升。终端汽车方面，10月数据同环比继续走强，汽车消费旺季来临市场景气度高。整体看，本轮下跌其实早有征兆，上一波上涨期间出现头肩形与顶背离情况。目前橡胶已回吐近50%的涨幅。短时天胶市场超跌反弹，但无明显推动下，上方空间有限</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53272214"/>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B86490" w:rsidRPr="00B86490">
        <w:rPr>
          <w:rFonts w:ascii="Calibri" w:eastAsia="楷体" w:hAnsi="Calibri" w:cs="Calibri" w:hint="eastAsia"/>
          <w:b/>
          <w:color w:val="000000" w:themeColor="text1"/>
          <w:sz w:val="24"/>
          <w:szCs w:val="24"/>
        </w:rPr>
        <w:t>供需矛盾不突出</w:t>
      </w:r>
      <w:r w:rsidR="00B86490" w:rsidRPr="00B86490">
        <w:rPr>
          <w:rFonts w:ascii="Calibri" w:eastAsia="楷体" w:hAnsi="Calibri" w:cs="Calibri" w:hint="eastAsia"/>
          <w:b/>
          <w:color w:val="000000" w:themeColor="text1"/>
          <w:sz w:val="24"/>
          <w:szCs w:val="24"/>
        </w:rPr>
        <w:t xml:space="preserve"> </w:t>
      </w:r>
      <w:r w:rsidR="00B86490" w:rsidRPr="00B86490">
        <w:rPr>
          <w:rFonts w:ascii="Calibri" w:eastAsia="楷体" w:hAnsi="Calibri" w:cs="Calibri" w:hint="eastAsia"/>
          <w:b/>
          <w:color w:val="000000" w:themeColor="text1"/>
          <w:sz w:val="24"/>
          <w:szCs w:val="24"/>
        </w:rPr>
        <w:t>短期跟随成本端调整</w:t>
      </w:r>
      <w:bookmarkEnd w:id="38"/>
      <w:r w:rsidR="00DF164D" w:rsidRPr="00DF164D">
        <w:rPr>
          <w:rFonts w:ascii="楷体" w:eastAsia="楷体" w:hAnsi="楷体" w:hint="eastAsia"/>
          <w:b/>
          <w:color w:val="000000" w:themeColor="text1"/>
          <w:sz w:val="24"/>
          <w:szCs w:val="24"/>
        </w:rPr>
        <w:t xml:space="preserve"> </w:t>
      </w:r>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B86490" w:rsidP="002C73FE">
      <w:pPr>
        <w:ind w:leftChars="300" w:left="630"/>
        <w:rPr>
          <w:rFonts w:ascii="楷体" w:eastAsia="楷体" w:hAnsi="楷体"/>
          <w:color w:val="000000" w:themeColor="text1"/>
          <w:sz w:val="24"/>
          <w:szCs w:val="24"/>
        </w:rPr>
      </w:pPr>
      <w:r w:rsidRPr="00B86490">
        <w:rPr>
          <w:rFonts w:ascii="楷体" w:eastAsia="楷体" w:hAnsi="楷体" w:hint="eastAsia"/>
          <w:color w:val="000000" w:themeColor="text1"/>
          <w:sz w:val="24"/>
          <w:szCs w:val="24"/>
        </w:rPr>
        <w:t>OPEC+会议后市场未取得实质性利好，供给预期逐步转向宽松，短线盘面缩量反弹调整。PX方面，亚洲PX供应仍较充裕。PTA供应方面，本周福海创450万吨PTA装置提负，逸盛海南250万吨PTA装置另一条线投料重启，个别装置负荷提升，PTA负荷涨至77.4%（-0.7%）。本周聚酯装置整体变动不是太大，局部微调为主，截至12.7，初步核算国内大陆地区聚酯负荷在90.8%。综合来看，PTA近期供应端缩减，聚酯链品种开工相对高位维持，供需关系缓和。且主力切换到05合约后加工费低位但短期来看围绕成本端回调，趋势仍偏弱，关注5700附近支撑位。仅供参考</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7B681E" w:rsidRDefault="00CC3FFA" w:rsidP="007B681E">
      <w:pPr>
        <w:ind w:leftChars="200" w:left="420"/>
        <w:outlineLvl w:val="1"/>
        <w:rPr>
          <w:rFonts w:ascii="楷体" w:eastAsia="楷体" w:hAnsi="楷体"/>
          <w:b/>
          <w:color w:val="000000" w:themeColor="text1"/>
          <w:sz w:val="24"/>
          <w:szCs w:val="24"/>
        </w:rPr>
      </w:pPr>
      <w:bookmarkStart w:id="39" w:name="_Toc153272215"/>
      <w:r>
        <w:rPr>
          <w:rFonts w:ascii="楷体" w:eastAsia="楷体" w:hAnsi="楷体" w:hint="eastAsia"/>
          <w:b/>
          <w:color w:val="000000" w:themeColor="text1"/>
          <w:sz w:val="24"/>
          <w:szCs w:val="24"/>
        </w:rPr>
        <w:t>聚烯烃：</w:t>
      </w:r>
      <w:r w:rsidR="00B86490" w:rsidRPr="00B86490">
        <w:rPr>
          <w:rFonts w:ascii="楷体" w:eastAsia="楷体" w:hAnsi="楷体" w:hint="eastAsia"/>
          <w:b/>
          <w:color w:val="000000" w:themeColor="text1"/>
          <w:sz w:val="24"/>
          <w:szCs w:val="24"/>
        </w:rPr>
        <w:t>成本供需无亮点 聚烯烃维持低位震荡</w:t>
      </w:r>
      <w:bookmarkEnd w:id="39"/>
    </w:p>
    <w:p w:rsidR="003F56A5" w:rsidRDefault="00B86490">
      <w:pPr>
        <w:ind w:leftChars="300" w:left="630"/>
        <w:rPr>
          <w:rFonts w:ascii="楷体" w:eastAsia="楷体" w:hAnsi="楷体"/>
          <w:bCs/>
          <w:sz w:val="24"/>
          <w:szCs w:val="24"/>
        </w:rPr>
      </w:pPr>
      <w:r w:rsidRPr="00B86490">
        <w:rPr>
          <w:rFonts w:ascii="楷体" w:eastAsia="楷体" w:hAnsi="楷体" w:hint="eastAsia"/>
          <w:color w:val="000000" w:themeColor="text1"/>
          <w:sz w:val="24"/>
          <w:szCs w:val="24"/>
        </w:rPr>
        <w:t>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市场继续质疑欧佩克及其减产同盟国明年减产力度，同时面对经济不确定性石油需求难于预测，欧美原油期货趋于稳定。需求方面，PE下游方面，农膜整体需求平平，工厂生产清淡，棚膜工厂多停机检修；PP下游方面，BOPP市场成交刚需有量，整体量较上一交易日增加，BOPP企业未交付订单多数在一周以内。综合来看，近期聚烯烃较多装置停车检修，开工负荷仍偏低，供应端压力不大，整体库存小幅去库，但去化速率偏慢。PE下游农膜厂开工再度走弱，“双十二”购物节即将结束，需求季节性转弱。聚烯烃供强需弱格局，驱动较弱，建议逢高做空</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0" w:name="_Toc153272216"/>
      <w:r>
        <w:rPr>
          <w:rFonts w:ascii="楷体" w:eastAsia="楷体" w:hAnsi="楷体" w:hint="eastAsia"/>
          <w:b/>
          <w:color w:val="000000" w:themeColor="text1"/>
          <w:sz w:val="24"/>
          <w:szCs w:val="24"/>
        </w:rPr>
        <w:t>MEG：</w:t>
      </w:r>
      <w:r w:rsidR="00B86490" w:rsidRPr="00B86490">
        <w:rPr>
          <w:rFonts w:ascii="楷体" w:eastAsia="楷体" w:hAnsi="楷体" w:hint="eastAsia"/>
          <w:b/>
          <w:color w:val="000000" w:themeColor="text1"/>
          <w:sz w:val="24"/>
          <w:szCs w:val="24"/>
        </w:rPr>
        <w:t>区间操作为主</w:t>
      </w:r>
      <w:bookmarkEnd w:id="40"/>
    </w:p>
    <w:p w:rsidR="003F56A5" w:rsidRDefault="00B86490" w:rsidP="00152664">
      <w:pPr>
        <w:ind w:leftChars="300" w:left="630"/>
        <w:rPr>
          <w:rFonts w:ascii="楷体" w:eastAsia="楷体" w:hAnsi="楷体"/>
          <w:color w:val="000000" w:themeColor="text1"/>
          <w:sz w:val="24"/>
          <w:szCs w:val="24"/>
        </w:rPr>
      </w:pPr>
      <w:r w:rsidRPr="00B86490">
        <w:rPr>
          <w:rFonts w:ascii="楷体" w:eastAsia="楷体" w:hAnsi="楷体" w:hint="eastAsia"/>
          <w:color w:val="000000" w:themeColor="text1"/>
          <w:sz w:val="24"/>
          <w:szCs w:val="24"/>
        </w:rPr>
        <w:t>供需情况，12.4华东主港地区MEG港口库存约123.6万吨附近，环比上期</w:t>
      </w:r>
      <w:r w:rsidRPr="00B86490">
        <w:rPr>
          <w:rFonts w:ascii="楷体" w:eastAsia="楷体" w:hAnsi="楷体" w:hint="eastAsia"/>
          <w:color w:val="000000" w:themeColor="text1"/>
          <w:sz w:val="24"/>
          <w:szCs w:val="24"/>
        </w:rPr>
        <w:lastRenderedPageBreak/>
        <w:t>-0.6万吨。张家港62.8万吨附近，较上期减少2.1万吨。12月上旬起太仓地区到港较为集中，显性库存仍将维持偏高水平。截至12月7日，中国大陆地区乙二醇整体开工负荷在61.65%（+0.59%），其中煤制乙二醇开工负荷在64.6%（+4.15%）。</w:t>
      </w:r>
      <w:r w:rsidRPr="00B86490">
        <w:rPr>
          <w:rFonts w:ascii="Calibri" w:eastAsia="楷体" w:hAnsi="Calibri" w:cs="Calibri"/>
          <w:color w:val="000000" w:themeColor="text1"/>
          <w:sz w:val="24"/>
          <w:szCs w:val="24"/>
        </w:rPr>
        <w:t> </w:t>
      </w:r>
      <w:r w:rsidRPr="00B86490">
        <w:rPr>
          <w:rFonts w:ascii="楷体" w:eastAsia="楷体" w:hAnsi="楷体" w:hint="eastAsia"/>
          <w:color w:val="000000" w:themeColor="text1"/>
          <w:sz w:val="24"/>
          <w:szCs w:val="24"/>
        </w:rPr>
        <w:t>新疆中昆60万吨/年新装置顺利出料，目前逐步提负中</w:t>
      </w:r>
      <w:r w:rsidRPr="00B86490">
        <w:rPr>
          <w:rFonts w:ascii="Calibri" w:eastAsia="楷体" w:hAnsi="Calibri" w:cs="Calibri"/>
          <w:color w:val="000000" w:themeColor="text1"/>
          <w:sz w:val="24"/>
          <w:szCs w:val="24"/>
        </w:rPr>
        <w:t> </w:t>
      </w:r>
      <w:r w:rsidRPr="00B86490">
        <w:rPr>
          <w:rFonts w:ascii="楷体" w:eastAsia="楷体" w:hAnsi="楷体" w:hint="eastAsia"/>
          <w:color w:val="000000" w:themeColor="text1"/>
          <w:sz w:val="24"/>
          <w:szCs w:val="24"/>
        </w:rPr>
        <w:t>。截至12月7日，国内大陆地区聚酯负荷在90.8%，节前聚酯开工高位维持。终端来看，江浙终端开工率继续下滑，新订单持续性不足。江浙加弹综合开工90%（-1%）维持，江浙织机综合开工小幅下滑至82%（-2%），江浙印染综合开工下滑至78%（-3%）。综合来看，进口到港减少及聚酯高开工维持驱动仍存，预计12月乙二醇供需改善呈现紧平衡格局。关注乙二醇低多机会，下方支撑4050-4060，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Pr="0008229A" w:rsidRDefault="0079299D" w:rsidP="0008229A">
      <w:pPr>
        <w:ind w:leftChars="200" w:left="420"/>
        <w:outlineLvl w:val="1"/>
        <w:rPr>
          <w:rFonts w:ascii="楷体" w:eastAsia="楷体" w:hAnsi="楷体"/>
          <w:b/>
          <w:color w:val="000000" w:themeColor="text1"/>
          <w:sz w:val="24"/>
          <w:szCs w:val="24"/>
        </w:rPr>
      </w:pPr>
      <w:bookmarkStart w:id="41" w:name="_Toc153272217"/>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B86490" w:rsidRPr="00B86490">
        <w:rPr>
          <w:rFonts w:ascii="楷体" w:eastAsia="楷体" w:hAnsi="楷体" w:hint="eastAsia"/>
          <w:b/>
          <w:color w:val="000000" w:themeColor="text1"/>
          <w:sz w:val="24"/>
          <w:szCs w:val="24"/>
        </w:rPr>
        <w:t>强宏观预期弱基本面，震荡行情</w:t>
      </w:r>
      <w:bookmarkEnd w:id="41"/>
    </w:p>
    <w:p w:rsidR="00A71A7E" w:rsidRDefault="00B86490" w:rsidP="002B2B4E">
      <w:pPr>
        <w:ind w:leftChars="300" w:left="630"/>
        <w:rPr>
          <w:rFonts w:ascii="楷体" w:eastAsia="楷体" w:hAnsi="楷体"/>
          <w:color w:val="000000" w:themeColor="text1"/>
          <w:sz w:val="24"/>
          <w:szCs w:val="24"/>
        </w:rPr>
      </w:pPr>
      <w:r w:rsidRPr="00B86490">
        <w:rPr>
          <w:rFonts w:ascii="楷体" w:eastAsia="楷体" w:hAnsi="楷体" w:hint="eastAsia"/>
          <w:color w:val="000000" w:themeColor="text1"/>
          <w:sz w:val="24"/>
          <w:szCs w:val="24"/>
        </w:rPr>
        <w:t>隆众资讯12月11日报道：今日浮法玻璃现货价格2009元/吨，较上一交易日+19元/吨。截至2023年12月11日，全国浮法玻璃日产量为17.16万吨，较上周下降1200T/d。库存上，上周全国浮法玻璃样本企业总库存3287.9万重箱，环比下滑482.2万重箱，环比-12.79%，周末期货带动下，现货产销较好，贸易商继续补库，多家企业上调价格。盘面近月01合约小幅贴水，现货产销较好易涨难跌，期现商高位有注册仓单套保，近月01合约承压，远月05主力合约宏观预期利好托底+低库存补库，盘面延续震荡行情</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Pr="009D2D8B" w:rsidRDefault="0079299D" w:rsidP="009D2D8B">
      <w:pPr>
        <w:ind w:leftChars="200" w:left="420"/>
        <w:outlineLvl w:val="1"/>
        <w:rPr>
          <w:rFonts w:ascii="楷体" w:eastAsia="楷体" w:hAnsi="楷体"/>
          <w:b/>
          <w:color w:val="000000" w:themeColor="text1"/>
          <w:sz w:val="24"/>
          <w:szCs w:val="24"/>
        </w:rPr>
      </w:pPr>
      <w:bookmarkStart w:id="42" w:name="_Toc153272218"/>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B86490" w:rsidRPr="00B86490">
        <w:rPr>
          <w:rFonts w:ascii="楷体" w:eastAsia="楷体" w:hAnsi="楷体" w:hint="eastAsia"/>
          <w:b/>
          <w:color w:val="000000" w:themeColor="text1"/>
          <w:sz w:val="24"/>
          <w:szCs w:val="24"/>
        </w:rPr>
        <w:t>近强远弱，高位震荡</w:t>
      </w:r>
      <w:bookmarkEnd w:id="42"/>
    </w:p>
    <w:p w:rsidR="00A71A7E" w:rsidRDefault="00B86490" w:rsidP="002B2B4E">
      <w:pPr>
        <w:ind w:leftChars="300" w:left="630"/>
        <w:rPr>
          <w:rFonts w:ascii="楷体" w:eastAsia="楷体" w:hAnsi="楷体"/>
          <w:bCs/>
          <w:sz w:val="24"/>
          <w:szCs w:val="24"/>
        </w:rPr>
      </w:pPr>
      <w:r w:rsidRPr="00B86490">
        <w:rPr>
          <w:rFonts w:ascii="楷体" w:eastAsia="楷体" w:hAnsi="楷体" w:hint="eastAsia"/>
          <w:color w:val="000000" w:themeColor="text1"/>
          <w:sz w:val="24"/>
          <w:szCs w:val="24"/>
        </w:rPr>
        <w:t>纯碱现货价格高位震荡。华北重碱报价3000元/吨，成交较少；华南重碱报价3250元/吨。供给方面，截至20231207，周内纯碱产量66.21万吨，涨幅0.37%。周纯碱厂家库存36.70万吨，环比-1.35万吨，跌幅3.55%%，待发订单排到月底。周内供给端装置扰动较多，日内山东海天装置问题短停，预计2-3日，江苏昆山短停1天，青海地区保持低负荷运行，应城新都化工20号检修，预计10天，苏盐井神11号检修，预计10天。从库存结构上来看，厂库库存仍处于低位，供给端反复扰动，短期难跌。盘面上，01合约走交割逻辑，下游阶段性补库进入尾声，剩余现货端碱厂待发订单接近月底，下半月不再封单，新单要到1月，远月05收月间价差，短期波动较大，追多谨慎，期价高位震荡，做空尚早，等待累库信号出现，建议观望为主</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3" w:name="_Toc15327221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3"/>
    </w:p>
    <w:p w:rsidR="003F56A5" w:rsidRDefault="00147B03">
      <w:pPr>
        <w:ind w:leftChars="200" w:left="420"/>
        <w:outlineLvl w:val="1"/>
        <w:rPr>
          <w:rFonts w:ascii="楷体" w:eastAsia="楷体" w:hAnsi="楷体"/>
          <w:b/>
          <w:sz w:val="24"/>
          <w:szCs w:val="24"/>
        </w:rPr>
      </w:pPr>
      <w:bookmarkStart w:id="44" w:name="_Toc153272220"/>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C85762" w:rsidRPr="00C85762">
        <w:rPr>
          <w:rFonts w:ascii="楷体" w:eastAsia="楷体" w:hAnsi="楷体" w:hint="eastAsia"/>
          <w:b/>
          <w:sz w:val="24"/>
          <w:szCs w:val="24"/>
        </w:rPr>
        <w:t>期价震荡运行，基差偏弱</w:t>
      </w:r>
      <w:bookmarkEnd w:id="44"/>
    </w:p>
    <w:p w:rsidR="003F56A5" w:rsidRDefault="00C85762">
      <w:pPr>
        <w:ind w:leftChars="300" w:left="630"/>
        <w:rPr>
          <w:rFonts w:ascii="楷体" w:eastAsia="楷体" w:hAnsi="楷体"/>
          <w:sz w:val="24"/>
          <w:szCs w:val="24"/>
        </w:rPr>
      </w:pPr>
      <w:r w:rsidRPr="00C85762">
        <w:rPr>
          <w:rFonts w:ascii="楷体" w:eastAsia="楷体" w:hAnsi="楷体" w:hint="eastAsia"/>
          <w:sz w:val="24"/>
          <w:szCs w:val="24"/>
        </w:rPr>
        <w:t>虽12月USDA报告对巴西大豆的下调幅度不及预期，但当前对作物生长担忧仍存，叠加出口需求好转提振，CBOT大豆止跌转升，支撑内盘期价。随着美豆定产后，市场定价中心逐步转向南美，巴西天气不确定性仍存，目前种植进度落后于去年同期及五年均值水平为75.2%，虽当前美农报告对南美产量调整不及预期，但中长期南美丰产预期能否兑现仍是后续价格走势的关键，关注巴西后续天气及种植情况。国内现货基差延续偏弱，供应</w:t>
      </w:r>
      <w:r w:rsidRPr="00C85762">
        <w:rPr>
          <w:rFonts w:ascii="楷体" w:eastAsia="楷体" w:hAnsi="楷体" w:hint="eastAsia"/>
          <w:sz w:val="24"/>
          <w:szCs w:val="24"/>
        </w:rPr>
        <w:lastRenderedPageBreak/>
        <w:t>端进入11月份后，随着进口大豆到港增加，油厂大豆库存开始回升，油厂开机率提升，豆粕产出增加，但因下游成交未见明显好转，豆粕库存较前一周增至73.79万吨，当前沿海主流油厂豆粕现货报价上调至3950-4050元/吨。但11月份进口大豆到港不及预期，为792万吨，叠加近期华北延迟到港问题，支撑油厂挺价情绪。需求，下游生猪养殖利润维持亏损，但在能繁存栏高位下，下游随采随用，保持安全库存。菜粕供应存宽松预期。在11月份后随着菜籽进口增加，菜粕供应预计转宽，目前菜籽库存以及油厂开机均有明显提升。而需求方面，随着水产消费旺季的结束，菜粕刚需减少，但在豆菜粕价差较大下提振菜粕的替代需求。策略方面，短期震荡调整，建议豆粕短线顺势操作，暂看波动区间2850-4100，菜粕建议短线顺势操作，近月压力仍较大，可关注1-5反套机会</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5" w:name="_Toc153272221"/>
      <w:r>
        <w:rPr>
          <w:rFonts w:ascii="楷体" w:eastAsia="楷体" w:hAnsi="楷体" w:hint="eastAsia"/>
          <w:b/>
          <w:color w:val="000000" w:themeColor="text1"/>
          <w:sz w:val="24"/>
          <w:szCs w:val="24"/>
        </w:rPr>
        <w:t>油脂：</w:t>
      </w:r>
      <w:r w:rsidR="00C85762" w:rsidRPr="00C85762">
        <w:rPr>
          <w:rFonts w:ascii="楷体" w:eastAsia="楷体" w:hAnsi="楷体" w:hint="eastAsia"/>
          <w:b/>
          <w:sz w:val="24"/>
          <w:szCs w:val="24"/>
        </w:rPr>
        <w:t>短期期价反弹预计有限，等待MPOB报告进一步指引</w:t>
      </w:r>
      <w:bookmarkEnd w:id="45"/>
    </w:p>
    <w:p w:rsidR="003F56A5" w:rsidRDefault="00C85762" w:rsidP="00792D31">
      <w:pPr>
        <w:ind w:leftChars="300" w:left="630"/>
        <w:rPr>
          <w:rFonts w:ascii="楷体" w:eastAsia="楷体" w:hAnsi="楷体"/>
          <w:sz w:val="24"/>
          <w:szCs w:val="24"/>
        </w:rPr>
      </w:pPr>
      <w:r w:rsidRPr="00C85762">
        <w:rPr>
          <w:rFonts w:ascii="楷体" w:eastAsia="楷体" w:hAnsi="楷体" w:hint="eastAsia"/>
          <w:sz w:val="24"/>
          <w:szCs w:val="24"/>
        </w:rPr>
        <w:t>在马棕月初产量减幅较大影响下，拉动油脂反弹，但国内油脂高库存压力抑制，油脂整体震荡调整为主，当前处于移仓换月阶段，预计反弹空间有限，关注MPOB报告进一步指引。棕榈油，产地11月份进入季节性减产周期，库存压力逐步释放，且中长期在厄尔尼诺现象扰动下，价格下方存支撑，但短期未见异常。印尼棕榈油9月份产需双增，但产量增幅不及需求，库存环比下降。而马棕10月份在产需双增下，库存增幅不及市场预期。四季度主要关注厄尔尼诺对产量的扰动，为中长期潜在利多因素。国内棕榈油9-10月份进口到港维持高位，但在高库存抑制下后续进口预计减少，最新商业库存减至94.37万吨。需求端，因节前备货，叠加价格优势显著，提振下游采购需求。豆油存供需双增预期。国内随着11月后进口大豆到港增加，油厂开机有所回升，豆油供应预计将得到补充。需求端，虽四季度为豆油消费旺季，部分掺混需求预计转向豆油，但当前价格优势并不明显，限制替代需求，成交疲软。菜油预计供需双旺。当前主产地菜籽新作处于出口阶段，集中上市压力也抑制期价走势。随着11月份后进口菜籽到港增加，菜籽开机及压榨水平提升，10月菜籽进口3.4万吨，环比减89%，且四季度菜籽进口预期宽松。需求方面，与豆油价差持续收窄，部分地区出现与豆油价格平水情况，需求好转支撑当前价格。短期油脂预计维持震荡调整，上方压力仍存，建议短线波段操作；中长期关注天气及需求表现，维持谨慎看多观点，关注做多油粕比机会</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6" w:name="_Toc153272222"/>
      <w:r>
        <w:rPr>
          <w:rFonts w:ascii="楷体" w:eastAsia="楷体" w:hAnsi="楷体" w:hint="eastAsia"/>
          <w:b/>
          <w:bCs/>
          <w:color w:val="000000" w:themeColor="text1"/>
        </w:rPr>
        <w:t>玉米与淀粉：</w:t>
      </w:r>
      <w:r w:rsidR="00C85762" w:rsidRPr="00C85762">
        <w:rPr>
          <w:rFonts w:ascii="楷体" w:eastAsia="楷体" w:hAnsi="楷体" w:hint="eastAsia"/>
          <w:b/>
        </w:rPr>
        <w:t>现货带动期价再创新低</w:t>
      </w:r>
      <w:bookmarkEnd w:id="46"/>
    </w:p>
    <w:p w:rsidR="00C85762" w:rsidRPr="00C85762" w:rsidRDefault="00C85762" w:rsidP="00C85762">
      <w:pPr>
        <w:pStyle w:val="paragraph"/>
        <w:spacing w:after="60"/>
        <w:ind w:leftChars="300" w:left="630"/>
        <w:rPr>
          <w:rFonts w:ascii="楷体" w:eastAsia="楷体" w:hAnsi="楷体" w:hint="eastAsia"/>
        </w:rPr>
      </w:pPr>
      <w:r w:rsidRPr="00C85762">
        <w:rPr>
          <w:rFonts w:ascii="楷体" w:eastAsia="楷体" w:hAnsi="楷体" w:hint="eastAsia"/>
        </w:rPr>
        <w:t>对于玉米而言，市场延续供需博弈，在余粮压力有待释放的情况下，中下游建库意愿依然疲弱，前期生猪养殖行业非瘟疫情和资金链问题的担忧带动玉米期价创出新低。在这种情况下，除了需要继续关注上游农户的惜售心理外，中下游还需要特别留意生猪价格和行业动向，因其可能带来建库意愿的变量。在这种情况下，暂维持中性，后期或转向看多，建议暂以观望为宜。</w:t>
      </w:r>
    </w:p>
    <w:p w:rsidR="003F56A5" w:rsidRDefault="00C85762" w:rsidP="00C85762">
      <w:pPr>
        <w:pStyle w:val="paragraph"/>
        <w:spacing w:before="0" w:beforeAutospacing="0" w:after="60" w:afterAutospacing="0"/>
        <w:ind w:leftChars="300" w:left="630"/>
        <w:rPr>
          <w:rFonts w:ascii="楷体" w:eastAsia="楷体" w:hAnsi="楷体"/>
        </w:rPr>
      </w:pPr>
      <w:r w:rsidRPr="00C85762">
        <w:rPr>
          <w:rFonts w:ascii="楷体" w:eastAsia="楷体" w:hAnsi="楷体" w:hint="eastAsia"/>
        </w:rPr>
        <w:t>对于淀粉而言，分析市场可以看出，近期淀粉行业供需端的利空与副产品端的利空大致相互抵消，而现货基差则带来一定支撑，市场更多关注</w:t>
      </w:r>
      <w:r w:rsidRPr="00C85762">
        <w:rPr>
          <w:rFonts w:ascii="楷体" w:eastAsia="楷体" w:hAnsi="楷体" w:hint="eastAsia"/>
        </w:rPr>
        <w:lastRenderedPageBreak/>
        <w:t>原料成本端，短期更多源于华北-东北产区玉米价差的变动，其中长期方向性仍有待评估。在这种情况下，我们维持中性观点，单边建议暂以观望为宜，可轻仓参与淀粉-玉米价差走扩套利</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7" w:name="_Toc153272223"/>
      <w:r>
        <w:rPr>
          <w:rFonts w:ascii="楷体" w:eastAsia="楷体" w:hAnsi="楷体" w:hint="eastAsia"/>
          <w:b/>
          <w:bCs/>
          <w:color w:val="000000" w:themeColor="text1"/>
        </w:rPr>
        <w:t>畜禽养殖：</w:t>
      </w:r>
      <w:r w:rsidR="00C85762" w:rsidRPr="00C85762">
        <w:rPr>
          <w:rFonts w:ascii="楷体" w:eastAsia="楷体" w:hAnsi="楷体" w:hint="eastAsia"/>
          <w:b/>
          <w:bCs/>
          <w:color w:val="000000" w:themeColor="text1"/>
        </w:rPr>
        <w:t>关注生猪现货反弹的持续性</w:t>
      </w:r>
      <w:bookmarkEnd w:id="47"/>
    </w:p>
    <w:p w:rsidR="00C85762" w:rsidRPr="00C85762" w:rsidRDefault="00C85762" w:rsidP="00C85762">
      <w:pPr>
        <w:pStyle w:val="paragraph"/>
        <w:spacing w:after="60"/>
        <w:ind w:leftChars="300" w:left="630"/>
        <w:rPr>
          <w:rFonts w:ascii="楷体" w:eastAsia="楷体" w:hAnsi="楷体" w:hint="eastAsia"/>
        </w:rPr>
      </w:pPr>
      <w:r w:rsidRPr="00C85762">
        <w:rPr>
          <w:rFonts w:ascii="楷体" w:eastAsia="楷体" w:hAnsi="楷体" w:hint="eastAsia"/>
        </w:rPr>
        <w:t>对于生猪而言，分析市场可以看出，现货在非瘟疫情和产业链资金问题的带动下，养殖户生猪出栏增加，现货持续下跌，在这种情况下，市场倾向于认为生猪提前出栏减少节后供应，且生猪产能去化带来周期见底，期价结构彻底转为远月升水结构，这一乐观预期存在一定合理性，但也存在较大的不确定性。分合约来看，近月即1月合约需要继续留意被动性出栏的情况，因从养殖利润和价差结构来看，主动提前出栏的积极性趋于下降，此外，需求端亦有可能趋于改善，因目前逐步进入春节前需求旺季，其反弹的可能性更大，但合约存续期相对受限。对于3月和5月合约而言，其不确定性主要源于生猪提前出栏的数量，参考农业农村部公布的季度末存栏和各家机构公布的出栏数据（商务部公布的规模以上屠宰企业屠宰量、涌益咨询公布的屠宰开机率和日度屠宰量）来看，3季度仔猪增量对应明年1季度出栏量依然较大。对于更远期合约而言，其不确定性则源于生猪产能去化的幅度， 其一可以参考去年现货崩盘后产能去化幅度，其二则是规模企业当前已公布的出栏目标。综上所述，基于各合约不确定性的考虑，维持中性观点，建议投资者观望为宜。</w:t>
      </w:r>
    </w:p>
    <w:p w:rsidR="003F56A5" w:rsidRDefault="00C85762" w:rsidP="00C85762">
      <w:pPr>
        <w:pStyle w:val="paragraph"/>
        <w:spacing w:before="0" w:beforeAutospacing="0" w:after="60" w:afterAutospacing="0"/>
        <w:ind w:leftChars="300" w:left="630"/>
        <w:rPr>
          <w:rFonts w:ascii="楷体" w:eastAsia="楷体" w:hAnsi="楷体"/>
        </w:rPr>
      </w:pPr>
      <w:r w:rsidRPr="00C85762">
        <w:rPr>
          <w:rFonts w:ascii="楷体" w:eastAsia="楷体" w:hAnsi="楷体" w:hint="eastAsia"/>
        </w:rPr>
        <w:t>对于鸡蛋而言，从供需角度看，卓创资讯数据显示，在产蛋鸡存栏连续环比增加，考虑到今年节后以来蛋鸡苗销量均同比增加，而蛋鸡淘汰量持续处于历史低位水平，蛋鸡淘汰日龄则持续位于历史同期高位，由此可以看出，后期鸡蛋供需有望继续趋于改善，叠加整个动物蛋白供需过剩的大背景，鸡蛋期现货价格或仍有下跌空间。在这种情况下，接下来一方面需要留意养殖户淘汰和补栏积极性的变化，因其影响远期供需预期，另一方面需要留意行业现货库存变动，因其影响接下来特别是春节前后现货波动节奏。在这种情况下，我们倾向于鸡蛋期价或趋于震荡调整，在这个过程中，市场将根据季节性旺季期间的现货表现来判断接下来特别是春节后的鸡蛋供需状况。在这种情况下，我们维持中性观点，建议投资者观望为宜</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8" w:name="_Toc153272224"/>
      <w:r>
        <w:rPr>
          <w:rFonts w:ascii="楷体" w:eastAsia="楷体" w:hAnsi="楷体" w:hint="eastAsia"/>
          <w:b/>
          <w:sz w:val="24"/>
          <w:szCs w:val="24"/>
        </w:rPr>
        <w:t>郑棉：</w:t>
      </w:r>
      <w:r w:rsidR="00C85762" w:rsidRPr="00C85762">
        <w:rPr>
          <w:rFonts w:ascii="楷体" w:eastAsia="楷体" w:hAnsi="楷体" w:hint="eastAsia"/>
          <w:b/>
          <w:sz w:val="24"/>
          <w:szCs w:val="24"/>
        </w:rPr>
        <w:t>震荡整理，尝试站稳20日均线</w:t>
      </w:r>
      <w:bookmarkEnd w:id="48"/>
    </w:p>
    <w:p w:rsidR="003F56A5" w:rsidRDefault="00C85762" w:rsidP="007B3290">
      <w:pPr>
        <w:ind w:leftChars="300" w:left="630"/>
        <w:rPr>
          <w:rFonts w:ascii="楷体" w:eastAsia="楷体" w:hAnsi="楷体"/>
          <w:sz w:val="24"/>
          <w:szCs w:val="24"/>
        </w:rPr>
      </w:pPr>
      <w:r w:rsidRPr="00C85762">
        <w:rPr>
          <w:rFonts w:ascii="楷体" w:eastAsia="楷体" w:hAnsi="楷体" w:hint="eastAsia"/>
          <w:sz w:val="24"/>
          <w:szCs w:val="24"/>
        </w:rPr>
        <w:t>美农在最新供需报告中下调2023/24年度中国棉花消费量，上调进口量，报告利空国内棉价。随着前期棉花棉纱价格大幅下跌释放利空，近期下游形势略有好转。不过，近期仓单急速增加，仓单加有效预报已升至7200＋张，同比增加近5900张，仓单的激增与上方套保压力或限制其反弹高度</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296325" w:rsidRDefault="00296325" w:rsidP="00296325">
      <w:pPr>
        <w:ind w:leftChars="200" w:left="420"/>
        <w:outlineLvl w:val="1"/>
        <w:rPr>
          <w:rFonts w:ascii="楷体" w:eastAsia="楷体" w:hAnsi="楷体"/>
          <w:b/>
          <w:sz w:val="24"/>
          <w:szCs w:val="24"/>
        </w:rPr>
      </w:pPr>
      <w:bookmarkStart w:id="49" w:name="_Toc153272225"/>
      <w:r>
        <w:rPr>
          <w:rFonts w:ascii="楷体" w:eastAsia="楷体" w:hAnsi="楷体" w:hint="eastAsia"/>
          <w:b/>
          <w:sz w:val="24"/>
          <w:szCs w:val="24"/>
        </w:rPr>
        <w:t>白糖：</w:t>
      </w:r>
      <w:r w:rsidR="00C85762" w:rsidRPr="00C85762">
        <w:rPr>
          <w:rFonts w:ascii="楷体" w:eastAsia="楷体" w:hAnsi="楷体" w:hint="eastAsia"/>
          <w:b/>
          <w:sz w:val="24"/>
          <w:szCs w:val="24"/>
        </w:rPr>
        <w:t>跳空低开，偏弱震荡</w:t>
      </w:r>
      <w:bookmarkEnd w:id="49"/>
    </w:p>
    <w:p w:rsidR="00296325" w:rsidRDefault="00C85762" w:rsidP="00296325">
      <w:pPr>
        <w:ind w:leftChars="300" w:left="630"/>
        <w:rPr>
          <w:rFonts w:ascii="楷体" w:eastAsia="楷体" w:hAnsi="楷体"/>
          <w:sz w:val="24"/>
          <w:szCs w:val="24"/>
        </w:rPr>
      </w:pPr>
      <w:r w:rsidRPr="00C85762">
        <w:rPr>
          <w:rFonts w:ascii="楷体" w:eastAsia="楷体" w:hAnsi="楷体" w:hint="eastAsia"/>
          <w:sz w:val="24"/>
          <w:szCs w:val="24"/>
        </w:rPr>
        <w:t>咨询机构StoneX预计巴西中南部地区2024/25年度糖产量预计达到创纪录的4320万吨，较上年增长3.3%。巴西糖厂预计在2024/25年度将51.4%</w:t>
      </w:r>
      <w:r w:rsidRPr="00C85762">
        <w:rPr>
          <w:rFonts w:ascii="楷体" w:eastAsia="楷体" w:hAnsi="楷体" w:hint="eastAsia"/>
          <w:sz w:val="24"/>
          <w:szCs w:val="24"/>
        </w:rPr>
        <w:lastRenderedPageBreak/>
        <w:t>的甘蔗用于制糖，高于上年的49%。印度欲行政干预使得甘蔗用于生产白糖而非乙醇。国际原糖未能企稳，在多头资金大量离场驱动下再次向下暴跌。国内新糖上市，传闻本榨季广西有望增产15%—20%。10月进口量大增至92.5万吨。供应短期内趋向宽松，尾随国际糖价继续走弱</w:t>
      </w:r>
      <w:r w:rsidR="00296325">
        <w:rPr>
          <w:rFonts w:ascii="楷体" w:eastAsia="楷体" w:hAnsi="楷体" w:hint="eastAsia"/>
          <w:sz w:val="24"/>
          <w:szCs w:val="24"/>
        </w:rPr>
        <w:t>。</w:t>
      </w:r>
    </w:p>
    <w:p w:rsidR="00296325" w:rsidRPr="00296325" w:rsidRDefault="00296325">
      <w:pPr>
        <w:ind w:firstLineChars="200" w:firstLine="480"/>
        <w:rPr>
          <w:rFonts w:ascii="楷体" w:eastAsia="楷体" w:hAnsi="楷体"/>
          <w:bCs/>
          <w:sz w:val="24"/>
          <w:szCs w:val="24"/>
        </w:rPr>
      </w:pPr>
    </w:p>
    <w:p w:rsidR="00152664" w:rsidRDefault="00152664" w:rsidP="00152664">
      <w:pPr>
        <w:pBdr>
          <w:top w:val="single" w:sz="4" w:space="0" w:color="auto"/>
        </w:pBdr>
        <w:outlineLvl w:val="0"/>
        <w:rPr>
          <w:rFonts w:ascii="Times New Roman" w:eastAsia="楷体" w:hAnsi="Times New Roman"/>
          <w:b/>
          <w:color w:val="823C0B"/>
        </w:rPr>
      </w:pPr>
      <w:bookmarkStart w:id="50" w:name="_Toc153272226"/>
      <w:r>
        <w:rPr>
          <w:rFonts w:ascii="Times New Roman" w:eastAsia="楷体" w:hAnsi="Times New Roman" w:hint="eastAsia"/>
          <w:b/>
          <w:color w:val="823C0B"/>
          <w:sz w:val="30"/>
          <w:szCs w:val="30"/>
        </w:rPr>
        <w:t>[</w:t>
      </w:r>
      <w:r w:rsidRPr="00152664">
        <w:rPr>
          <w:rFonts w:ascii="Times New Roman" w:eastAsia="楷体" w:hAnsi="Times New Roman" w:hint="eastAsia"/>
          <w:b/>
          <w:color w:val="823C0B"/>
          <w:sz w:val="30"/>
          <w:szCs w:val="30"/>
        </w:rPr>
        <w:t>指数</w:t>
      </w:r>
      <w:r>
        <w:rPr>
          <w:rFonts w:ascii="Times New Roman" w:eastAsia="楷体" w:hAnsi="Times New Roman" w:hint="eastAsia"/>
          <w:b/>
          <w:color w:val="823C0B"/>
          <w:sz w:val="30"/>
          <w:szCs w:val="30"/>
        </w:rPr>
        <w:t>]</w:t>
      </w:r>
      <w:bookmarkEnd w:id="50"/>
    </w:p>
    <w:p w:rsidR="00152664" w:rsidRDefault="00152664" w:rsidP="00152664">
      <w:pPr>
        <w:ind w:leftChars="200" w:left="420"/>
        <w:outlineLvl w:val="1"/>
        <w:rPr>
          <w:rFonts w:ascii="Times New Roman" w:eastAsia="楷体" w:hAnsi="Times New Roman"/>
          <w:b/>
          <w:color w:val="000000" w:themeColor="text1"/>
          <w:sz w:val="24"/>
          <w:szCs w:val="24"/>
        </w:rPr>
      </w:pPr>
      <w:bookmarkStart w:id="51" w:name="_Toc153272227"/>
      <w:r w:rsidRPr="00152664">
        <w:rPr>
          <w:rFonts w:ascii="Times New Roman" w:eastAsia="楷体" w:hAnsi="Times New Roman" w:hint="eastAsia"/>
          <w:b/>
          <w:color w:val="000000" w:themeColor="text1"/>
          <w:sz w:val="24"/>
          <w:szCs w:val="24"/>
        </w:rPr>
        <w:t>集运指数（欧线）</w:t>
      </w:r>
      <w:r>
        <w:rPr>
          <w:rFonts w:ascii="Times New Roman" w:eastAsia="楷体" w:hAnsi="Times New Roman" w:hint="eastAsia"/>
          <w:b/>
          <w:color w:val="000000" w:themeColor="text1"/>
          <w:sz w:val="24"/>
          <w:szCs w:val="24"/>
        </w:rPr>
        <w:t>：</w:t>
      </w:r>
      <w:r w:rsidR="00B86490" w:rsidRPr="00B86490">
        <w:rPr>
          <w:rFonts w:ascii="Times New Roman" w:eastAsia="楷体" w:hAnsi="Times New Roman" w:hint="eastAsia"/>
          <w:b/>
          <w:color w:val="000000" w:themeColor="text1"/>
          <w:sz w:val="24"/>
          <w:szCs w:val="24"/>
        </w:rPr>
        <w:t>SCFIS</w:t>
      </w:r>
      <w:r w:rsidR="00B86490" w:rsidRPr="00B86490">
        <w:rPr>
          <w:rFonts w:ascii="Times New Roman" w:eastAsia="楷体" w:hAnsi="Times New Roman" w:hint="eastAsia"/>
          <w:b/>
          <w:color w:val="000000" w:themeColor="text1"/>
          <w:sz w:val="24"/>
          <w:szCs w:val="24"/>
        </w:rPr>
        <w:t>数据公布超预期，预计</w:t>
      </w:r>
      <w:r w:rsidR="00B86490" w:rsidRPr="00B86490">
        <w:rPr>
          <w:rFonts w:ascii="Times New Roman" w:eastAsia="楷体" w:hAnsi="Times New Roman" w:hint="eastAsia"/>
          <w:b/>
          <w:color w:val="000000" w:themeColor="text1"/>
          <w:sz w:val="24"/>
          <w:szCs w:val="24"/>
        </w:rPr>
        <w:t>EC</w:t>
      </w:r>
      <w:r w:rsidR="00B86490" w:rsidRPr="00B86490">
        <w:rPr>
          <w:rFonts w:ascii="Times New Roman" w:eastAsia="楷体" w:hAnsi="Times New Roman" w:hint="eastAsia"/>
          <w:b/>
          <w:color w:val="000000" w:themeColor="text1"/>
          <w:sz w:val="24"/>
          <w:szCs w:val="24"/>
        </w:rPr>
        <w:t>保持高位震荡</w:t>
      </w:r>
      <w:bookmarkEnd w:id="51"/>
    </w:p>
    <w:p w:rsidR="00B86490" w:rsidRPr="00B86490" w:rsidRDefault="00B86490" w:rsidP="00B86490">
      <w:pPr>
        <w:ind w:leftChars="300" w:left="630"/>
        <w:rPr>
          <w:rFonts w:ascii="Times New Roman" w:eastAsia="楷体" w:hAnsi="Times New Roman" w:hint="eastAsia"/>
          <w:color w:val="000000" w:themeColor="text1"/>
          <w:sz w:val="24"/>
          <w:szCs w:val="24"/>
        </w:rPr>
      </w:pPr>
      <w:r w:rsidRPr="00B86490">
        <w:rPr>
          <w:rFonts w:ascii="Times New Roman" w:eastAsia="楷体" w:hAnsi="Times New Roman" w:hint="eastAsia"/>
          <w:color w:val="000000" w:themeColor="text1"/>
          <w:sz w:val="24"/>
          <w:szCs w:val="24"/>
        </w:rPr>
        <w:t>昨天，盘后公布的</w:t>
      </w:r>
      <w:r w:rsidRPr="00B86490">
        <w:rPr>
          <w:rFonts w:ascii="Times New Roman" w:eastAsia="楷体" w:hAnsi="Times New Roman" w:hint="eastAsia"/>
          <w:color w:val="000000" w:themeColor="text1"/>
          <w:sz w:val="24"/>
          <w:szCs w:val="24"/>
        </w:rPr>
        <w:t>SCFIS</w:t>
      </w:r>
      <w:r w:rsidRPr="00B86490">
        <w:rPr>
          <w:rFonts w:ascii="Times New Roman" w:eastAsia="楷体" w:hAnsi="Times New Roman" w:hint="eastAsia"/>
          <w:color w:val="000000" w:themeColor="text1"/>
          <w:sz w:val="24"/>
          <w:szCs w:val="24"/>
        </w:rPr>
        <w:t>大涨至</w:t>
      </w:r>
      <w:r w:rsidRPr="00B86490">
        <w:rPr>
          <w:rFonts w:ascii="Times New Roman" w:eastAsia="楷体" w:hAnsi="Times New Roman" w:hint="eastAsia"/>
          <w:color w:val="000000" w:themeColor="text1"/>
          <w:sz w:val="24"/>
          <w:szCs w:val="24"/>
        </w:rPr>
        <w:t>939.57</w:t>
      </w:r>
      <w:r w:rsidRPr="00B86490">
        <w:rPr>
          <w:rFonts w:ascii="Times New Roman" w:eastAsia="楷体" w:hAnsi="Times New Roman" w:hint="eastAsia"/>
          <w:color w:val="000000" w:themeColor="text1"/>
          <w:sz w:val="24"/>
          <w:szCs w:val="24"/>
        </w:rPr>
        <w:t>点对应实际运价约</w:t>
      </w:r>
      <w:r w:rsidRPr="00B86490">
        <w:rPr>
          <w:rFonts w:ascii="Times New Roman" w:eastAsia="楷体" w:hAnsi="Times New Roman" w:hint="eastAsia"/>
          <w:color w:val="000000" w:themeColor="text1"/>
          <w:sz w:val="24"/>
          <w:szCs w:val="24"/>
        </w:rPr>
        <w:t>850</w:t>
      </w:r>
      <w:r w:rsidRPr="00B86490">
        <w:rPr>
          <w:rFonts w:ascii="Times New Roman" w:eastAsia="楷体" w:hAnsi="Times New Roman" w:hint="eastAsia"/>
          <w:color w:val="000000" w:themeColor="text1"/>
          <w:sz w:val="24"/>
          <w:szCs w:val="24"/>
        </w:rPr>
        <w:t>美元</w:t>
      </w:r>
      <w:r w:rsidRPr="00B86490">
        <w:rPr>
          <w:rFonts w:ascii="Times New Roman" w:eastAsia="楷体" w:hAnsi="Times New Roman" w:hint="eastAsia"/>
          <w:color w:val="000000" w:themeColor="text1"/>
          <w:sz w:val="24"/>
          <w:szCs w:val="24"/>
        </w:rPr>
        <w:t>/TEU</w:t>
      </w:r>
      <w:r w:rsidRPr="00B86490">
        <w:rPr>
          <w:rFonts w:ascii="Times New Roman" w:eastAsia="楷体" w:hAnsi="Times New Roman" w:hint="eastAsia"/>
          <w:color w:val="000000" w:themeColor="text1"/>
          <w:sz w:val="24"/>
          <w:szCs w:val="24"/>
        </w:rPr>
        <w:t>和</w:t>
      </w:r>
      <w:r w:rsidRPr="00B86490">
        <w:rPr>
          <w:rFonts w:ascii="Times New Roman" w:eastAsia="楷体" w:hAnsi="Times New Roman" w:hint="eastAsia"/>
          <w:color w:val="000000" w:themeColor="text1"/>
          <w:sz w:val="24"/>
          <w:szCs w:val="24"/>
        </w:rPr>
        <w:t>1500</w:t>
      </w:r>
      <w:r w:rsidRPr="00B86490">
        <w:rPr>
          <w:rFonts w:ascii="Times New Roman" w:eastAsia="楷体" w:hAnsi="Times New Roman" w:hint="eastAsia"/>
          <w:color w:val="000000" w:themeColor="text1"/>
          <w:sz w:val="24"/>
          <w:szCs w:val="24"/>
        </w:rPr>
        <w:t>美元</w:t>
      </w:r>
      <w:r w:rsidRPr="00B86490">
        <w:rPr>
          <w:rFonts w:ascii="Times New Roman" w:eastAsia="楷体" w:hAnsi="Times New Roman" w:hint="eastAsia"/>
          <w:color w:val="000000" w:themeColor="text1"/>
          <w:sz w:val="24"/>
          <w:szCs w:val="24"/>
        </w:rPr>
        <w:t>/FEU</w:t>
      </w:r>
      <w:r w:rsidRPr="00B86490">
        <w:rPr>
          <w:rFonts w:ascii="Times New Roman" w:eastAsia="楷体" w:hAnsi="Times New Roman" w:hint="eastAsia"/>
          <w:color w:val="000000" w:themeColor="text1"/>
          <w:sz w:val="24"/>
          <w:szCs w:val="24"/>
        </w:rPr>
        <w:t>，涨幅超</w:t>
      </w:r>
      <w:r w:rsidRPr="00B86490">
        <w:rPr>
          <w:rFonts w:ascii="Times New Roman" w:eastAsia="楷体" w:hAnsi="Times New Roman" w:hint="eastAsia"/>
          <w:color w:val="000000" w:themeColor="text1"/>
          <w:sz w:val="24"/>
          <w:szCs w:val="24"/>
        </w:rPr>
        <w:t>24%</w:t>
      </w:r>
      <w:r w:rsidRPr="00B86490">
        <w:rPr>
          <w:rFonts w:ascii="Times New Roman" w:eastAsia="楷体" w:hAnsi="Times New Roman" w:hint="eastAsia"/>
          <w:color w:val="000000" w:themeColor="text1"/>
          <w:sz w:val="24"/>
          <w:szCs w:val="24"/>
        </w:rPr>
        <w:t>。对应两周前</w:t>
      </w:r>
      <w:r w:rsidRPr="00B86490">
        <w:rPr>
          <w:rFonts w:ascii="Times New Roman" w:eastAsia="楷体" w:hAnsi="Times New Roman" w:hint="eastAsia"/>
          <w:color w:val="000000" w:themeColor="text1"/>
          <w:sz w:val="24"/>
          <w:szCs w:val="24"/>
        </w:rPr>
        <w:t>SCFI</w:t>
      </w:r>
      <w:r w:rsidRPr="00B86490">
        <w:rPr>
          <w:rFonts w:ascii="Times New Roman" w:eastAsia="楷体" w:hAnsi="Times New Roman" w:hint="eastAsia"/>
          <w:color w:val="000000" w:themeColor="text1"/>
          <w:sz w:val="24"/>
          <w:szCs w:val="24"/>
        </w:rPr>
        <w:t>欧线数据上涨幅度约</w:t>
      </w:r>
      <w:r w:rsidRPr="00B86490">
        <w:rPr>
          <w:rFonts w:ascii="Times New Roman" w:eastAsia="楷体" w:hAnsi="Times New Roman" w:hint="eastAsia"/>
          <w:color w:val="000000" w:themeColor="text1"/>
          <w:sz w:val="24"/>
          <w:szCs w:val="24"/>
        </w:rPr>
        <w:t>10%</w:t>
      </w:r>
      <w:r w:rsidRPr="00B86490">
        <w:rPr>
          <w:rFonts w:ascii="Times New Roman" w:eastAsia="楷体" w:hAnsi="Times New Roman" w:hint="eastAsia"/>
          <w:color w:val="000000" w:themeColor="text1"/>
          <w:sz w:val="24"/>
          <w:szCs w:val="24"/>
        </w:rPr>
        <w:t>，显示</w:t>
      </w:r>
      <w:r w:rsidRPr="00B86490">
        <w:rPr>
          <w:rFonts w:ascii="Times New Roman" w:eastAsia="楷体" w:hAnsi="Times New Roman" w:hint="eastAsia"/>
          <w:color w:val="000000" w:themeColor="text1"/>
          <w:sz w:val="24"/>
          <w:szCs w:val="24"/>
        </w:rPr>
        <w:t>12</w:t>
      </w:r>
      <w:r w:rsidRPr="00B86490">
        <w:rPr>
          <w:rFonts w:ascii="Times New Roman" w:eastAsia="楷体" w:hAnsi="Times New Roman" w:hint="eastAsia"/>
          <w:color w:val="000000" w:themeColor="text1"/>
          <w:sz w:val="24"/>
          <w:szCs w:val="24"/>
        </w:rPr>
        <w:t>月上旬运价提涨幅度略超市场预期。供应端方面，达飞、马士基亚欧航线的</w:t>
      </w:r>
      <w:r w:rsidRPr="00B86490">
        <w:rPr>
          <w:rFonts w:ascii="Times New Roman" w:eastAsia="楷体" w:hAnsi="Times New Roman" w:hint="eastAsia"/>
          <w:color w:val="000000" w:themeColor="text1"/>
          <w:sz w:val="24"/>
          <w:szCs w:val="24"/>
        </w:rPr>
        <w:t>FAK</w:t>
      </w:r>
      <w:r w:rsidRPr="00B86490">
        <w:rPr>
          <w:rFonts w:ascii="Times New Roman" w:eastAsia="楷体" w:hAnsi="Times New Roman" w:hint="eastAsia"/>
          <w:color w:val="000000" w:themeColor="text1"/>
          <w:sz w:val="24"/>
          <w:szCs w:val="24"/>
        </w:rPr>
        <w:t>费率将继续上调并将于</w:t>
      </w:r>
      <w:r w:rsidRPr="00B86490">
        <w:rPr>
          <w:rFonts w:ascii="Times New Roman" w:eastAsia="楷体" w:hAnsi="Times New Roman" w:hint="eastAsia"/>
          <w:color w:val="000000" w:themeColor="text1"/>
          <w:sz w:val="24"/>
          <w:szCs w:val="24"/>
        </w:rPr>
        <w:t>2024</w:t>
      </w:r>
      <w:r w:rsidRPr="00B86490">
        <w:rPr>
          <w:rFonts w:ascii="Times New Roman" w:eastAsia="楷体" w:hAnsi="Times New Roman" w:hint="eastAsia"/>
          <w:color w:val="000000" w:themeColor="text1"/>
          <w:sz w:val="24"/>
          <w:szCs w:val="24"/>
        </w:rPr>
        <w:t>年</w:t>
      </w:r>
      <w:r w:rsidRPr="00B86490">
        <w:rPr>
          <w:rFonts w:ascii="Times New Roman" w:eastAsia="楷体" w:hAnsi="Times New Roman" w:hint="eastAsia"/>
          <w:color w:val="000000" w:themeColor="text1"/>
          <w:sz w:val="24"/>
          <w:szCs w:val="24"/>
        </w:rPr>
        <w:t>1</w:t>
      </w:r>
      <w:r w:rsidRPr="00B86490">
        <w:rPr>
          <w:rFonts w:ascii="Times New Roman" w:eastAsia="楷体" w:hAnsi="Times New Roman" w:hint="eastAsia"/>
          <w:color w:val="000000" w:themeColor="text1"/>
          <w:sz w:val="24"/>
          <w:szCs w:val="24"/>
        </w:rPr>
        <w:t>月</w:t>
      </w:r>
      <w:r w:rsidRPr="00B86490">
        <w:rPr>
          <w:rFonts w:ascii="Times New Roman" w:eastAsia="楷体" w:hAnsi="Times New Roman" w:hint="eastAsia"/>
          <w:color w:val="000000" w:themeColor="text1"/>
          <w:sz w:val="24"/>
          <w:szCs w:val="24"/>
        </w:rPr>
        <w:t>1</w:t>
      </w:r>
      <w:r w:rsidRPr="00B86490">
        <w:rPr>
          <w:rFonts w:ascii="Times New Roman" w:eastAsia="楷体" w:hAnsi="Times New Roman" w:hint="eastAsia"/>
          <w:color w:val="000000" w:themeColor="text1"/>
          <w:sz w:val="24"/>
          <w:szCs w:val="24"/>
        </w:rPr>
        <w:t>日起生效。外需方面，</w:t>
      </w:r>
      <w:r w:rsidRPr="00B86490">
        <w:rPr>
          <w:rFonts w:ascii="Times New Roman" w:eastAsia="楷体" w:hAnsi="Times New Roman" w:hint="eastAsia"/>
          <w:color w:val="000000" w:themeColor="text1"/>
          <w:sz w:val="24"/>
          <w:szCs w:val="24"/>
        </w:rPr>
        <w:t>11</w:t>
      </w:r>
      <w:r w:rsidRPr="00B86490">
        <w:rPr>
          <w:rFonts w:ascii="Times New Roman" w:eastAsia="楷体" w:hAnsi="Times New Roman" w:hint="eastAsia"/>
          <w:color w:val="000000" w:themeColor="text1"/>
          <w:sz w:val="24"/>
          <w:szCs w:val="24"/>
        </w:rPr>
        <w:t>月欧元区制造业</w:t>
      </w:r>
      <w:r w:rsidRPr="00B86490">
        <w:rPr>
          <w:rFonts w:ascii="Times New Roman" w:eastAsia="楷体" w:hAnsi="Times New Roman" w:hint="eastAsia"/>
          <w:color w:val="000000" w:themeColor="text1"/>
          <w:sz w:val="24"/>
          <w:szCs w:val="24"/>
        </w:rPr>
        <w:t>PMI</w:t>
      </w:r>
      <w:r w:rsidRPr="00B86490">
        <w:rPr>
          <w:rFonts w:ascii="Times New Roman" w:eastAsia="楷体" w:hAnsi="Times New Roman" w:hint="eastAsia"/>
          <w:color w:val="000000" w:themeColor="text1"/>
          <w:sz w:val="24"/>
          <w:szCs w:val="24"/>
        </w:rPr>
        <w:t>数据为</w:t>
      </w:r>
      <w:r w:rsidRPr="00B86490">
        <w:rPr>
          <w:rFonts w:ascii="Times New Roman" w:eastAsia="楷体" w:hAnsi="Times New Roman" w:hint="eastAsia"/>
          <w:color w:val="000000" w:themeColor="text1"/>
          <w:sz w:val="24"/>
          <w:szCs w:val="24"/>
        </w:rPr>
        <w:t>43.8</w:t>
      </w:r>
      <w:r w:rsidRPr="00B86490">
        <w:rPr>
          <w:rFonts w:ascii="Times New Roman" w:eastAsia="楷体" w:hAnsi="Times New Roman" w:hint="eastAsia"/>
          <w:color w:val="000000" w:themeColor="text1"/>
          <w:sz w:val="24"/>
          <w:szCs w:val="24"/>
        </w:rPr>
        <w:t>，超过预期的</w:t>
      </w:r>
      <w:r w:rsidRPr="00B86490">
        <w:rPr>
          <w:rFonts w:ascii="Times New Roman" w:eastAsia="楷体" w:hAnsi="Times New Roman" w:hint="eastAsia"/>
          <w:color w:val="000000" w:themeColor="text1"/>
          <w:sz w:val="24"/>
          <w:szCs w:val="24"/>
        </w:rPr>
        <w:t>43.4</w:t>
      </w:r>
      <w:r w:rsidRPr="00B86490">
        <w:rPr>
          <w:rFonts w:ascii="Times New Roman" w:eastAsia="楷体" w:hAnsi="Times New Roman" w:hint="eastAsia"/>
          <w:color w:val="000000" w:themeColor="text1"/>
          <w:sz w:val="24"/>
          <w:szCs w:val="24"/>
        </w:rPr>
        <w:t>，但依然离荣枯线较远。</w:t>
      </w:r>
    </w:p>
    <w:p w:rsidR="00152664" w:rsidRDefault="00B86490" w:rsidP="00B86490">
      <w:pPr>
        <w:ind w:leftChars="300" w:left="630"/>
        <w:rPr>
          <w:rFonts w:ascii="Times New Roman" w:eastAsia="楷体" w:hAnsi="Times New Roman"/>
          <w:color w:val="000000" w:themeColor="text1"/>
          <w:sz w:val="24"/>
          <w:szCs w:val="24"/>
        </w:rPr>
      </w:pPr>
      <w:r w:rsidRPr="00B86490">
        <w:rPr>
          <w:rFonts w:ascii="Times New Roman" w:eastAsia="楷体" w:hAnsi="Times New Roman" w:hint="eastAsia"/>
          <w:color w:val="000000" w:themeColor="text1"/>
          <w:sz w:val="24"/>
          <w:szCs w:val="24"/>
        </w:rPr>
        <w:t>总体来看，近期船司密集提价引致现货指数持续向上，</w:t>
      </w:r>
      <w:r w:rsidRPr="00B86490">
        <w:rPr>
          <w:rFonts w:ascii="Times New Roman" w:eastAsia="楷体" w:hAnsi="Times New Roman" w:hint="eastAsia"/>
          <w:color w:val="000000" w:themeColor="text1"/>
          <w:sz w:val="24"/>
          <w:szCs w:val="24"/>
        </w:rPr>
        <w:t>SCFI</w:t>
      </w:r>
      <w:r w:rsidRPr="00B86490">
        <w:rPr>
          <w:rFonts w:ascii="Times New Roman" w:eastAsia="楷体" w:hAnsi="Times New Roman" w:hint="eastAsia"/>
          <w:color w:val="000000" w:themeColor="text1"/>
          <w:sz w:val="24"/>
          <w:szCs w:val="24"/>
        </w:rPr>
        <w:t>指数兑现</w:t>
      </w:r>
      <w:r w:rsidRPr="00B86490">
        <w:rPr>
          <w:rFonts w:ascii="Times New Roman" w:eastAsia="楷体" w:hAnsi="Times New Roman" w:hint="eastAsia"/>
          <w:color w:val="000000" w:themeColor="text1"/>
          <w:sz w:val="24"/>
          <w:szCs w:val="24"/>
        </w:rPr>
        <w:t>12</w:t>
      </w:r>
      <w:r w:rsidRPr="00B86490">
        <w:rPr>
          <w:rFonts w:ascii="Times New Roman" w:eastAsia="楷体" w:hAnsi="Times New Roman" w:hint="eastAsia"/>
          <w:color w:val="000000" w:themeColor="text1"/>
          <w:sz w:val="24"/>
          <w:szCs w:val="24"/>
        </w:rPr>
        <w:t>月中涨价，但还未覆盖</w:t>
      </w:r>
      <w:r w:rsidRPr="00B86490">
        <w:rPr>
          <w:rFonts w:ascii="Times New Roman" w:eastAsia="楷体" w:hAnsi="Times New Roman" w:hint="eastAsia"/>
          <w:color w:val="000000" w:themeColor="text1"/>
          <w:sz w:val="24"/>
          <w:szCs w:val="24"/>
        </w:rPr>
        <w:t>1</w:t>
      </w:r>
      <w:r w:rsidRPr="00B86490">
        <w:rPr>
          <w:rFonts w:ascii="Times New Roman" w:eastAsia="楷体" w:hAnsi="Times New Roman" w:hint="eastAsia"/>
          <w:color w:val="000000" w:themeColor="text1"/>
          <w:sz w:val="24"/>
          <w:szCs w:val="24"/>
        </w:rPr>
        <w:t>月初价格。因此</w:t>
      </w:r>
      <w:r w:rsidRPr="00B86490">
        <w:rPr>
          <w:rFonts w:ascii="Times New Roman" w:eastAsia="楷体" w:hAnsi="Times New Roman" w:hint="eastAsia"/>
          <w:color w:val="000000" w:themeColor="text1"/>
          <w:sz w:val="24"/>
          <w:szCs w:val="24"/>
        </w:rPr>
        <w:t>EC</w:t>
      </w:r>
      <w:r w:rsidRPr="00B86490">
        <w:rPr>
          <w:rFonts w:ascii="Times New Roman" w:eastAsia="楷体" w:hAnsi="Times New Roman" w:hint="eastAsia"/>
          <w:color w:val="000000" w:themeColor="text1"/>
          <w:sz w:val="24"/>
          <w:szCs w:val="24"/>
        </w:rPr>
        <w:t>价格预计将保持高位震荡，待本月中下旬观察实际兑现情况，建议在操作上注意节奏把握</w:t>
      </w:r>
      <w:r w:rsidR="00152664">
        <w:rPr>
          <w:rFonts w:ascii="Times New Roman" w:eastAsia="楷体" w:hAnsi="Times New Roman" w:hint="eastAsia"/>
          <w:color w:val="000000" w:themeColor="text1"/>
          <w:sz w:val="24"/>
          <w:szCs w:val="24"/>
        </w:rPr>
        <w:t>。</w:t>
      </w: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2" w:name="_Toc71212556"/>
      <w:bookmarkStart w:id="53" w:name="_Toc19667"/>
      <w:bookmarkStart w:id="54" w:name="_Toc98426751"/>
      <w:bookmarkStart w:id="55" w:name="_Toc12779"/>
      <w:bookmarkStart w:id="56" w:name="_Toc72481108"/>
      <w:r>
        <w:rPr>
          <w:rFonts w:ascii="Times New Roman" w:eastAsia="楷体" w:hAnsi="Times New Roman"/>
          <w:b/>
          <w:color w:val="411D05"/>
          <w:sz w:val="30"/>
          <w:szCs w:val="30"/>
        </w:rPr>
        <w:lastRenderedPageBreak/>
        <w:t>免责声明</w:t>
      </w:r>
      <w:bookmarkEnd w:id="52"/>
      <w:bookmarkEnd w:id="53"/>
      <w:bookmarkEnd w:id="54"/>
      <w:bookmarkEnd w:id="55"/>
      <w:bookmarkEnd w:id="56"/>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67B" w:rsidRDefault="001C267B">
      <w:r>
        <w:separator/>
      </w:r>
    </w:p>
  </w:endnote>
  <w:endnote w:type="continuationSeparator" w:id="0">
    <w:p w:rsidR="001C267B" w:rsidRDefault="001C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6FF3B6BD" wp14:editId="73B6708F">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B86490">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B86490">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67B" w:rsidRDefault="001C267B">
      <w:r>
        <w:separator/>
      </w:r>
    </w:p>
  </w:footnote>
  <w:footnote w:type="continuationSeparator" w:id="0">
    <w:p w:rsidR="001C267B" w:rsidRDefault="001C26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4897E2AB" wp14:editId="05DFA619">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3909208D" wp14:editId="2E328BC7">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C85762">
      <w:rPr>
        <w:rFonts w:ascii="Times New Roman" w:eastAsia="楷体" w:hAnsi="Times New Roman" w:hint="eastAsia"/>
        <w:b/>
        <w:bCs/>
        <w:noProof/>
        <w:color w:val="833C0B"/>
        <w:sz w:val="21"/>
      </w:rPr>
      <w:t>2023</w:t>
    </w:r>
    <w:r w:rsidR="00C85762">
      <w:rPr>
        <w:rFonts w:ascii="Times New Roman" w:eastAsia="楷体" w:hAnsi="Times New Roman" w:hint="eastAsia"/>
        <w:b/>
        <w:bCs/>
        <w:noProof/>
        <w:color w:val="833C0B"/>
        <w:sz w:val="21"/>
      </w:rPr>
      <w:t>年</w:t>
    </w:r>
    <w:r w:rsidR="00C85762">
      <w:rPr>
        <w:rFonts w:ascii="Times New Roman" w:eastAsia="楷体" w:hAnsi="Times New Roman" w:hint="eastAsia"/>
        <w:b/>
        <w:bCs/>
        <w:noProof/>
        <w:color w:val="833C0B"/>
        <w:sz w:val="21"/>
      </w:rPr>
      <w:t>12</w:t>
    </w:r>
    <w:r w:rsidR="00C85762">
      <w:rPr>
        <w:rFonts w:ascii="Times New Roman" w:eastAsia="楷体" w:hAnsi="Times New Roman" w:hint="eastAsia"/>
        <w:b/>
        <w:bCs/>
        <w:noProof/>
        <w:color w:val="833C0B"/>
        <w:sz w:val="21"/>
      </w:rPr>
      <w:t>月</w:t>
    </w:r>
    <w:r w:rsidR="00C85762">
      <w:rPr>
        <w:rFonts w:ascii="Times New Roman" w:eastAsia="楷体" w:hAnsi="Times New Roman" w:hint="eastAsia"/>
        <w:b/>
        <w:bCs/>
        <w:noProof/>
        <w:color w:val="833C0B"/>
        <w:sz w:val="21"/>
      </w:rPr>
      <w:t>12</w:t>
    </w:r>
    <w:r w:rsidR="00C85762">
      <w:rPr>
        <w:rFonts w:ascii="Times New Roman" w:eastAsia="楷体" w:hAnsi="Times New Roman" w:hint="eastAsia"/>
        <w:b/>
        <w:bCs/>
        <w:noProof/>
        <w:color w:val="833C0B"/>
        <w:sz w:val="21"/>
      </w:rPr>
      <w:t>日星期二</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11CD"/>
    <w:rsid w:val="00717EF8"/>
    <w:rsid w:val="0072164F"/>
    <w:rsid w:val="007253E7"/>
    <w:rsid w:val="0072736C"/>
    <w:rsid w:val="007315D8"/>
    <w:rsid w:val="00740BD1"/>
    <w:rsid w:val="00743CFD"/>
    <w:rsid w:val="007664C1"/>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3C93"/>
    <w:rsid w:val="00B42124"/>
    <w:rsid w:val="00B443CE"/>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6B0E"/>
    <w:rsid w:val="00FD7E42"/>
    <w:rsid w:val="00FE1B77"/>
    <w:rsid w:val="00FE40D8"/>
    <w:rsid w:val="00FE7219"/>
    <w:rsid w:val="00FF0163"/>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21195D-9B45-493E-A66A-4E79E302D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4853</TotalTime>
  <Pages>10</Pages>
  <Words>1629</Words>
  <Characters>9288</Characters>
  <Application>Microsoft Office Word</Application>
  <DocSecurity>0</DocSecurity>
  <Lines>77</Lines>
  <Paragraphs>21</Paragraphs>
  <ScaleCrop>false</ScaleCrop>
  <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152</cp:revision>
  <cp:lastPrinted>2023-06-08T02:23:00Z</cp:lastPrinted>
  <dcterms:created xsi:type="dcterms:W3CDTF">2022-11-15T10:06:00Z</dcterms:created>
  <dcterms:modified xsi:type="dcterms:W3CDTF">2023-12-12T03:16:00Z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