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57C07"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557C07" w:rsidRPr="00185DBA">
            <w:rPr>
              <w:rStyle w:val="a9"/>
              <w:noProof/>
            </w:rPr>
            <w:fldChar w:fldCharType="begin"/>
          </w:r>
          <w:r w:rsidR="00557C07" w:rsidRPr="00185DBA">
            <w:rPr>
              <w:rStyle w:val="a9"/>
              <w:noProof/>
            </w:rPr>
            <w:instrText xml:space="preserve"> </w:instrText>
          </w:r>
          <w:r w:rsidR="00557C07">
            <w:rPr>
              <w:noProof/>
            </w:rPr>
            <w:instrText>HYPERLINK \l "_Toc153185265"</w:instrText>
          </w:r>
          <w:r w:rsidR="00557C07" w:rsidRPr="00185DBA">
            <w:rPr>
              <w:rStyle w:val="a9"/>
              <w:noProof/>
            </w:rPr>
            <w:instrText xml:space="preserve"> </w:instrText>
          </w:r>
          <w:r w:rsidR="00557C07" w:rsidRPr="00185DBA">
            <w:rPr>
              <w:rStyle w:val="a9"/>
              <w:noProof/>
            </w:rPr>
          </w:r>
          <w:r w:rsidR="00557C07" w:rsidRPr="00185DBA">
            <w:rPr>
              <w:rStyle w:val="a9"/>
              <w:noProof/>
            </w:rPr>
            <w:fldChar w:fldCharType="separate"/>
          </w:r>
          <w:r w:rsidR="00557C07" w:rsidRPr="00185DBA">
            <w:rPr>
              <w:rStyle w:val="a9"/>
              <w:rFonts w:ascii="Times New Roman" w:eastAsia="楷体" w:hAnsi="Times New Roman"/>
              <w:b/>
              <w:noProof/>
            </w:rPr>
            <w:t>[</w:t>
          </w:r>
          <w:r w:rsidR="00557C07" w:rsidRPr="00185DBA">
            <w:rPr>
              <w:rStyle w:val="a9"/>
              <w:rFonts w:ascii="Times New Roman" w:eastAsia="楷体" w:hAnsi="Times New Roman"/>
              <w:b/>
              <w:noProof/>
            </w:rPr>
            <w:t>金融</w:t>
          </w:r>
          <w:r w:rsidR="00557C07" w:rsidRPr="00185DBA">
            <w:rPr>
              <w:rStyle w:val="a9"/>
              <w:rFonts w:ascii="Times New Roman" w:eastAsia="楷体" w:hAnsi="Times New Roman"/>
              <w:b/>
              <w:noProof/>
            </w:rPr>
            <w:t>]</w:t>
          </w:r>
          <w:r w:rsidR="00557C07" w:rsidRPr="00185DBA">
            <w:rPr>
              <w:rStyle w:val="a9"/>
              <w:noProof/>
            </w:rPr>
            <w:fldChar w:fldCharType="end"/>
          </w:r>
        </w:p>
        <w:p w:rsidR="00557C07" w:rsidRDefault="00557C07">
          <w:pPr>
            <w:pStyle w:val="23"/>
            <w:tabs>
              <w:tab w:val="right" w:leader="dot" w:pos="8296"/>
            </w:tabs>
            <w:rPr>
              <w:rFonts w:eastAsiaTheme="minorEastAsia"/>
              <w:noProof/>
              <w:szCs w:val="22"/>
            </w:rPr>
          </w:pPr>
          <w:hyperlink w:anchor="_Toc153185266" w:history="1">
            <w:r w:rsidRPr="00185DBA">
              <w:rPr>
                <w:rStyle w:val="a9"/>
                <w:rFonts w:ascii="Times New Roman" w:eastAsia="楷体" w:hAnsi="Times New Roman"/>
                <w:b/>
                <w:noProof/>
              </w:rPr>
              <w:t>股指：观望，待企稳后低多</w:t>
            </w:r>
            <w:r w:rsidRPr="00185DBA">
              <w:rPr>
                <w:rStyle w:val="a9"/>
                <w:rFonts w:ascii="Times New Roman" w:eastAsia="楷体" w:hAnsi="Times New Roman"/>
                <w:b/>
                <w:noProof/>
              </w:rPr>
              <w:t>IM</w:t>
            </w:r>
          </w:hyperlink>
        </w:p>
        <w:p w:rsidR="00557C07" w:rsidRDefault="00557C07">
          <w:pPr>
            <w:pStyle w:val="11"/>
            <w:tabs>
              <w:tab w:val="right" w:leader="dot" w:pos="8296"/>
            </w:tabs>
            <w:rPr>
              <w:rFonts w:eastAsiaTheme="minorEastAsia"/>
              <w:noProof/>
              <w:szCs w:val="22"/>
            </w:rPr>
          </w:pPr>
          <w:hyperlink w:anchor="_Toc153185267" w:history="1">
            <w:r w:rsidRPr="00185DBA">
              <w:rPr>
                <w:rStyle w:val="a9"/>
                <w:rFonts w:ascii="Times New Roman" w:eastAsia="楷体" w:hAnsi="Times New Roman"/>
                <w:b/>
                <w:noProof/>
              </w:rPr>
              <w:t>[</w:t>
            </w:r>
            <w:r w:rsidRPr="00185DBA">
              <w:rPr>
                <w:rStyle w:val="a9"/>
                <w:rFonts w:ascii="Times New Roman" w:eastAsia="楷体" w:hAnsi="Times New Roman"/>
                <w:b/>
                <w:noProof/>
              </w:rPr>
              <w:t>贵金属</w:t>
            </w:r>
            <w:r w:rsidRPr="00185DBA">
              <w:rPr>
                <w:rStyle w:val="a9"/>
                <w:rFonts w:ascii="Times New Roman" w:eastAsia="楷体" w:hAnsi="Times New Roman"/>
                <w:b/>
                <w:noProof/>
              </w:rPr>
              <w:t>]</w:t>
            </w:r>
          </w:hyperlink>
        </w:p>
        <w:p w:rsidR="00557C07" w:rsidRDefault="00557C07">
          <w:pPr>
            <w:pStyle w:val="23"/>
            <w:tabs>
              <w:tab w:val="right" w:leader="dot" w:pos="8296"/>
            </w:tabs>
            <w:rPr>
              <w:rFonts w:eastAsiaTheme="minorEastAsia"/>
              <w:noProof/>
              <w:szCs w:val="22"/>
            </w:rPr>
          </w:pPr>
          <w:hyperlink w:anchor="_Toc153185268" w:history="1">
            <w:r w:rsidRPr="00185DBA">
              <w:rPr>
                <w:rStyle w:val="a9"/>
                <w:rFonts w:ascii="Times New Roman" w:eastAsia="楷体" w:hAnsi="Times New Roman"/>
                <w:b/>
                <w:noProof/>
              </w:rPr>
              <w:t>贵金属：美国非农超预期，内盘贵金属价格下跌</w:t>
            </w:r>
          </w:hyperlink>
        </w:p>
        <w:p w:rsidR="00557C07" w:rsidRDefault="00557C07">
          <w:pPr>
            <w:pStyle w:val="11"/>
            <w:tabs>
              <w:tab w:val="right" w:leader="dot" w:pos="8296"/>
            </w:tabs>
            <w:rPr>
              <w:rFonts w:eastAsiaTheme="minorEastAsia"/>
              <w:noProof/>
              <w:szCs w:val="22"/>
            </w:rPr>
          </w:pPr>
          <w:hyperlink w:anchor="_Toc153185269" w:history="1">
            <w:r w:rsidRPr="00185DBA">
              <w:rPr>
                <w:rStyle w:val="a9"/>
                <w:rFonts w:ascii="Times New Roman" w:eastAsia="楷体" w:hAnsi="Times New Roman"/>
                <w:b/>
                <w:noProof/>
              </w:rPr>
              <w:t>[</w:t>
            </w:r>
            <w:r w:rsidRPr="00185DBA">
              <w:rPr>
                <w:rStyle w:val="a9"/>
                <w:rFonts w:ascii="Times New Roman" w:eastAsia="楷体" w:hAnsi="Times New Roman"/>
                <w:b/>
                <w:noProof/>
              </w:rPr>
              <w:t>金属</w:t>
            </w:r>
            <w:r w:rsidRPr="00185DBA">
              <w:rPr>
                <w:rStyle w:val="a9"/>
                <w:rFonts w:ascii="Times New Roman" w:eastAsia="楷体" w:hAnsi="Times New Roman"/>
                <w:b/>
                <w:noProof/>
              </w:rPr>
              <w:t>]</w:t>
            </w:r>
          </w:hyperlink>
        </w:p>
        <w:p w:rsidR="00557C07" w:rsidRDefault="00557C07">
          <w:pPr>
            <w:pStyle w:val="23"/>
            <w:tabs>
              <w:tab w:val="right" w:leader="dot" w:pos="8296"/>
            </w:tabs>
            <w:rPr>
              <w:rFonts w:eastAsiaTheme="minorEastAsia"/>
              <w:noProof/>
              <w:szCs w:val="22"/>
            </w:rPr>
          </w:pPr>
          <w:hyperlink w:anchor="_Toc153185270" w:history="1">
            <w:r w:rsidRPr="00185DBA">
              <w:rPr>
                <w:rStyle w:val="a9"/>
                <w:rFonts w:ascii="楷体" w:eastAsia="楷体" w:hAnsi="楷体"/>
                <w:b/>
                <w:noProof/>
              </w:rPr>
              <w:t>碳酸锂：资金博弈加剧，期价两度涨停</w:t>
            </w:r>
          </w:hyperlink>
        </w:p>
        <w:p w:rsidR="00557C07" w:rsidRDefault="00557C07">
          <w:pPr>
            <w:pStyle w:val="23"/>
            <w:tabs>
              <w:tab w:val="right" w:leader="dot" w:pos="8296"/>
            </w:tabs>
            <w:rPr>
              <w:rFonts w:eastAsiaTheme="minorEastAsia"/>
              <w:noProof/>
              <w:szCs w:val="22"/>
            </w:rPr>
          </w:pPr>
          <w:hyperlink w:anchor="_Toc153185271" w:history="1">
            <w:r w:rsidRPr="00185DBA">
              <w:rPr>
                <w:rStyle w:val="a9"/>
                <w:rFonts w:ascii="楷体" w:eastAsia="楷体" w:hAnsi="楷体"/>
                <w:b/>
                <w:noProof/>
              </w:rPr>
              <w:t>螺纹钢：消息刺激下，盘面偏强运行</w:t>
            </w:r>
          </w:hyperlink>
        </w:p>
        <w:p w:rsidR="00557C07" w:rsidRDefault="00557C07">
          <w:pPr>
            <w:pStyle w:val="23"/>
            <w:tabs>
              <w:tab w:val="right" w:leader="dot" w:pos="8296"/>
            </w:tabs>
            <w:rPr>
              <w:rFonts w:eastAsiaTheme="minorEastAsia"/>
              <w:noProof/>
              <w:szCs w:val="22"/>
            </w:rPr>
          </w:pPr>
          <w:hyperlink w:anchor="_Toc153185272" w:history="1">
            <w:r w:rsidRPr="00185DBA">
              <w:rPr>
                <w:rStyle w:val="a9"/>
                <w:rFonts w:ascii="楷体" w:eastAsia="楷体" w:hAnsi="楷体"/>
                <w:b/>
                <w:noProof/>
              </w:rPr>
              <w:t>焦炭：第三轮提涨提出，盘面区间震荡</w:t>
            </w:r>
          </w:hyperlink>
        </w:p>
        <w:p w:rsidR="00557C07" w:rsidRDefault="00557C07">
          <w:pPr>
            <w:pStyle w:val="23"/>
            <w:tabs>
              <w:tab w:val="right" w:leader="dot" w:pos="8296"/>
            </w:tabs>
            <w:rPr>
              <w:rFonts w:eastAsiaTheme="minorEastAsia"/>
              <w:noProof/>
              <w:szCs w:val="22"/>
            </w:rPr>
          </w:pPr>
          <w:hyperlink w:anchor="_Toc153185273" w:history="1">
            <w:r w:rsidRPr="00185DBA">
              <w:rPr>
                <w:rStyle w:val="a9"/>
                <w:rFonts w:ascii="楷体" w:eastAsia="楷体" w:hAnsi="楷体"/>
                <w:b/>
                <w:noProof/>
              </w:rPr>
              <w:t>焦煤：现货有所松动，但下行空间有限</w:t>
            </w:r>
          </w:hyperlink>
        </w:p>
        <w:p w:rsidR="00557C07" w:rsidRDefault="00557C07">
          <w:pPr>
            <w:pStyle w:val="23"/>
            <w:tabs>
              <w:tab w:val="right" w:leader="dot" w:pos="8296"/>
            </w:tabs>
            <w:rPr>
              <w:rFonts w:eastAsiaTheme="minorEastAsia"/>
              <w:noProof/>
              <w:szCs w:val="22"/>
            </w:rPr>
          </w:pPr>
          <w:hyperlink w:anchor="_Toc153185274" w:history="1">
            <w:r w:rsidRPr="00185DBA">
              <w:rPr>
                <w:rStyle w:val="a9"/>
                <w:rFonts w:ascii="楷体" w:eastAsia="楷体" w:hAnsi="楷体"/>
                <w:b/>
                <w:noProof/>
              </w:rPr>
              <w:t>铜：短期维持高位运行</w:t>
            </w:r>
          </w:hyperlink>
        </w:p>
        <w:p w:rsidR="00557C07" w:rsidRDefault="00557C07">
          <w:pPr>
            <w:pStyle w:val="23"/>
            <w:tabs>
              <w:tab w:val="right" w:leader="dot" w:pos="8296"/>
            </w:tabs>
            <w:rPr>
              <w:rFonts w:eastAsiaTheme="minorEastAsia"/>
              <w:noProof/>
              <w:szCs w:val="22"/>
            </w:rPr>
          </w:pPr>
          <w:hyperlink w:anchor="_Toc153185275" w:history="1">
            <w:r w:rsidRPr="00185DBA">
              <w:rPr>
                <w:rStyle w:val="a9"/>
                <w:rFonts w:ascii="楷体" w:eastAsia="楷体" w:hAnsi="楷体"/>
                <w:b/>
                <w:noProof/>
              </w:rPr>
              <w:t>铝：铝价上下有限，关注区间反弹做多机会</w:t>
            </w:r>
          </w:hyperlink>
        </w:p>
        <w:p w:rsidR="00557C07" w:rsidRDefault="00557C07">
          <w:pPr>
            <w:pStyle w:val="23"/>
            <w:tabs>
              <w:tab w:val="right" w:leader="dot" w:pos="8296"/>
            </w:tabs>
            <w:rPr>
              <w:rFonts w:eastAsiaTheme="minorEastAsia"/>
              <w:noProof/>
              <w:szCs w:val="22"/>
            </w:rPr>
          </w:pPr>
          <w:hyperlink w:anchor="_Toc153185276" w:history="1">
            <w:r w:rsidRPr="00185DBA">
              <w:rPr>
                <w:rStyle w:val="a9"/>
                <w:rFonts w:ascii="楷体" w:eastAsia="楷体" w:hAnsi="楷体"/>
                <w:b/>
                <w:noProof/>
              </w:rPr>
              <w:t>锌：锌价快速下跌有反弹可能</w:t>
            </w:r>
          </w:hyperlink>
        </w:p>
        <w:p w:rsidR="00557C07" w:rsidRDefault="00557C07">
          <w:pPr>
            <w:pStyle w:val="23"/>
            <w:tabs>
              <w:tab w:val="right" w:leader="dot" w:pos="8296"/>
            </w:tabs>
            <w:rPr>
              <w:rFonts w:eastAsiaTheme="minorEastAsia"/>
              <w:noProof/>
              <w:szCs w:val="22"/>
            </w:rPr>
          </w:pPr>
          <w:hyperlink w:anchor="_Toc153185277" w:history="1">
            <w:r w:rsidRPr="00185DBA">
              <w:rPr>
                <w:rStyle w:val="a9"/>
                <w:rFonts w:ascii="楷体" w:eastAsia="楷体" w:hAnsi="楷体"/>
                <w:b/>
                <w:noProof/>
              </w:rPr>
              <w:t>镍：过剩依旧，承压持续</w:t>
            </w:r>
          </w:hyperlink>
        </w:p>
        <w:p w:rsidR="00557C07" w:rsidRDefault="00557C07">
          <w:pPr>
            <w:pStyle w:val="23"/>
            <w:tabs>
              <w:tab w:val="right" w:leader="dot" w:pos="8296"/>
            </w:tabs>
            <w:rPr>
              <w:rFonts w:eastAsiaTheme="minorEastAsia"/>
              <w:noProof/>
              <w:szCs w:val="22"/>
            </w:rPr>
          </w:pPr>
          <w:hyperlink w:anchor="_Toc153185278" w:history="1">
            <w:r w:rsidRPr="00185DBA">
              <w:rPr>
                <w:rStyle w:val="a9"/>
                <w:rFonts w:ascii="楷体" w:eastAsia="楷体" w:hAnsi="楷体"/>
                <w:b/>
                <w:noProof/>
              </w:rPr>
              <w:t>铅：铝价上方压力仍存</w:t>
            </w:r>
          </w:hyperlink>
        </w:p>
        <w:p w:rsidR="00557C07" w:rsidRDefault="00557C07">
          <w:pPr>
            <w:pStyle w:val="23"/>
            <w:tabs>
              <w:tab w:val="right" w:leader="dot" w:pos="8296"/>
            </w:tabs>
            <w:rPr>
              <w:rFonts w:eastAsiaTheme="minorEastAsia"/>
              <w:noProof/>
              <w:szCs w:val="22"/>
            </w:rPr>
          </w:pPr>
          <w:hyperlink w:anchor="_Toc153185279" w:history="1">
            <w:r w:rsidRPr="00185DBA">
              <w:rPr>
                <w:rStyle w:val="a9"/>
                <w:rFonts w:ascii="楷体" w:eastAsia="楷体" w:hAnsi="楷体"/>
                <w:b/>
                <w:noProof/>
              </w:rPr>
              <w:t>不锈钢：成本支撑摇晃，需求维持疲弱</w:t>
            </w:r>
          </w:hyperlink>
        </w:p>
        <w:p w:rsidR="00557C07" w:rsidRDefault="00557C07">
          <w:pPr>
            <w:pStyle w:val="23"/>
            <w:tabs>
              <w:tab w:val="right" w:leader="dot" w:pos="8296"/>
            </w:tabs>
            <w:rPr>
              <w:rFonts w:eastAsiaTheme="minorEastAsia"/>
              <w:noProof/>
              <w:szCs w:val="22"/>
            </w:rPr>
          </w:pPr>
          <w:hyperlink w:anchor="_Toc153185280" w:history="1">
            <w:r w:rsidRPr="00185DBA">
              <w:rPr>
                <w:rStyle w:val="a9"/>
                <w:rFonts w:ascii="楷体" w:eastAsia="楷体" w:hAnsi="楷体"/>
                <w:b/>
                <w:noProof/>
              </w:rPr>
              <w:t>工业硅：西南扩大减产规模，成本支撑或逐步显现</w:t>
            </w:r>
          </w:hyperlink>
        </w:p>
        <w:p w:rsidR="00557C07" w:rsidRDefault="00557C07">
          <w:pPr>
            <w:pStyle w:val="11"/>
            <w:tabs>
              <w:tab w:val="right" w:leader="dot" w:pos="8296"/>
            </w:tabs>
            <w:rPr>
              <w:rFonts w:eastAsiaTheme="minorEastAsia"/>
              <w:noProof/>
              <w:szCs w:val="22"/>
            </w:rPr>
          </w:pPr>
          <w:hyperlink w:anchor="_Toc153185281" w:history="1">
            <w:r w:rsidRPr="00185DBA">
              <w:rPr>
                <w:rStyle w:val="a9"/>
                <w:rFonts w:ascii="Times New Roman" w:eastAsia="楷体" w:hAnsi="Times New Roman"/>
                <w:b/>
                <w:noProof/>
              </w:rPr>
              <w:t>[</w:t>
            </w:r>
            <w:r w:rsidRPr="00185DBA">
              <w:rPr>
                <w:rStyle w:val="a9"/>
                <w:rFonts w:ascii="Times New Roman" w:eastAsia="楷体" w:hAnsi="Times New Roman"/>
                <w:b/>
                <w:noProof/>
              </w:rPr>
              <w:t>化工</w:t>
            </w:r>
            <w:r w:rsidRPr="00185DBA">
              <w:rPr>
                <w:rStyle w:val="a9"/>
                <w:rFonts w:ascii="Times New Roman" w:eastAsia="楷体" w:hAnsi="Times New Roman"/>
                <w:b/>
                <w:noProof/>
              </w:rPr>
              <w:t>]</w:t>
            </w:r>
          </w:hyperlink>
        </w:p>
        <w:p w:rsidR="00557C07" w:rsidRDefault="00557C07">
          <w:pPr>
            <w:pStyle w:val="23"/>
            <w:tabs>
              <w:tab w:val="right" w:leader="dot" w:pos="8296"/>
            </w:tabs>
            <w:rPr>
              <w:rFonts w:eastAsiaTheme="minorEastAsia"/>
              <w:noProof/>
              <w:szCs w:val="22"/>
            </w:rPr>
          </w:pPr>
          <w:hyperlink w:anchor="_Toc153185282" w:history="1">
            <w:r w:rsidRPr="00185DBA">
              <w:rPr>
                <w:rStyle w:val="a9"/>
                <w:rFonts w:ascii="Times New Roman" w:eastAsia="楷体" w:hAnsi="Times New Roman"/>
                <w:b/>
                <w:noProof/>
              </w:rPr>
              <w:t>天然橡胶</w:t>
            </w:r>
            <w:r w:rsidRPr="00185DBA">
              <w:rPr>
                <w:rStyle w:val="a9"/>
                <w:rFonts w:ascii="Times New Roman" w:eastAsia="楷体" w:hAnsi="Times New Roman"/>
                <w:b/>
                <w:noProof/>
              </w:rPr>
              <w:t>:</w:t>
            </w:r>
            <w:r w:rsidRPr="00185DBA">
              <w:rPr>
                <w:rStyle w:val="a9"/>
                <w:rFonts w:ascii="楷体" w:eastAsia="楷体" w:hAnsi="楷体"/>
                <w:b/>
                <w:noProof/>
              </w:rPr>
              <w:t xml:space="preserve"> 短时天胶超跌反弹 但上方空间有限</w:t>
            </w:r>
          </w:hyperlink>
        </w:p>
        <w:p w:rsidR="00557C07" w:rsidRDefault="00557C07">
          <w:pPr>
            <w:pStyle w:val="23"/>
            <w:tabs>
              <w:tab w:val="right" w:leader="dot" w:pos="8296"/>
            </w:tabs>
            <w:rPr>
              <w:rFonts w:eastAsiaTheme="minorEastAsia"/>
              <w:noProof/>
              <w:szCs w:val="22"/>
            </w:rPr>
          </w:pPr>
          <w:hyperlink w:anchor="_Toc153185283" w:history="1">
            <w:r w:rsidRPr="00185DBA">
              <w:rPr>
                <w:rStyle w:val="a9"/>
                <w:rFonts w:ascii="楷体" w:eastAsia="楷体" w:hAnsi="楷体"/>
                <w:b/>
                <w:noProof/>
              </w:rPr>
              <w:t>PTA：</w:t>
            </w:r>
            <w:r w:rsidRPr="00185DBA">
              <w:rPr>
                <w:rStyle w:val="a9"/>
                <w:rFonts w:ascii="Calibri" w:eastAsia="楷体" w:hAnsi="Calibri" w:cs="Calibri"/>
                <w:b/>
                <w:noProof/>
              </w:rPr>
              <w:t>供需矛盾不突出</w:t>
            </w:r>
            <w:r w:rsidRPr="00185DBA">
              <w:rPr>
                <w:rStyle w:val="a9"/>
                <w:rFonts w:ascii="Calibri" w:eastAsia="楷体" w:hAnsi="Calibri" w:cs="Calibri"/>
                <w:b/>
                <w:noProof/>
              </w:rPr>
              <w:t xml:space="preserve"> </w:t>
            </w:r>
            <w:r w:rsidRPr="00185DBA">
              <w:rPr>
                <w:rStyle w:val="a9"/>
                <w:rFonts w:ascii="Calibri" w:eastAsia="楷体" w:hAnsi="Calibri" w:cs="Calibri"/>
                <w:b/>
                <w:noProof/>
              </w:rPr>
              <w:t>短期跟随成本端调整</w:t>
            </w:r>
          </w:hyperlink>
        </w:p>
        <w:p w:rsidR="00557C07" w:rsidRDefault="00557C07">
          <w:pPr>
            <w:pStyle w:val="23"/>
            <w:tabs>
              <w:tab w:val="right" w:leader="dot" w:pos="8296"/>
            </w:tabs>
            <w:rPr>
              <w:rFonts w:eastAsiaTheme="minorEastAsia"/>
              <w:noProof/>
              <w:szCs w:val="22"/>
            </w:rPr>
          </w:pPr>
          <w:hyperlink w:anchor="_Toc153185284" w:history="1">
            <w:r w:rsidRPr="00185DBA">
              <w:rPr>
                <w:rStyle w:val="a9"/>
                <w:rFonts w:ascii="楷体" w:eastAsia="楷体" w:hAnsi="楷体"/>
                <w:b/>
                <w:noProof/>
              </w:rPr>
              <w:t>聚烯烃：成本供需均弱 聚烯烃维持低位震荡</w:t>
            </w:r>
          </w:hyperlink>
        </w:p>
        <w:p w:rsidR="00557C07" w:rsidRDefault="00557C07">
          <w:pPr>
            <w:pStyle w:val="23"/>
            <w:tabs>
              <w:tab w:val="right" w:leader="dot" w:pos="8296"/>
            </w:tabs>
            <w:rPr>
              <w:rFonts w:eastAsiaTheme="minorEastAsia"/>
              <w:noProof/>
              <w:szCs w:val="22"/>
            </w:rPr>
          </w:pPr>
          <w:hyperlink w:anchor="_Toc153185285" w:history="1">
            <w:r w:rsidRPr="00185DBA">
              <w:rPr>
                <w:rStyle w:val="a9"/>
                <w:rFonts w:ascii="楷体" w:eastAsia="楷体" w:hAnsi="楷体"/>
                <w:b/>
                <w:noProof/>
              </w:rPr>
              <w:t>MEG：区间操作为主</w:t>
            </w:r>
          </w:hyperlink>
        </w:p>
        <w:p w:rsidR="00557C07" w:rsidRDefault="00557C07">
          <w:pPr>
            <w:pStyle w:val="23"/>
            <w:tabs>
              <w:tab w:val="right" w:leader="dot" w:pos="8296"/>
            </w:tabs>
            <w:rPr>
              <w:rFonts w:eastAsiaTheme="minorEastAsia"/>
              <w:noProof/>
              <w:szCs w:val="22"/>
            </w:rPr>
          </w:pPr>
          <w:hyperlink w:anchor="_Toc153185286" w:history="1">
            <w:r w:rsidRPr="00185DBA">
              <w:rPr>
                <w:rStyle w:val="a9"/>
                <w:rFonts w:ascii="楷体" w:eastAsia="楷体" w:hAnsi="楷体"/>
                <w:b/>
                <w:noProof/>
              </w:rPr>
              <w:t>玻璃：近月合约套保压力较大，远月宏观预期托底，震荡行情</w:t>
            </w:r>
          </w:hyperlink>
        </w:p>
        <w:p w:rsidR="00557C07" w:rsidRDefault="00557C07">
          <w:pPr>
            <w:pStyle w:val="23"/>
            <w:tabs>
              <w:tab w:val="right" w:leader="dot" w:pos="8296"/>
            </w:tabs>
            <w:rPr>
              <w:rFonts w:eastAsiaTheme="minorEastAsia"/>
              <w:noProof/>
              <w:szCs w:val="22"/>
            </w:rPr>
          </w:pPr>
          <w:hyperlink w:anchor="_Toc153185287" w:history="1">
            <w:r w:rsidRPr="00185DBA">
              <w:rPr>
                <w:rStyle w:val="a9"/>
                <w:rFonts w:ascii="楷体" w:eastAsia="楷体" w:hAnsi="楷体"/>
                <w:b/>
                <w:noProof/>
              </w:rPr>
              <w:t>纯碱：贸易商现货松动，近月有回落风险</w:t>
            </w:r>
          </w:hyperlink>
        </w:p>
        <w:p w:rsidR="00557C07" w:rsidRDefault="00557C07">
          <w:pPr>
            <w:pStyle w:val="11"/>
            <w:tabs>
              <w:tab w:val="right" w:leader="dot" w:pos="8296"/>
            </w:tabs>
            <w:rPr>
              <w:rFonts w:eastAsiaTheme="minorEastAsia"/>
              <w:noProof/>
              <w:szCs w:val="22"/>
            </w:rPr>
          </w:pPr>
          <w:hyperlink w:anchor="_Toc153185288" w:history="1">
            <w:r w:rsidRPr="00185DBA">
              <w:rPr>
                <w:rStyle w:val="a9"/>
                <w:rFonts w:ascii="Times New Roman" w:eastAsia="楷体" w:hAnsi="Times New Roman"/>
                <w:b/>
                <w:noProof/>
              </w:rPr>
              <w:t>[</w:t>
            </w:r>
            <w:r w:rsidRPr="00185DBA">
              <w:rPr>
                <w:rStyle w:val="a9"/>
                <w:rFonts w:ascii="Times New Roman" w:eastAsia="楷体" w:hAnsi="Times New Roman"/>
                <w:b/>
                <w:noProof/>
              </w:rPr>
              <w:t>农产品</w:t>
            </w:r>
            <w:r w:rsidRPr="00185DBA">
              <w:rPr>
                <w:rStyle w:val="a9"/>
                <w:rFonts w:ascii="Times New Roman" w:eastAsia="楷体" w:hAnsi="Times New Roman"/>
                <w:b/>
                <w:noProof/>
              </w:rPr>
              <w:t>]</w:t>
            </w:r>
          </w:hyperlink>
        </w:p>
        <w:p w:rsidR="00557C07" w:rsidRDefault="00557C07">
          <w:pPr>
            <w:pStyle w:val="23"/>
            <w:tabs>
              <w:tab w:val="right" w:leader="dot" w:pos="8296"/>
            </w:tabs>
            <w:rPr>
              <w:rFonts w:eastAsiaTheme="minorEastAsia"/>
              <w:noProof/>
              <w:szCs w:val="22"/>
            </w:rPr>
          </w:pPr>
          <w:hyperlink w:anchor="_Toc153185289" w:history="1">
            <w:r w:rsidRPr="00185DBA">
              <w:rPr>
                <w:rStyle w:val="a9"/>
                <w:rFonts w:ascii="楷体" w:eastAsia="楷体" w:hAnsi="楷体"/>
                <w:b/>
                <w:noProof/>
              </w:rPr>
              <w:t>豆粕/菜粕：USDA数据调整不及预期，外盘承压</w:t>
            </w:r>
          </w:hyperlink>
        </w:p>
        <w:p w:rsidR="00557C07" w:rsidRDefault="00557C07">
          <w:pPr>
            <w:pStyle w:val="23"/>
            <w:tabs>
              <w:tab w:val="right" w:leader="dot" w:pos="8296"/>
            </w:tabs>
            <w:rPr>
              <w:rFonts w:eastAsiaTheme="minorEastAsia"/>
              <w:noProof/>
              <w:szCs w:val="22"/>
            </w:rPr>
          </w:pPr>
          <w:hyperlink w:anchor="_Toc153185290" w:history="1">
            <w:r w:rsidRPr="00185DBA">
              <w:rPr>
                <w:rStyle w:val="a9"/>
                <w:rFonts w:ascii="楷体" w:eastAsia="楷体" w:hAnsi="楷体"/>
                <w:b/>
                <w:noProof/>
              </w:rPr>
              <w:t>油脂：供应压力较大，短期期价反弹预计有限</w:t>
            </w:r>
          </w:hyperlink>
        </w:p>
        <w:p w:rsidR="00557C07" w:rsidRDefault="00557C07">
          <w:pPr>
            <w:pStyle w:val="23"/>
            <w:tabs>
              <w:tab w:val="right" w:leader="dot" w:pos="8296"/>
            </w:tabs>
            <w:rPr>
              <w:rFonts w:eastAsiaTheme="minorEastAsia"/>
              <w:noProof/>
              <w:szCs w:val="22"/>
            </w:rPr>
          </w:pPr>
          <w:hyperlink w:anchor="_Toc153185291" w:history="1">
            <w:r w:rsidRPr="00185DBA">
              <w:rPr>
                <w:rStyle w:val="a9"/>
                <w:rFonts w:ascii="楷体" w:eastAsia="楷体" w:hAnsi="楷体"/>
                <w:b/>
                <w:bCs/>
                <w:noProof/>
              </w:rPr>
              <w:t>玉米与淀粉：</w:t>
            </w:r>
            <w:r w:rsidRPr="00185DBA">
              <w:rPr>
                <w:rStyle w:val="a9"/>
                <w:rFonts w:ascii="楷体" w:eastAsia="楷体" w:hAnsi="楷体"/>
                <w:b/>
                <w:noProof/>
              </w:rPr>
              <w:t>余粮压力担忧依然存在</w:t>
            </w:r>
          </w:hyperlink>
        </w:p>
        <w:p w:rsidR="00557C07" w:rsidRDefault="00557C07">
          <w:pPr>
            <w:pStyle w:val="23"/>
            <w:tabs>
              <w:tab w:val="right" w:leader="dot" w:pos="8296"/>
            </w:tabs>
            <w:rPr>
              <w:rFonts w:eastAsiaTheme="minorEastAsia"/>
              <w:noProof/>
              <w:szCs w:val="22"/>
            </w:rPr>
          </w:pPr>
          <w:hyperlink w:anchor="_Toc153185292" w:history="1">
            <w:r w:rsidRPr="00185DBA">
              <w:rPr>
                <w:rStyle w:val="a9"/>
                <w:rFonts w:ascii="楷体" w:eastAsia="楷体" w:hAnsi="楷体"/>
                <w:b/>
                <w:bCs/>
                <w:noProof/>
              </w:rPr>
              <w:t>畜禽养殖：生猪期价转为升水结构</w:t>
            </w:r>
          </w:hyperlink>
        </w:p>
        <w:p w:rsidR="00557C07" w:rsidRDefault="00557C07">
          <w:pPr>
            <w:pStyle w:val="23"/>
            <w:tabs>
              <w:tab w:val="right" w:leader="dot" w:pos="8296"/>
            </w:tabs>
            <w:rPr>
              <w:rFonts w:eastAsiaTheme="minorEastAsia"/>
              <w:noProof/>
              <w:szCs w:val="22"/>
            </w:rPr>
          </w:pPr>
          <w:hyperlink w:anchor="_Toc153185293" w:history="1">
            <w:r w:rsidRPr="00185DBA">
              <w:rPr>
                <w:rStyle w:val="a9"/>
                <w:rFonts w:ascii="楷体" w:eastAsia="楷体" w:hAnsi="楷体"/>
                <w:b/>
                <w:noProof/>
              </w:rPr>
              <w:t>郑棉：震荡整理，尝试站稳20日均线</w:t>
            </w:r>
          </w:hyperlink>
        </w:p>
        <w:p w:rsidR="00557C07" w:rsidRDefault="00557C07">
          <w:pPr>
            <w:pStyle w:val="23"/>
            <w:tabs>
              <w:tab w:val="right" w:leader="dot" w:pos="8296"/>
            </w:tabs>
            <w:rPr>
              <w:rFonts w:eastAsiaTheme="minorEastAsia"/>
              <w:noProof/>
              <w:szCs w:val="22"/>
            </w:rPr>
          </w:pPr>
          <w:hyperlink w:anchor="_Toc153185294" w:history="1">
            <w:r w:rsidRPr="00185DBA">
              <w:rPr>
                <w:rStyle w:val="a9"/>
                <w:rFonts w:ascii="楷体" w:eastAsia="楷体" w:hAnsi="楷体"/>
                <w:b/>
                <w:noProof/>
              </w:rPr>
              <w:t>白糖：震荡整理，尝试企稳</w:t>
            </w:r>
          </w:hyperlink>
        </w:p>
        <w:p w:rsidR="00557C07" w:rsidRDefault="00557C07">
          <w:pPr>
            <w:pStyle w:val="11"/>
            <w:tabs>
              <w:tab w:val="right" w:leader="dot" w:pos="8296"/>
            </w:tabs>
            <w:rPr>
              <w:rFonts w:eastAsiaTheme="minorEastAsia"/>
              <w:noProof/>
              <w:szCs w:val="22"/>
            </w:rPr>
          </w:pPr>
          <w:hyperlink w:anchor="_Toc153185295" w:history="1">
            <w:r w:rsidRPr="00185DBA">
              <w:rPr>
                <w:rStyle w:val="a9"/>
                <w:rFonts w:ascii="Times New Roman" w:eastAsia="楷体" w:hAnsi="Times New Roman"/>
                <w:b/>
                <w:noProof/>
              </w:rPr>
              <w:t>[</w:t>
            </w:r>
            <w:r w:rsidRPr="00185DBA">
              <w:rPr>
                <w:rStyle w:val="a9"/>
                <w:rFonts w:ascii="Times New Roman" w:eastAsia="楷体" w:hAnsi="Times New Roman"/>
                <w:b/>
                <w:noProof/>
              </w:rPr>
              <w:t>指数</w:t>
            </w:r>
            <w:r w:rsidRPr="00185DBA">
              <w:rPr>
                <w:rStyle w:val="a9"/>
                <w:rFonts w:ascii="Times New Roman" w:eastAsia="楷体" w:hAnsi="Times New Roman"/>
                <w:b/>
                <w:noProof/>
              </w:rPr>
              <w:t>]</w:t>
            </w:r>
          </w:hyperlink>
        </w:p>
        <w:p w:rsidR="00557C07" w:rsidRDefault="00557C07">
          <w:pPr>
            <w:pStyle w:val="23"/>
            <w:tabs>
              <w:tab w:val="right" w:leader="dot" w:pos="8296"/>
            </w:tabs>
            <w:rPr>
              <w:rFonts w:eastAsiaTheme="minorEastAsia"/>
              <w:noProof/>
              <w:szCs w:val="22"/>
            </w:rPr>
          </w:pPr>
          <w:hyperlink w:anchor="_Toc153185296" w:history="1">
            <w:r w:rsidRPr="00185DBA">
              <w:rPr>
                <w:rStyle w:val="a9"/>
                <w:rFonts w:ascii="Times New Roman" w:eastAsia="楷体" w:hAnsi="Times New Roman"/>
                <w:b/>
                <w:noProof/>
              </w:rPr>
              <w:t>集运指数（欧线）：增量挺价计划公布，本周即期运价继续上涨</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31852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3185266"/>
      <w:bookmarkEnd w:id="4"/>
      <w:r>
        <w:rPr>
          <w:rFonts w:ascii="Times New Roman" w:eastAsia="楷体" w:hAnsi="Times New Roman" w:hint="eastAsia"/>
          <w:b/>
          <w:color w:val="000000" w:themeColor="text1"/>
          <w:sz w:val="24"/>
          <w:szCs w:val="24"/>
        </w:rPr>
        <w:t>股指：</w:t>
      </w:r>
      <w:bookmarkEnd w:id="6"/>
      <w:bookmarkEnd w:id="7"/>
      <w:r w:rsidR="00EB0E23" w:rsidRPr="00EB0E23">
        <w:rPr>
          <w:rFonts w:ascii="Times New Roman" w:eastAsia="楷体" w:hAnsi="Times New Roman" w:hint="eastAsia"/>
          <w:b/>
          <w:color w:val="000000" w:themeColor="text1"/>
          <w:sz w:val="24"/>
          <w:szCs w:val="24"/>
        </w:rPr>
        <w:t>观望，待企稳后低多</w:t>
      </w:r>
      <w:r w:rsidR="00EB0E23" w:rsidRPr="00EB0E23">
        <w:rPr>
          <w:rFonts w:ascii="Times New Roman" w:eastAsia="楷体" w:hAnsi="Times New Roman" w:hint="eastAsia"/>
          <w:b/>
          <w:color w:val="000000" w:themeColor="text1"/>
          <w:sz w:val="24"/>
          <w:szCs w:val="24"/>
        </w:rPr>
        <w:t>IM</w:t>
      </w:r>
      <w:bookmarkEnd w:id="8"/>
    </w:p>
    <w:p w:rsidR="003F56A5" w:rsidRDefault="00EB0E23" w:rsidP="003F43FB">
      <w:pPr>
        <w:ind w:leftChars="300" w:left="630"/>
        <w:rPr>
          <w:rFonts w:ascii="Times New Roman" w:eastAsia="楷体" w:hAnsi="Times New Roman"/>
          <w:color w:val="000000" w:themeColor="text1"/>
          <w:sz w:val="24"/>
          <w:szCs w:val="24"/>
        </w:rPr>
      </w:pPr>
      <w:r w:rsidRPr="00EB0E23">
        <w:rPr>
          <w:rFonts w:ascii="Times New Roman" w:eastAsia="楷体" w:hAnsi="Times New Roman" w:hint="eastAsia"/>
          <w:color w:val="000000" w:themeColor="text1"/>
          <w:sz w:val="24"/>
          <w:szCs w:val="24"/>
        </w:rPr>
        <w:t>临近重要会议，国内政策刺激预期交易空间有限，基本面维持弱复苏态势，加之美联储加息预期反复扰动，市场暂难出现趋势性大行情。</w:t>
      </w:r>
      <w:r w:rsidRPr="00EB0E23">
        <w:rPr>
          <w:rFonts w:ascii="Times New Roman" w:eastAsia="楷体" w:hAnsi="Times New Roman" w:hint="eastAsia"/>
          <w:color w:val="000000" w:themeColor="text1"/>
          <w:sz w:val="24"/>
          <w:szCs w:val="24"/>
        </w:rPr>
        <w:t xml:space="preserve"> </w:t>
      </w:r>
      <w:r w:rsidRPr="00EB0E23">
        <w:rPr>
          <w:rFonts w:ascii="Times New Roman" w:eastAsia="楷体" w:hAnsi="Times New Roman" w:hint="eastAsia"/>
          <w:color w:val="000000" w:themeColor="text1"/>
          <w:sz w:val="24"/>
          <w:szCs w:val="24"/>
        </w:rPr>
        <w:t>技术面上，日线处于五浪调整级别，后三个交易日在抄底资金入场下弱势企稳，但上方抛压仍大，多次出现冲高回落现象。短期看，小盘相对大盘，成长相对价值持续占优，相对性价比不高，但新产业趋势不断出现是必然趋势，在基本面没有出现明显改善下，科技主题投资和小盘成长风格仍是潜在弹性更大的方向。在市场悲观情绪释放充分后，可先以中小盘成长为抓手做反弹</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31852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3185268"/>
      <w:r>
        <w:rPr>
          <w:rFonts w:ascii="Times New Roman" w:eastAsia="楷体" w:hAnsi="Times New Roman" w:hint="eastAsia"/>
          <w:b/>
          <w:color w:val="000000" w:themeColor="text1"/>
          <w:sz w:val="24"/>
          <w:szCs w:val="24"/>
        </w:rPr>
        <w:t>贵金属：</w:t>
      </w:r>
      <w:r w:rsidR="00EB0E23" w:rsidRPr="00EB0E23">
        <w:rPr>
          <w:rFonts w:ascii="Times New Roman" w:eastAsia="楷体" w:hAnsi="Times New Roman" w:hint="eastAsia"/>
          <w:b/>
          <w:color w:val="000000" w:themeColor="text1"/>
          <w:sz w:val="24"/>
          <w:szCs w:val="24"/>
        </w:rPr>
        <w:t>美国非农超预期，内盘贵金属价格下跌</w:t>
      </w:r>
      <w:bookmarkEnd w:id="10"/>
    </w:p>
    <w:p w:rsidR="003F56A5" w:rsidRDefault="00EB0E23">
      <w:pPr>
        <w:ind w:leftChars="300" w:left="630"/>
        <w:rPr>
          <w:rFonts w:ascii="Times New Roman" w:eastAsia="楷体" w:hAnsi="Times New Roman"/>
          <w:sz w:val="24"/>
          <w:szCs w:val="24"/>
        </w:rPr>
      </w:pPr>
      <w:r w:rsidRPr="00EB0E23">
        <w:rPr>
          <w:rFonts w:ascii="Times New Roman" w:eastAsia="楷体" w:hAnsi="Times New Roman" w:hint="eastAsia"/>
          <w:color w:val="000000" w:themeColor="text1"/>
          <w:sz w:val="24"/>
          <w:szCs w:val="24"/>
        </w:rPr>
        <w:t>美元指数微跌</w:t>
      </w:r>
      <w:r w:rsidRPr="00EB0E23">
        <w:rPr>
          <w:rFonts w:ascii="Times New Roman" w:eastAsia="楷体" w:hAnsi="Times New Roman" w:hint="eastAsia"/>
          <w:color w:val="000000" w:themeColor="text1"/>
          <w:sz w:val="24"/>
          <w:szCs w:val="24"/>
        </w:rPr>
        <w:t>0.04%</w:t>
      </w:r>
      <w:r w:rsidRPr="00EB0E23">
        <w:rPr>
          <w:rFonts w:ascii="Times New Roman" w:eastAsia="楷体" w:hAnsi="Times New Roman" w:hint="eastAsia"/>
          <w:color w:val="000000" w:themeColor="text1"/>
          <w:sz w:val="24"/>
          <w:szCs w:val="24"/>
        </w:rPr>
        <w:t>至</w:t>
      </w:r>
      <w:r w:rsidRPr="00EB0E23">
        <w:rPr>
          <w:rFonts w:ascii="Times New Roman" w:eastAsia="楷体" w:hAnsi="Times New Roman" w:hint="eastAsia"/>
          <w:color w:val="000000" w:themeColor="text1"/>
          <w:sz w:val="24"/>
          <w:szCs w:val="24"/>
        </w:rPr>
        <w:t>103.96</w:t>
      </w:r>
      <w:r w:rsidRPr="00EB0E23">
        <w:rPr>
          <w:rFonts w:ascii="Times New Roman" w:eastAsia="楷体" w:hAnsi="Times New Roman" w:hint="eastAsia"/>
          <w:color w:val="000000" w:themeColor="text1"/>
          <w:sz w:val="24"/>
          <w:szCs w:val="24"/>
        </w:rPr>
        <w:t>，美十债收益率涨</w:t>
      </w:r>
      <w:r w:rsidRPr="00EB0E23">
        <w:rPr>
          <w:rFonts w:ascii="Times New Roman" w:eastAsia="楷体" w:hAnsi="Times New Roman" w:hint="eastAsia"/>
          <w:color w:val="000000" w:themeColor="text1"/>
          <w:sz w:val="24"/>
          <w:szCs w:val="24"/>
        </w:rPr>
        <w:t>2.0bp</w:t>
      </w:r>
      <w:r w:rsidRPr="00EB0E23">
        <w:rPr>
          <w:rFonts w:ascii="Times New Roman" w:eastAsia="楷体" w:hAnsi="Times New Roman" w:hint="eastAsia"/>
          <w:color w:val="000000" w:themeColor="text1"/>
          <w:sz w:val="24"/>
          <w:szCs w:val="24"/>
        </w:rPr>
        <w:t>至</w:t>
      </w:r>
      <w:r w:rsidRPr="00EB0E23">
        <w:rPr>
          <w:rFonts w:ascii="Times New Roman" w:eastAsia="楷体" w:hAnsi="Times New Roman" w:hint="eastAsia"/>
          <w:color w:val="000000" w:themeColor="text1"/>
          <w:sz w:val="24"/>
          <w:szCs w:val="24"/>
        </w:rPr>
        <w:t>4.252%</w:t>
      </w:r>
      <w:r w:rsidRPr="00EB0E23">
        <w:rPr>
          <w:rFonts w:ascii="Times New Roman" w:eastAsia="楷体" w:hAnsi="Times New Roman" w:hint="eastAsia"/>
          <w:color w:val="000000" w:themeColor="text1"/>
          <w:sz w:val="24"/>
          <w:szCs w:val="24"/>
        </w:rPr>
        <w:t>，沪金跌</w:t>
      </w:r>
      <w:r w:rsidRPr="00EB0E23">
        <w:rPr>
          <w:rFonts w:ascii="Times New Roman" w:eastAsia="楷体" w:hAnsi="Times New Roman" w:hint="eastAsia"/>
          <w:color w:val="000000" w:themeColor="text1"/>
          <w:sz w:val="24"/>
          <w:szCs w:val="24"/>
        </w:rPr>
        <w:t>0.99%</w:t>
      </w:r>
      <w:r w:rsidRPr="00EB0E23">
        <w:rPr>
          <w:rFonts w:ascii="Times New Roman" w:eastAsia="楷体" w:hAnsi="Times New Roman" w:hint="eastAsia"/>
          <w:color w:val="000000" w:themeColor="text1"/>
          <w:sz w:val="24"/>
          <w:szCs w:val="24"/>
        </w:rPr>
        <w:t>，沪银跌</w:t>
      </w:r>
      <w:r w:rsidRPr="00EB0E23">
        <w:rPr>
          <w:rFonts w:ascii="Times New Roman" w:eastAsia="楷体" w:hAnsi="Times New Roman" w:hint="eastAsia"/>
          <w:color w:val="000000" w:themeColor="text1"/>
          <w:sz w:val="24"/>
          <w:szCs w:val="24"/>
        </w:rPr>
        <w:t>1.96%</w:t>
      </w:r>
      <w:r w:rsidRPr="00EB0E23">
        <w:rPr>
          <w:rFonts w:ascii="Times New Roman" w:eastAsia="楷体" w:hAnsi="Times New Roman" w:hint="eastAsia"/>
          <w:color w:val="000000" w:themeColor="text1"/>
          <w:sz w:val="24"/>
          <w:szCs w:val="24"/>
        </w:rPr>
        <w:t>。美国</w:t>
      </w:r>
      <w:r w:rsidRPr="00EB0E23">
        <w:rPr>
          <w:rFonts w:ascii="Times New Roman" w:eastAsia="楷体" w:hAnsi="Times New Roman" w:hint="eastAsia"/>
          <w:color w:val="000000" w:themeColor="text1"/>
          <w:sz w:val="24"/>
          <w:szCs w:val="24"/>
        </w:rPr>
        <w:t>11</w:t>
      </w:r>
      <w:r w:rsidRPr="00EB0E23">
        <w:rPr>
          <w:rFonts w:ascii="Times New Roman" w:eastAsia="楷体" w:hAnsi="Times New Roman" w:hint="eastAsia"/>
          <w:color w:val="000000" w:themeColor="text1"/>
          <w:sz w:val="24"/>
          <w:szCs w:val="24"/>
        </w:rPr>
        <w:t>月新增非农就业人数录得增</w:t>
      </w:r>
      <w:r w:rsidRPr="00EB0E23">
        <w:rPr>
          <w:rFonts w:ascii="Times New Roman" w:eastAsia="楷体" w:hAnsi="Times New Roman" w:hint="eastAsia"/>
          <w:color w:val="000000" w:themeColor="text1"/>
          <w:sz w:val="24"/>
          <w:szCs w:val="24"/>
        </w:rPr>
        <w:t>19.9</w:t>
      </w:r>
      <w:r w:rsidRPr="00EB0E23">
        <w:rPr>
          <w:rFonts w:ascii="Times New Roman" w:eastAsia="楷体" w:hAnsi="Times New Roman" w:hint="eastAsia"/>
          <w:color w:val="000000" w:themeColor="text1"/>
          <w:sz w:val="24"/>
          <w:szCs w:val="24"/>
        </w:rPr>
        <w:t>万人，较上月而言上升</w:t>
      </w:r>
      <w:r w:rsidRPr="00EB0E23">
        <w:rPr>
          <w:rFonts w:ascii="Times New Roman" w:eastAsia="楷体" w:hAnsi="Times New Roman" w:hint="eastAsia"/>
          <w:color w:val="000000" w:themeColor="text1"/>
          <w:sz w:val="24"/>
          <w:szCs w:val="24"/>
        </w:rPr>
        <w:t>4.9</w:t>
      </w:r>
      <w:r w:rsidRPr="00EB0E23">
        <w:rPr>
          <w:rFonts w:ascii="Times New Roman" w:eastAsia="楷体" w:hAnsi="Times New Roman" w:hint="eastAsia"/>
          <w:color w:val="000000" w:themeColor="text1"/>
          <w:sz w:val="24"/>
          <w:szCs w:val="24"/>
        </w:rPr>
        <w:t>万人，高于此前预期的</w:t>
      </w:r>
      <w:r w:rsidRPr="00EB0E23">
        <w:rPr>
          <w:rFonts w:ascii="Times New Roman" w:eastAsia="楷体" w:hAnsi="Times New Roman" w:hint="eastAsia"/>
          <w:color w:val="000000" w:themeColor="text1"/>
          <w:sz w:val="24"/>
          <w:szCs w:val="24"/>
        </w:rPr>
        <w:t>18</w:t>
      </w:r>
      <w:r w:rsidRPr="00EB0E23">
        <w:rPr>
          <w:rFonts w:ascii="Times New Roman" w:eastAsia="楷体" w:hAnsi="Times New Roman" w:hint="eastAsia"/>
          <w:color w:val="000000" w:themeColor="text1"/>
          <w:sz w:val="24"/>
          <w:szCs w:val="24"/>
        </w:rPr>
        <w:t>万人。分项而言，</w:t>
      </w:r>
      <w:r w:rsidRPr="00EB0E23">
        <w:rPr>
          <w:rFonts w:ascii="Times New Roman" w:eastAsia="楷体" w:hAnsi="Times New Roman" w:hint="eastAsia"/>
          <w:color w:val="000000" w:themeColor="text1"/>
          <w:sz w:val="24"/>
          <w:szCs w:val="24"/>
        </w:rPr>
        <w:t>11</w:t>
      </w:r>
      <w:r w:rsidRPr="00EB0E23">
        <w:rPr>
          <w:rFonts w:ascii="Times New Roman" w:eastAsia="楷体" w:hAnsi="Times New Roman" w:hint="eastAsia"/>
          <w:color w:val="000000" w:themeColor="text1"/>
          <w:sz w:val="24"/>
          <w:szCs w:val="24"/>
        </w:rPr>
        <w:t>月新增非农就业主要受教育和保健服务、政府部门、休闲和酒店业所拉动。美国失业率增</w:t>
      </w:r>
      <w:r w:rsidRPr="00EB0E23">
        <w:rPr>
          <w:rFonts w:ascii="Times New Roman" w:eastAsia="楷体" w:hAnsi="Times New Roman" w:hint="eastAsia"/>
          <w:color w:val="000000" w:themeColor="text1"/>
          <w:sz w:val="24"/>
          <w:szCs w:val="24"/>
        </w:rPr>
        <w:t>3.7%</w:t>
      </w:r>
      <w:r w:rsidRPr="00EB0E23">
        <w:rPr>
          <w:rFonts w:ascii="Times New Roman" w:eastAsia="楷体" w:hAnsi="Times New Roman" w:hint="eastAsia"/>
          <w:color w:val="000000" w:themeColor="text1"/>
          <w:sz w:val="24"/>
          <w:szCs w:val="24"/>
        </w:rPr>
        <w:t>，较上月而言下行</w:t>
      </w:r>
      <w:r w:rsidRPr="00EB0E23">
        <w:rPr>
          <w:rFonts w:ascii="Times New Roman" w:eastAsia="楷体" w:hAnsi="Times New Roman" w:hint="eastAsia"/>
          <w:color w:val="000000" w:themeColor="text1"/>
          <w:sz w:val="24"/>
          <w:szCs w:val="24"/>
        </w:rPr>
        <w:t>0.2</w:t>
      </w:r>
      <w:r w:rsidRPr="00EB0E23">
        <w:rPr>
          <w:rFonts w:ascii="Times New Roman" w:eastAsia="楷体" w:hAnsi="Times New Roman" w:hint="eastAsia"/>
          <w:color w:val="000000" w:themeColor="text1"/>
          <w:sz w:val="24"/>
          <w:szCs w:val="24"/>
        </w:rPr>
        <w:t>个百分点；美国劳动参与率增</w:t>
      </w:r>
      <w:r w:rsidRPr="00EB0E23">
        <w:rPr>
          <w:rFonts w:ascii="Times New Roman" w:eastAsia="楷体" w:hAnsi="Times New Roman" w:hint="eastAsia"/>
          <w:color w:val="000000" w:themeColor="text1"/>
          <w:sz w:val="24"/>
          <w:szCs w:val="24"/>
        </w:rPr>
        <w:t>62.8%</w:t>
      </w:r>
      <w:r w:rsidRPr="00EB0E23">
        <w:rPr>
          <w:rFonts w:ascii="Times New Roman" w:eastAsia="楷体" w:hAnsi="Times New Roman" w:hint="eastAsia"/>
          <w:color w:val="000000" w:themeColor="text1"/>
          <w:sz w:val="24"/>
          <w:szCs w:val="24"/>
        </w:rPr>
        <w:t>，较上月而言上行</w:t>
      </w:r>
      <w:r w:rsidRPr="00EB0E23">
        <w:rPr>
          <w:rFonts w:ascii="Times New Roman" w:eastAsia="楷体" w:hAnsi="Times New Roman" w:hint="eastAsia"/>
          <w:color w:val="000000" w:themeColor="text1"/>
          <w:sz w:val="24"/>
          <w:szCs w:val="24"/>
        </w:rPr>
        <w:t>0.1</w:t>
      </w:r>
      <w:r w:rsidRPr="00EB0E23">
        <w:rPr>
          <w:rFonts w:ascii="Times New Roman" w:eastAsia="楷体" w:hAnsi="Times New Roman" w:hint="eastAsia"/>
          <w:color w:val="000000" w:themeColor="text1"/>
          <w:sz w:val="24"/>
          <w:szCs w:val="24"/>
        </w:rPr>
        <w:t>个百分点。美国非农私营平均时薪为</w:t>
      </w:r>
      <w:r w:rsidRPr="00EB0E23">
        <w:rPr>
          <w:rFonts w:ascii="Times New Roman" w:eastAsia="楷体" w:hAnsi="Times New Roman" w:hint="eastAsia"/>
          <w:color w:val="000000" w:themeColor="text1"/>
          <w:sz w:val="24"/>
          <w:szCs w:val="24"/>
        </w:rPr>
        <w:t>34.1</w:t>
      </w:r>
      <w:r w:rsidRPr="00EB0E23">
        <w:rPr>
          <w:rFonts w:ascii="Times New Roman" w:eastAsia="楷体" w:hAnsi="Times New Roman" w:hint="eastAsia"/>
          <w:color w:val="000000" w:themeColor="text1"/>
          <w:sz w:val="24"/>
          <w:szCs w:val="24"/>
        </w:rPr>
        <w:t>美元，时薪增速同比持平上月的增</w:t>
      </w:r>
      <w:r w:rsidRPr="00EB0E23">
        <w:rPr>
          <w:rFonts w:ascii="Times New Roman" w:eastAsia="楷体" w:hAnsi="Times New Roman" w:hint="eastAsia"/>
          <w:color w:val="000000" w:themeColor="text1"/>
          <w:sz w:val="24"/>
          <w:szCs w:val="24"/>
        </w:rPr>
        <w:t>4%</w:t>
      </w:r>
      <w:r w:rsidRPr="00EB0E23">
        <w:rPr>
          <w:rFonts w:ascii="Times New Roman" w:eastAsia="楷体" w:hAnsi="Times New Roman" w:hint="eastAsia"/>
          <w:color w:val="000000" w:themeColor="text1"/>
          <w:sz w:val="24"/>
          <w:szCs w:val="24"/>
        </w:rPr>
        <w:t>；环比回升至增</w:t>
      </w:r>
      <w:r w:rsidRPr="00EB0E23">
        <w:rPr>
          <w:rFonts w:ascii="Times New Roman" w:eastAsia="楷体" w:hAnsi="Times New Roman" w:hint="eastAsia"/>
          <w:color w:val="000000" w:themeColor="text1"/>
          <w:sz w:val="24"/>
          <w:szCs w:val="24"/>
        </w:rPr>
        <w:t>0.4%</w:t>
      </w:r>
      <w:r w:rsidRPr="00EB0E23">
        <w:rPr>
          <w:rFonts w:ascii="Times New Roman" w:eastAsia="楷体" w:hAnsi="Times New Roman" w:hint="eastAsia"/>
          <w:color w:val="000000" w:themeColor="text1"/>
          <w:sz w:val="24"/>
          <w:szCs w:val="24"/>
        </w:rPr>
        <w:t>。美联储政策利率接近终值，但需留意近期海外市场或有些过度乐观，明年一季度左右可能需要留意乐观预期略微回调修正的可能性，若美联储二季度左右启动降息，贵金属价格上行空间可能随之打开，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31852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318527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B0E23" w:rsidRPr="00EB0E23">
        <w:rPr>
          <w:rFonts w:ascii="楷体" w:eastAsia="楷体" w:hAnsi="楷体" w:hint="eastAsia"/>
          <w:b/>
          <w:color w:val="000000" w:themeColor="text1"/>
          <w:sz w:val="24"/>
          <w:szCs w:val="24"/>
        </w:rPr>
        <w:t>资金博弈加剧，期价两度涨停</w:t>
      </w:r>
      <w:bookmarkEnd w:id="18"/>
    </w:p>
    <w:p w:rsidR="00F50569" w:rsidRDefault="00EB0E23" w:rsidP="00F50569">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上周五碳酸锂期价开盘即全线涨停，01合约收涨10%至103100元/吨，07合约收涨10%至102300元/吨，资金向远月移仓、前期空头离场的交易行为造成空头回补行情，交割业务处于启动初期、仓单注册情况暂未明朗，近期品种波动或加剧。广期所公告，自12月11日交易时起，非期货公司会员或客户在碳酸锂期货LC2401合约、LC2402合约上单日开仓量不得超过500手，在碳酸锂期货LC2407合约上单日开仓量不得超过3000手。新增山东瑞福锂业有限公司，融捷投资控股集团有限公司，厦门建益达有限公司为碳酸锂期货交割厂库；将9个交割仓库存放点最低保障库容从2000吨增加至5000吨。留意品种基本面未发生重大改善，下游需求偏弱，供应存在增量预期。近期多空博弈有所加剧，留意交易风险，建议谨慎观望</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3185271"/>
      <w:r>
        <w:rPr>
          <w:rFonts w:ascii="楷体" w:eastAsia="楷体" w:hAnsi="楷体" w:hint="eastAsia"/>
          <w:b/>
          <w:color w:val="000000" w:themeColor="text1"/>
          <w:sz w:val="24"/>
          <w:szCs w:val="24"/>
        </w:rPr>
        <w:t>螺纹钢：</w:t>
      </w:r>
      <w:bookmarkEnd w:id="16"/>
      <w:bookmarkEnd w:id="17"/>
      <w:r w:rsidR="007D2916" w:rsidRPr="007D2916">
        <w:rPr>
          <w:rFonts w:ascii="楷体" w:eastAsia="楷体" w:hAnsi="楷体" w:hint="eastAsia"/>
          <w:b/>
          <w:color w:val="000000" w:themeColor="text1"/>
          <w:sz w:val="24"/>
          <w:szCs w:val="24"/>
        </w:rPr>
        <w:t>消息刺激下，盘面偏强运行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D2916" w:rsidP="00201944">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lastRenderedPageBreak/>
        <w:t>当前淡季累库，产量相对偏高，价格存在一定压力。个别钢厂已经披露冬储政策，市场或逐渐进入冬储博弈阶段。短期减产下基本面压力缓解，但核心还是在于宏观层面的预期博弈。短期重大会议及碳达峰政策刺激市场，价格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3185272"/>
      <w:r>
        <w:rPr>
          <w:rFonts w:ascii="楷体" w:eastAsia="楷体" w:hAnsi="楷体" w:hint="eastAsia"/>
          <w:b/>
          <w:color w:val="000000" w:themeColor="text1"/>
          <w:sz w:val="24"/>
          <w:szCs w:val="24"/>
        </w:rPr>
        <w:t>焦炭：</w:t>
      </w:r>
      <w:bookmarkEnd w:id="20"/>
      <w:bookmarkEnd w:id="21"/>
      <w:r w:rsidR="007D2916" w:rsidRPr="007D2916">
        <w:rPr>
          <w:rFonts w:ascii="楷体" w:eastAsia="楷体" w:hAnsi="楷体" w:hint="eastAsia"/>
          <w:b/>
          <w:color w:val="000000" w:themeColor="text1"/>
          <w:sz w:val="24"/>
          <w:szCs w:val="24"/>
        </w:rPr>
        <w:t>第三轮提涨提出，盘面区间震荡</w:t>
      </w:r>
      <w:bookmarkEnd w:id="22"/>
    </w:p>
    <w:p w:rsidR="003F56A5" w:rsidRDefault="007D2916" w:rsidP="00572E35">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成本端有所松动，短期波幅不大，第三轮上涨存在分歧，或仍需博弈，短期区间震荡为主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3185273"/>
      <w:r>
        <w:rPr>
          <w:rFonts w:ascii="楷体" w:eastAsia="楷体" w:hAnsi="楷体" w:hint="eastAsia"/>
          <w:b/>
          <w:color w:val="000000" w:themeColor="text1"/>
          <w:sz w:val="24"/>
          <w:szCs w:val="24"/>
        </w:rPr>
        <w:t>焦煤：</w:t>
      </w:r>
      <w:r w:rsidR="007D2916" w:rsidRPr="007D2916">
        <w:rPr>
          <w:rFonts w:ascii="楷体" w:eastAsia="楷体" w:hAnsi="楷体" w:hint="eastAsia"/>
          <w:b/>
          <w:sz w:val="24"/>
          <w:szCs w:val="24"/>
        </w:rPr>
        <w:t>现货有所松动，但下行空间有限</w:t>
      </w:r>
      <w:bookmarkEnd w:id="23"/>
    </w:p>
    <w:p w:rsidR="003F56A5" w:rsidRDefault="007D2916">
      <w:pPr>
        <w:ind w:leftChars="300" w:left="630"/>
        <w:rPr>
          <w:rFonts w:ascii="楷体" w:eastAsia="楷体" w:hAnsi="楷体"/>
          <w:bCs/>
          <w:sz w:val="24"/>
          <w:szCs w:val="24"/>
        </w:rPr>
      </w:pPr>
      <w:r w:rsidRPr="007D2916">
        <w:rPr>
          <w:rFonts w:ascii="楷体" w:eastAsia="楷体" w:hAnsi="楷体" w:hint="eastAsia"/>
          <w:sz w:val="24"/>
          <w:szCs w:val="24"/>
        </w:rPr>
        <w:t>产量边际向上修复，现货紧缺压力有所缓解，下游钢经历一轮补库，整体库存处于合理水平，短期上行驱动不强。煤矿仍处于低产、低库存状态，叠加仍有部分冬储量未完成，价格仍有支撑。短期震荡偏强为主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3185274"/>
      <w:r>
        <w:rPr>
          <w:rFonts w:ascii="楷体" w:eastAsia="楷体" w:hAnsi="楷体" w:hint="eastAsia"/>
          <w:b/>
          <w:color w:val="000000" w:themeColor="text1"/>
          <w:sz w:val="24"/>
          <w:szCs w:val="24"/>
        </w:rPr>
        <w:t>铜：</w:t>
      </w:r>
      <w:bookmarkEnd w:id="24"/>
      <w:bookmarkEnd w:id="25"/>
      <w:r w:rsidR="00EB0E23" w:rsidRPr="00EB0E23">
        <w:rPr>
          <w:rFonts w:ascii="楷体" w:eastAsia="楷体" w:hAnsi="楷体" w:hint="eastAsia"/>
          <w:b/>
          <w:color w:val="000000" w:themeColor="text1"/>
          <w:sz w:val="24"/>
          <w:szCs w:val="24"/>
        </w:rPr>
        <w:t>短期维持高位运行</w:t>
      </w:r>
      <w:bookmarkEnd w:id="26"/>
    </w:p>
    <w:p w:rsidR="00EB0E23" w:rsidRPr="00EB0E23" w:rsidRDefault="00EB0E23" w:rsidP="00EB0E23">
      <w:pPr>
        <w:ind w:leftChars="300" w:left="630"/>
        <w:rPr>
          <w:rFonts w:ascii="楷体" w:eastAsia="楷体" w:hAnsi="楷体" w:hint="eastAsia"/>
          <w:color w:val="000000" w:themeColor="text1"/>
          <w:sz w:val="24"/>
          <w:szCs w:val="24"/>
        </w:rPr>
      </w:pPr>
      <w:r w:rsidRPr="00EB0E23">
        <w:rPr>
          <w:rFonts w:ascii="楷体" w:eastAsia="楷体" w:hAnsi="楷体" w:hint="eastAsia"/>
          <w:color w:val="000000" w:themeColor="text1"/>
          <w:sz w:val="24"/>
          <w:szCs w:val="24"/>
        </w:rPr>
        <w:t>(1)宏观：美国11月非农就业人口增加19.9万人，高于预期18.3万人和前值15万人；美国11月失业率降至3.7%，预期和前值均为3.9%</w:t>
      </w:r>
    </w:p>
    <w:p w:rsidR="00EB0E23" w:rsidRPr="00EB0E23" w:rsidRDefault="00EB0E23" w:rsidP="00EB0E23">
      <w:pPr>
        <w:ind w:leftChars="300" w:left="630"/>
        <w:rPr>
          <w:rFonts w:ascii="楷体" w:eastAsia="楷体" w:hAnsi="楷体" w:hint="eastAsia"/>
          <w:color w:val="000000" w:themeColor="text1"/>
          <w:sz w:val="24"/>
          <w:szCs w:val="24"/>
        </w:rPr>
      </w:pPr>
      <w:r w:rsidRPr="00EB0E23">
        <w:rPr>
          <w:rFonts w:ascii="楷体" w:eastAsia="楷体" w:hAnsi="楷体" w:hint="eastAsia"/>
          <w:color w:val="000000" w:themeColor="text1"/>
          <w:sz w:val="24"/>
          <w:szCs w:val="24"/>
        </w:rPr>
        <w:t>(2)库存：12月08日，SHFE周库存30342吨，较上周五增4193；LME仓单库存181600吨，较上周五增7350吨。</w:t>
      </w:r>
    </w:p>
    <w:p w:rsidR="00EB0E23" w:rsidRPr="00EB0E23" w:rsidRDefault="00EB0E23" w:rsidP="00EB0E23">
      <w:pPr>
        <w:ind w:leftChars="300" w:left="630"/>
        <w:rPr>
          <w:rFonts w:ascii="楷体" w:eastAsia="楷体" w:hAnsi="楷体" w:hint="eastAsia"/>
          <w:color w:val="000000" w:themeColor="text1"/>
          <w:sz w:val="24"/>
          <w:szCs w:val="24"/>
        </w:rPr>
      </w:pPr>
      <w:r w:rsidRPr="00EB0E23">
        <w:rPr>
          <w:rFonts w:ascii="楷体" w:eastAsia="楷体" w:hAnsi="楷体" w:hint="eastAsia"/>
          <w:color w:val="000000" w:themeColor="text1"/>
          <w:sz w:val="24"/>
          <w:szCs w:val="24"/>
        </w:rPr>
        <w:t>(3)精废价差：12月08日，Mysteel精废价差1790，扩张58。目前价差在合理价差1386之上。</w:t>
      </w:r>
    </w:p>
    <w:p w:rsidR="00EB0E23" w:rsidRPr="00EB0E23" w:rsidRDefault="00EB0E23" w:rsidP="00EB0E23">
      <w:pPr>
        <w:ind w:leftChars="300" w:left="630"/>
        <w:rPr>
          <w:rFonts w:ascii="楷体" w:eastAsia="楷体" w:hAnsi="楷体"/>
          <w:color w:val="000000" w:themeColor="text1"/>
          <w:sz w:val="24"/>
          <w:szCs w:val="24"/>
        </w:rPr>
      </w:pPr>
    </w:p>
    <w:p w:rsidR="00127803" w:rsidRPr="00127803" w:rsidRDefault="00EB0E23" w:rsidP="00EB0E23">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综述：宏观面，当前市场情绪及政策预期上内外整体仍延续乐观状态，对铜价仍提供正面支撑。基本面，矿端紧张交易情绪基本消化，前期高铜价高升水 对铜下游消费抑制严重，消费面对沪铜支撑走弱，但低库存逻辑仍存。短期铜价延续高位运行，主波动区间参考67500-69500。关注12月13日美联储利率决议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3185275"/>
      <w:r>
        <w:rPr>
          <w:rFonts w:ascii="楷体" w:eastAsia="楷体" w:hAnsi="楷体" w:hint="eastAsia"/>
          <w:b/>
          <w:color w:val="000000" w:themeColor="text1"/>
          <w:sz w:val="24"/>
          <w:szCs w:val="24"/>
        </w:rPr>
        <w:t>铝：</w:t>
      </w:r>
      <w:bookmarkEnd w:id="27"/>
      <w:bookmarkEnd w:id="28"/>
      <w:r w:rsidR="00EB0E23" w:rsidRPr="00EB0E23">
        <w:rPr>
          <w:rFonts w:ascii="楷体" w:eastAsia="楷体" w:hAnsi="楷体" w:hint="eastAsia"/>
          <w:b/>
          <w:color w:val="000000" w:themeColor="text1"/>
          <w:sz w:val="24"/>
          <w:szCs w:val="24"/>
        </w:rPr>
        <w:t>铝价上下有限，关注区间反弹做多机会</w:t>
      </w:r>
      <w:bookmarkEnd w:id="29"/>
    </w:p>
    <w:p w:rsidR="003F56A5" w:rsidRDefault="00EB0E23" w:rsidP="00127803">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海外宏观风险依旧偏高，加息已接近尾声，美国非农数据超市场预期，实际降息依旧值得期待，明年联邦基金利率目标区间预计将大幅回落。穆迪下调中国主权信用评级为“负面”，国内依旧维持政策面的偏利多支持，中央政治经济局会议表示，24年经济动向为稳中向好。云南落实减产后，周内电解铝运行产能维持稳定，11月国内电解铝产量同比增长4.6%，进口盈利窗口打开，进口铝锭持续向国内市场流入，供应端依旧偏多看待。下游需求正值淡季消费，但用铝市场仍有新能源板块及冬季下游逢低补库需求支撑，交易所库存维持低位，社会库存持续去库。铝价近期走势偏弱，下游厂家逢低补库，社库水平下跌到55万吨附近，短期价格下方空间有限，关注波动区间18400-19300的跌后反弹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3185276"/>
      <w:r>
        <w:rPr>
          <w:rFonts w:ascii="楷体" w:eastAsia="楷体" w:hAnsi="楷体" w:hint="eastAsia"/>
          <w:b/>
          <w:color w:val="000000" w:themeColor="text1"/>
          <w:sz w:val="24"/>
          <w:szCs w:val="24"/>
        </w:rPr>
        <w:t>锌：</w:t>
      </w:r>
      <w:r w:rsidR="00EB17AF" w:rsidRPr="00EB17AF">
        <w:rPr>
          <w:rFonts w:ascii="楷体" w:eastAsia="楷体" w:hAnsi="楷体" w:hint="eastAsia"/>
          <w:b/>
          <w:color w:val="000000" w:themeColor="text1"/>
          <w:sz w:val="24"/>
          <w:szCs w:val="24"/>
        </w:rPr>
        <w:t>锌价快速下跌有反弹可能</w:t>
      </w:r>
      <w:bookmarkEnd w:id="30"/>
    </w:p>
    <w:p w:rsidR="003F56A5" w:rsidRDefault="00EB17AF" w:rsidP="000B0648">
      <w:pPr>
        <w:ind w:leftChars="300" w:left="630"/>
        <w:rPr>
          <w:rFonts w:ascii="楷体" w:eastAsia="楷体" w:hAnsi="楷体"/>
          <w:color w:val="000000" w:themeColor="text1"/>
          <w:sz w:val="24"/>
          <w:szCs w:val="24"/>
        </w:rPr>
      </w:pPr>
      <w:r w:rsidRPr="00EB17AF">
        <w:rPr>
          <w:rFonts w:ascii="楷体" w:eastAsia="楷体" w:hAnsi="楷体" w:hint="eastAsia"/>
          <w:color w:val="000000" w:themeColor="text1"/>
          <w:sz w:val="24"/>
          <w:szCs w:val="24"/>
        </w:rPr>
        <w:t>海外库存激增叠加供应偏过剩的预期下，锌价承压运行，矿端加工持续下跌，淡季企业逢低补库导致国内锌市库存去库，价格下方仍有支撑，供需博弈之下，锌价前期快速下跌有反弹可能</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3185277"/>
      <w:r>
        <w:rPr>
          <w:rFonts w:ascii="楷体" w:eastAsia="楷体" w:hAnsi="楷体" w:hint="eastAsia"/>
          <w:b/>
          <w:color w:val="000000" w:themeColor="text1"/>
          <w:sz w:val="24"/>
          <w:szCs w:val="24"/>
        </w:rPr>
        <w:t>镍：</w:t>
      </w:r>
      <w:r w:rsidR="00EB0E23" w:rsidRPr="00EB0E23">
        <w:rPr>
          <w:rFonts w:ascii="楷体" w:eastAsia="楷体" w:hAnsi="楷体" w:hint="eastAsia"/>
          <w:b/>
          <w:color w:val="000000" w:themeColor="text1"/>
          <w:sz w:val="24"/>
          <w:szCs w:val="24"/>
        </w:rPr>
        <w:t>过剩依旧，承压持续</w:t>
      </w:r>
      <w:bookmarkEnd w:id="31"/>
    </w:p>
    <w:p w:rsidR="003F56A5" w:rsidRDefault="00EB0E23">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成本端，镍产品已全线产能过剩，且硫酸镍在原料宽松和需求萎靡处境下持续下跌，镍成本支撑存在继续下移的可能性。供需端，供增需弱格局不改，全球显性库存持续累库，压制镍价。镍价暂无明显反弹动能，需等待需求好转或减产行动，预计以偏弱震荡筑底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318527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3185279"/>
      <w:r>
        <w:rPr>
          <w:rFonts w:ascii="楷体" w:eastAsia="楷体" w:hAnsi="楷体" w:hint="eastAsia"/>
          <w:b/>
          <w:color w:val="000000" w:themeColor="text1"/>
          <w:sz w:val="24"/>
          <w:szCs w:val="24"/>
        </w:rPr>
        <w:t>不锈钢：</w:t>
      </w:r>
      <w:r w:rsidR="00EB0E23" w:rsidRPr="00EB0E23">
        <w:rPr>
          <w:rFonts w:ascii="楷体" w:eastAsia="楷体" w:hAnsi="楷体" w:hint="eastAsia"/>
          <w:b/>
          <w:color w:val="000000" w:themeColor="text1"/>
          <w:sz w:val="24"/>
          <w:szCs w:val="24"/>
        </w:rPr>
        <w:t>成本支撑摇晃，需求维持疲弱</w:t>
      </w:r>
      <w:bookmarkEnd w:id="33"/>
    </w:p>
    <w:p w:rsidR="003F56A5" w:rsidRDefault="00EB0E23" w:rsidP="001529BB">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从供需来看，不锈钢厂在12月开工率有所上升，但需求却维持疲弱，部分厂家在年底资金压力下低价出货，下游成交氛围不见明显起色，供增需弱态势对不锈钢施压。从成本来看，镍铁厂承受着需求不振、钢厂压价、过剩压力，镍矿价格也受到需求不振带来的压制，不锈钢原料价格仍未企稳。综合来看，基本面未有改善，成本支撑摇晃不锈钢价短期内预计继续弱势运行，上行动能需等待原料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3185280"/>
      <w:r>
        <w:rPr>
          <w:rFonts w:ascii="楷体" w:eastAsia="楷体" w:hAnsi="楷体" w:hint="eastAsia"/>
          <w:b/>
          <w:color w:val="000000" w:themeColor="text1"/>
          <w:sz w:val="24"/>
          <w:szCs w:val="24"/>
        </w:rPr>
        <w:t>工业硅：</w:t>
      </w:r>
      <w:r w:rsidR="00EB0E23" w:rsidRPr="00EB0E23">
        <w:rPr>
          <w:rFonts w:ascii="楷体" w:eastAsia="楷体" w:hAnsi="楷体" w:hint="eastAsia"/>
          <w:b/>
          <w:sz w:val="24"/>
          <w:szCs w:val="24"/>
        </w:rPr>
        <w:t>西南扩大减产规模，成本支撑或逐步显现</w:t>
      </w:r>
      <w:bookmarkEnd w:id="34"/>
    </w:p>
    <w:p w:rsidR="003F56A5" w:rsidRDefault="00EB0E23" w:rsidP="00827E8A">
      <w:pPr>
        <w:ind w:leftChars="300" w:left="630"/>
        <w:rPr>
          <w:rFonts w:ascii="楷体" w:eastAsia="楷体" w:hAnsi="楷体"/>
          <w:sz w:val="24"/>
          <w:szCs w:val="24"/>
        </w:rPr>
      </w:pPr>
      <w:r w:rsidRPr="00EB0E23">
        <w:rPr>
          <w:rFonts w:ascii="楷体" w:eastAsia="楷体" w:hAnsi="楷体" w:hint="eastAsia"/>
          <w:sz w:val="24"/>
          <w:szCs w:val="24"/>
        </w:rPr>
        <w:t>12月8日，Si2402主力合约呈反弹走势，收盘价13875元/吨，较上一收盘价涨跌幅＋1.28%。西南产区进入12月，电价在11月基础上进一步上调。其中四川上调约0.1元/ 度，云南上调0.03-0.05元/度不等，在行情低迷情况下，当地工厂纷纷采取停炉、减产等方式。据百川盈孚统计，上周西南地区共计停炉35台，当前四川、云南开炉率已降至40.6%、32.1%，处于较低位置，但后续或仍有下降空间。整体来看，供应整体呈现收缩，随着低价仓单货源陆续消化，成本支撑也将逐步显现，后续市场下行空间或有限。策略上，谨慎资金可暂时观望，激进资金可尝试逢低做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31852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EB0E23" w:rsidRDefault="00CC3FFA" w:rsidP="00EB0E23">
      <w:pPr>
        <w:ind w:firstLineChars="200" w:firstLine="482"/>
        <w:outlineLvl w:val="1"/>
        <w:rPr>
          <w:rFonts w:ascii="楷体" w:eastAsia="楷体" w:hAnsi="楷体"/>
          <w:b/>
          <w:sz w:val="24"/>
          <w:szCs w:val="24"/>
        </w:rPr>
      </w:pPr>
      <w:bookmarkStart w:id="37" w:name="_Toc15318528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B0E23" w:rsidRPr="00EB0E23">
        <w:rPr>
          <w:rFonts w:ascii="楷体" w:eastAsia="楷体" w:hAnsi="楷体" w:hint="eastAsia"/>
          <w:b/>
          <w:sz w:val="24"/>
          <w:szCs w:val="24"/>
        </w:rPr>
        <w:t>短时天胶超跌反弹 但上方空间有限</w:t>
      </w:r>
      <w:bookmarkEnd w:id="37"/>
    </w:p>
    <w:p w:rsidR="003F56A5" w:rsidRDefault="00EB0E23">
      <w:pPr>
        <w:ind w:leftChars="300" w:left="630"/>
        <w:rPr>
          <w:rFonts w:ascii="楷体" w:eastAsia="楷体" w:hAnsi="楷体"/>
          <w:sz w:val="24"/>
          <w:szCs w:val="24"/>
        </w:rPr>
      </w:pPr>
      <w:r w:rsidRPr="00EB0E23">
        <w:rPr>
          <w:rFonts w:ascii="楷体" w:eastAsia="楷体" w:hAnsi="楷体" w:hint="eastAsia"/>
          <w:sz w:val="24"/>
          <w:szCs w:val="24"/>
        </w:rPr>
        <w:t>点评：天然橡胶在延续偏弱下行后，近期出现企稳态势。供应方面，短时</w:t>
      </w:r>
      <w:r w:rsidRPr="00EB0E23">
        <w:rPr>
          <w:rFonts w:ascii="楷体" w:eastAsia="楷体" w:hAnsi="楷体" w:hint="eastAsia"/>
          <w:sz w:val="24"/>
          <w:szCs w:val="24"/>
        </w:rPr>
        <w:lastRenderedPageBreak/>
        <w:t>国内产区陆续停割与海外雨季结束逐渐上量预期相互博弈，上游生产利润已处低位，原料收购价格松动空间有限。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本轮下跌其实早有征兆，上一波上涨期间出现头肩形与顶背离情况。目前橡胶已回吐近50%的涨幅。短时天胶市场超跌反弹，但无明显推动下，上方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318528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B0E23" w:rsidRPr="00EB0E23">
        <w:rPr>
          <w:rFonts w:ascii="Calibri" w:eastAsia="楷体" w:hAnsi="Calibri" w:cs="Calibri" w:hint="eastAsia"/>
          <w:b/>
          <w:color w:val="000000" w:themeColor="text1"/>
          <w:sz w:val="24"/>
          <w:szCs w:val="24"/>
        </w:rPr>
        <w:t>供需矛盾不突出</w:t>
      </w:r>
      <w:r w:rsidR="00EB0E23" w:rsidRPr="00EB0E23">
        <w:rPr>
          <w:rFonts w:ascii="Calibri" w:eastAsia="楷体" w:hAnsi="Calibri" w:cs="Calibri" w:hint="eastAsia"/>
          <w:b/>
          <w:color w:val="000000" w:themeColor="text1"/>
          <w:sz w:val="24"/>
          <w:szCs w:val="24"/>
        </w:rPr>
        <w:t xml:space="preserve"> </w:t>
      </w:r>
      <w:r w:rsidR="00EB0E23" w:rsidRPr="00EB0E23">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B0E23" w:rsidP="002C73FE">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OPEC+会议后市场未取得实质性利好，供给预期逐步转向宽松。当前盘面及基本面利好支撑不足，原油目前依然是下行趋势。PX方面，亚洲PX供应仍较充裕。PTA供应方面，本周福海创450万吨PTA装置提负，逸盛海南250万吨PTA装置另一条线投料重启，个别装置负荷提升，PTA负荷涨至77.4%（-0.7%）。本周聚酯装置整体变动不是太大，局部微调为主，截至12.7，初步核算国内大陆地区聚酯负荷在90.8%。综合来看，PTA近期供应端缩减，临近交割月部分地区货源偏紧，聚酯链品种开工相对高位维持，供需关系缓和，但短期来看围绕成本端回调，趋势仍偏弱，关注5600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3185284"/>
      <w:r>
        <w:rPr>
          <w:rFonts w:ascii="楷体" w:eastAsia="楷体" w:hAnsi="楷体" w:hint="eastAsia"/>
          <w:b/>
          <w:color w:val="000000" w:themeColor="text1"/>
          <w:sz w:val="24"/>
          <w:szCs w:val="24"/>
        </w:rPr>
        <w:t>聚烯烃：</w:t>
      </w:r>
      <w:r w:rsidR="00EB0E23" w:rsidRPr="00EB0E23">
        <w:rPr>
          <w:rFonts w:ascii="楷体" w:eastAsia="楷体" w:hAnsi="楷体" w:hint="eastAsia"/>
          <w:b/>
          <w:color w:val="000000" w:themeColor="text1"/>
          <w:sz w:val="24"/>
          <w:szCs w:val="24"/>
        </w:rPr>
        <w:t>成本供需均弱 聚烯烃维持低位震荡</w:t>
      </w:r>
      <w:bookmarkEnd w:id="39"/>
    </w:p>
    <w:p w:rsidR="003F56A5" w:rsidRDefault="00EB0E23">
      <w:pPr>
        <w:ind w:leftChars="300" w:left="630"/>
        <w:rPr>
          <w:rFonts w:ascii="楷体" w:eastAsia="楷体" w:hAnsi="楷体"/>
          <w:bCs/>
          <w:sz w:val="24"/>
          <w:szCs w:val="24"/>
        </w:rPr>
      </w:pPr>
      <w:r w:rsidRPr="00EB0E23">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和沙特敦促欧佩克及其减产同盟国成员国参与减产，国际油价在连续六个交易日走低后反弹，美国就业增长强于预期也支撑石油市场气氛。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3185285"/>
      <w:r>
        <w:rPr>
          <w:rFonts w:ascii="楷体" w:eastAsia="楷体" w:hAnsi="楷体" w:hint="eastAsia"/>
          <w:b/>
          <w:color w:val="000000" w:themeColor="text1"/>
          <w:sz w:val="24"/>
          <w:szCs w:val="24"/>
        </w:rPr>
        <w:t>MEG：</w:t>
      </w:r>
      <w:r w:rsidR="00EB0E23" w:rsidRPr="00EB0E23">
        <w:rPr>
          <w:rFonts w:ascii="楷体" w:eastAsia="楷体" w:hAnsi="楷体" w:hint="eastAsia"/>
          <w:b/>
          <w:color w:val="000000" w:themeColor="text1"/>
          <w:sz w:val="24"/>
          <w:szCs w:val="24"/>
        </w:rPr>
        <w:t>区间操作为主</w:t>
      </w:r>
      <w:bookmarkEnd w:id="40"/>
    </w:p>
    <w:p w:rsidR="003F56A5" w:rsidRDefault="00EB0E23" w:rsidP="00152664">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供需情况，12.4华东主港地区MEG港口库存约123.6万吨附近，环比上期-0.6万吨。张家港62.8万吨附近，较上期减少2.1万吨。12月上旬起太仓地区到港较为集中，显性库存仍将维持偏高水平。截至12月7日，中国大陆地区乙二醇整体开工负荷在61.65%（+0.59%），其中煤制乙二醇开工负荷在64.6%（+4.15%）。</w:t>
      </w:r>
      <w:r w:rsidRPr="00EB0E23">
        <w:rPr>
          <w:rFonts w:ascii="Calibri" w:eastAsia="楷体" w:hAnsi="Calibri" w:cs="Calibri"/>
          <w:color w:val="000000" w:themeColor="text1"/>
          <w:sz w:val="24"/>
          <w:szCs w:val="24"/>
        </w:rPr>
        <w:t> </w:t>
      </w:r>
      <w:r w:rsidRPr="00EB0E23">
        <w:rPr>
          <w:rFonts w:ascii="楷体" w:eastAsia="楷体" w:hAnsi="楷体" w:hint="eastAsia"/>
          <w:color w:val="000000" w:themeColor="text1"/>
          <w:sz w:val="24"/>
          <w:szCs w:val="24"/>
        </w:rPr>
        <w:t>新疆中昆60万吨/年新装置顺利出料，目前逐步提负中</w:t>
      </w:r>
      <w:r w:rsidRPr="00EB0E23">
        <w:rPr>
          <w:rFonts w:ascii="Calibri" w:eastAsia="楷体" w:hAnsi="Calibri" w:cs="Calibri"/>
          <w:color w:val="000000" w:themeColor="text1"/>
          <w:sz w:val="24"/>
          <w:szCs w:val="24"/>
        </w:rPr>
        <w:t> </w:t>
      </w:r>
      <w:r w:rsidRPr="00EB0E23">
        <w:rPr>
          <w:rFonts w:ascii="楷体" w:eastAsia="楷体" w:hAnsi="楷体" w:hint="eastAsia"/>
          <w:color w:val="000000" w:themeColor="text1"/>
          <w:sz w:val="24"/>
          <w:szCs w:val="24"/>
        </w:rPr>
        <w:t>。截至12月7日，国内大陆地区聚酯负荷在90.8%，节前聚酯开工高位维持。终端来看，江浙终端开工率继续下滑，新订单持续性不足。江</w:t>
      </w:r>
      <w:r w:rsidRPr="00EB0E23">
        <w:rPr>
          <w:rFonts w:ascii="楷体" w:eastAsia="楷体" w:hAnsi="楷体" w:hint="eastAsia"/>
          <w:color w:val="000000" w:themeColor="text1"/>
          <w:sz w:val="24"/>
          <w:szCs w:val="24"/>
        </w:rPr>
        <w:lastRenderedPageBreak/>
        <w:t>浙加弹综合开工90%（-1%）维持，江浙织机综合开工小幅下滑至82%（-2%），江浙印染综合开工下滑至78%（-3%）。综合来看，进口到港减少及聚酯高开工维持驱动仍存，预计12月乙二醇供需改善呈现紧平衡格局。关注乙二醇低多机会，下方支撑4050-4060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318528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B0E23" w:rsidRPr="00EB0E23">
        <w:rPr>
          <w:rFonts w:ascii="楷体" w:eastAsia="楷体" w:hAnsi="楷体" w:hint="eastAsia"/>
          <w:b/>
          <w:color w:val="000000" w:themeColor="text1"/>
          <w:sz w:val="24"/>
          <w:szCs w:val="24"/>
        </w:rPr>
        <w:t>近月合约套保压力较大，远月宏观预期托底，震荡行情</w:t>
      </w:r>
      <w:bookmarkEnd w:id="41"/>
    </w:p>
    <w:p w:rsidR="00A71A7E" w:rsidRDefault="00EB0E23" w:rsidP="002B2B4E">
      <w:pPr>
        <w:ind w:leftChars="300" w:left="630"/>
        <w:rPr>
          <w:rFonts w:ascii="楷体" w:eastAsia="楷体" w:hAnsi="楷体"/>
          <w:color w:val="000000" w:themeColor="text1"/>
          <w:sz w:val="24"/>
          <w:szCs w:val="24"/>
        </w:rPr>
      </w:pPr>
      <w:r w:rsidRPr="00EB0E23">
        <w:rPr>
          <w:rFonts w:ascii="楷体" w:eastAsia="楷体" w:hAnsi="楷体" w:hint="eastAsia"/>
          <w:color w:val="000000" w:themeColor="text1"/>
          <w:sz w:val="24"/>
          <w:szCs w:val="24"/>
        </w:rPr>
        <w:t>隆众资讯12月7日报道：今日浮法玻璃现货价格1987元/吨，较上一交易日+6元/吨。截至2023年12月7日，全国浮法玻璃日产量为17.22万吨，环比下降600T/d。库存上，周内全国浮法玻璃样本企业总库存3287.9万重箱，环比下滑482.2万重箱，环比-12.79%，周末期货带动下，现货产销较好，持续超百，贸易商补库，多家企业计划上调价格。盘面近月01合约贴近平水，现货产销较好易涨难跌，期现商高位有注册仓单套保，近月01合约承压。05合约移仓成为主力，宏观预期利好+低库存补库，盘面偏多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318528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B0E23" w:rsidRPr="00EB0E23">
        <w:rPr>
          <w:rFonts w:ascii="楷体" w:eastAsia="楷体" w:hAnsi="楷体" w:hint="eastAsia"/>
          <w:b/>
          <w:color w:val="000000" w:themeColor="text1"/>
          <w:sz w:val="24"/>
          <w:szCs w:val="24"/>
        </w:rPr>
        <w:t>贸易商现货松动，近月有回落风险</w:t>
      </w:r>
      <w:bookmarkEnd w:id="42"/>
    </w:p>
    <w:p w:rsidR="00A71A7E" w:rsidRDefault="00EB0E23" w:rsidP="002B2B4E">
      <w:pPr>
        <w:ind w:leftChars="300" w:left="630"/>
        <w:rPr>
          <w:rFonts w:ascii="楷体" w:eastAsia="楷体" w:hAnsi="楷体"/>
          <w:bCs/>
          <w:sz w:val="24"/>
          <w:szCs w:val="24"/>
        </w:rPr>
      </w:pPr>
      <w:r w:rsidRPr="00EB0E23">
        <w:rPr>
          <w:rFonts w:ascii="楷体" w:eastAsia="楷体" w:hAnsi="楷体" w:hint="eastAsia"/>
          <w:color w:val="000000" w:themeColor="text1"/>
          <w:sz w:val="24"/>
          <w:szCs w:val="24"/>
        </w:rPr>
        <w:t>纯碱现货价格高位震荡。华北重碱报价3000元/吨，成交较少；华南重碱报价3250元/吨。供给方面，截至20231207，周内纯碱产量66.21万吨，涨幅0.37%。周纯碱厂家库存36.70万吨，环比-1.35万吨，跌幅3.55%%，待发订单排到月底。周内供给端装置扰动较多，网传远兴和金山装置再度出现问题，降负荷，青海地区环保问题短期保持低负荷运行，应城新都化工20号检修，苏盐井神11号检修。从库存结构上来看，厂库库存仍处于低位，供给端反复扰动，短期易张难跌。盘面上，01合约走交割逻辑，下游阶段性补库进入尾声，剩余现货端碱厂待发订单接近月底，下半月不再封单，远月05收月间价差，短期波动较大，追多谨慎，做空尚等待累库信号出现，建议观望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31852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318528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B0E23" w:rsidRPr="00EB0E23">
        <w:rPr>
          <w:rFonts w:ascii="楷体" w:eastAsia="楷体" w:hAnsi="楷体" w:hint="eastAsia"/>
          <w:b/>
          <w:sz w:val="24"/>
          <w:szCs w:val="24"/>
        </w:rPr>
        <w:t>USDA数据调整不及预期，外盘承压</w:t>
      </w:r>
      <w:bookmarkEnd w:id="44"/>
    </w:p>
    <w:p w:rsidR="003F56A5" w:rsidRDefault="00EB0E23">
      <w:pPr>
        <w:ind w:leftChars="300" w:left="630"/>
        <w:rPr>
          <w:rFonts w:ascii="楷体" w:eastAsia="楷体" w:hAnsi="楷体"/>
          <w:sz w:val="24"/>
          <w:szCs w:val="24"/>
        </w:rPr>
      </w:pPr>
      <w:r w:rsidRPr="00EB0E23">
        <w:rPr>
          <w:rFonts w:ascii="楷体" w:eastAsia="楷体" w:hAnsi="楷体" w:hint="eastAsia"/>
          <w:sz w:val="24"/>
          <w:szCs w:val="24"/>
        </w:rPr>
        <w:t>12月USDA报告调整不及预期，将巴西大豆新作产量下调至1.61亿吨，低于市场预估，CBOT大豆承压回落。随着美豆定产后，市场定价中心逐步转向南美，巴西天气不确定性仍存，目前种植进度落后于去年同期及五年均值水平为75.2%，虽当前美农报告对南美产量调整不及预期，但中长期南美丰产预期能否兑现仍是后续价格走势的关键，关注巴西后续天气及种植情况。国内现货基差延续偏弱，供应端进入11月份后，随着进口大豆到港增加，油厂大豆库存开始回升，油厂开机率提升，豆粕产出增加，但因下游成交未见明显好转，豆粕库存较前一周增至73.79万吨，当前沿海主流油厂豆粕现货报价上调至3940-4000元/吨。但11月份进口大豆到港量不及预期，为792万吨，叠加近期华北延迟到港问题，支撑油厂挺价情绪。需求，下游生猪养殖利润维持亏损，但在能繁存栏高位下，下游随采随用，保持安全库存。菜粕供应存宽松预期。在11月份后随着菜籽进口增加，菜粕供应预计转宽，目前菜籽库存以及油厂开机均有明显提升。而需求方面，</w:t>
      </w:r>
      <w:r w:rsidRPr="00EB0E23">
        <w:rPr>
          <w:rFonts w:ascii="楷体" w:eastAsia="楷体" w:hAnsi="楷体" w:hint="eastAsia"/>
          <w:sz w:val="24"/>
          <w:szCs w:val="24"/>
        </w:rPr>
        <w:lastRenderedPageBreak/>
        <w:t>随着水产消费旺季的结束，菜粕刚需减少，但在豆菜粕价差较大下提振菜粕的替代需求。策略方面，短期震荡调整，建议豆粕短线顺势操作，暂看波动区间2850-4100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3185290"/>
      <w:r>
        <w:rPr>
          <w:rFonts w:ascii="楷体" w:eastAsia="楷体" w:hAnsi="楷体" w:hint="eastAsia"/>
          <w:b/>
          <w:color w:val="000000" w:themeColor="text1"/>
          <w:sz w:val="24"/>
          <w:szCs w:val="24"/>
        </w:rPr>
        <w:t>油脂：</w:t>
      </w:r>
      <w:r w:rsidR="00EB0E23" w:rsidRPr="00EB0E23">
        <w:rPr>
          <w:rFonts w:ascii="楷体" w:eastAsia="楷体" w:hAnsi="楷体" w:hint="eastAsia"/>
          <w:b/>
          <w:sz w:val="24"/>
          <w:szCs w:val="24"/>
        </w:rPr>
        <w:t>供应压力较大，短期期价反弹预计有限</w:t>
      </w:r>
      <w:bookmarkEnd w:id="45"/>
    </w:p>
    <w:p w:rsidR="003F56A5" w:rsidRDefault="00EB0E23" w:rsidP="00792D31">
      <w:pPr>
        <w:ind w:leftChars="300" w:left="630"/>
        <w:rPr>
          <w:rFonts w:ascii="楷体" w:eastAsia="楷体" w:hAnsi="楷体"/>
          <w:sz w:val="24"/>
          <w:szCs w:val="24"/>
        </w:rPr>
      </w:pPr>
      <w:r w:rsidRPr="00EB0E23">
        <w:rPr>
          <w:rFonts w:ascii="楷体" w:eastAsia="楷体" w:hAnsi="楷体" w:hint="eastAsia"/>
          <w:sz w:val="24"/>
          <w:szCs w:val="24"/>
        </w:rPr>
        <w:t>在外部市场下跌拖累下，短期也缺乏天气驱动，叠加国内油脂高库存压力抑制，油脂整体震荡调整为主，01合约在交割前月，预计反弹空间有限。棕榈油，产地11月份进入季节性减产周期，库存压力逐步释放，且中长期在厄尔尼诺现象扰动下，价格下方存支撑，但短期未见异常。印尼棕榈油9月份产需双增，但产量增幅不及需求，库存环比下降。而马棕10月份在产需双增下，库存增幅不及市场预期。四季度主要关注厄尔尼诺对产量的扰动，为中长期潜在利多因素。国内棕榈油9-10月份进口到港维持高位，但在高库存抑制下后续进口预计减少，最新商业库存小幅增至96.52万吨。需求端，随着各地气温转凉，棕榈油逐步进入消费淡季，掺混需求预计减少。豆油存供需双增预期。国内随着11月后进口大豆到港增加，油厂开机有所回升，豆油供应预计将得到补充。需求端，虽四季度为豆油消费旺季，部分掺混需求预计转向豆油，但当前价格优势并不明显，限制替代需求，关注元旦前下游备货情况。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提振其替代需求。短期油脂预计维持震荡调整，上方压力仍存，建议短线波段操作；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3185291"/>
      <w:r>
        <w:rPr>
          <w:rFonts w:ascii="楷体" w:eastAsia="楷体" w:hAnsi="楷体" w:hint="eastAsia"/>
          <w:b/>
          <w:bCs/>
          <w:color w:val="000000" w:themeColor="text1"/>
        </w:rPr>
        <w:t>玉米与淀粉：</w:t>
      </w:r>
      <w:r w:rsidR="00EB0E23" w:rsidRPr="00EB0E23">
        <w:rPr>
          <w:rFonts w:ascii="楷体" w:eastAsia="楷体" w:hAnsi="楷体" w:hint="eastAsia"/>
          <w:b/>
        </w:rPr>
        <w:t>余粮压力担忧依然存在</w:t>
      </w:r>
      <w:bookmarkEnd w:id="46"/>
    </w:p>
    <w:p w:rsidR="00EB0E23" w:rsidRPr="00EB0E23" w:rsidRDefault="00EB0E23" w:rsidP="00EB0E23">
      <w:pPr>
        <w:pStyle w:val="paragraph"/>
        <w:spacing w:after="60"/>
        <w:ind w:leftChars="300" w:left="630"/>
        <w:rPr>
          <w:rFonts w:ascii="楷体" w:eastAsia="楷体" w:hAnsi="楷体" w:hint="eastAsia"/>
        </w:rPr>
      </w:pPr>
      <w:r w:rsidRPr="00EB0E23">
        <w:rPr>
          <w:rFonts w:ascii="楷体" w:eastAsia="楷体" w:hAnsi="楷体" w:hint="eastAsia"/>
        </w:rPr>
        <w:t>对于玉米而言，市场延续供需博弈，在余粮压力有待释放的情况下，中下游建库意愿依然疲弱，前期生猪养殖行业非瘟疫情和资金链问题的担忧带动玉米期价创出新低。在这种情况下，除了需要继续关注上游农户的惜售心理外，中下游还需要特别留意生猪价格和行业动向，因其可能带来建库意愿的变量。在这种情况下，暂维持中性，后期或转向看多，建议暂以观望为宜。</w:t>
      </w:r>
    </w:p>
    <w:p w:rsidR="003F56A5" w:rsidRDefault="00EB0E23" w:rsidP="00EB0E23">
      <w:pPr>
        <w:pStyle w:val="paragraph"/>
        <w:spacing w:before="0" w:beforeAutospacing="0" w:after="60" w:afterAutospacing="0"/>
        <w:ind w:leftChars="300" w:left="630"/>
        <w:rPr>
          <w:rFonts w:ascii="楷体" w:eastAsia="楷体" w:hAnsi="楷体"/>
        </w:rPr>
      </w:pPr>
      <w:r w:rsidRPr="00EB0E23">
        <w:rPr>
          <w:rFonts w:ascii="楷体" w:eastAsia="楷体" w:hAnsi="楷体" w:hint="eastAsia"/>
        </w:rPr>
        <w:t>对于淀粉而言，分析市场可以看出，近期淀粉行业供需端的利空与副产品端的利空大致相互抵消，而现货基差则带来一定支撑，市场更多关注原料成本端，短期更多源于华北-东北产区玉米价差的变动，其中长期方向性仍有待评估。在这种情况下，我们维持中性观点，单边建议暂以观望为宜，可轻仓参与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3185292"/>
      <w:r>
        <w:rPr>
          <w:rFonts w:ascii="楷体" w:eastAsia="楷体" w:hAnsi="楷体" w:hint="eastAsia"/>
          <w:b/>
          <w:bCs/>
          <w:color w:val="000000" w:themeColor="text1"/>
        </w:rPr>
        <w:t>畜禽养殖：</w:t>
      </w:r>
      <w:r w:rsidR="00EB0E23" w:rsidRPr="00EB0E23">
        <w:rPr>
          <w:rFonts w:ascii="楷体" w:eastAsia="楷体" w:hAnsi="楷体" w:hint="eastAsia"/>
          <w:b/>
          <w:bCs/>
          <w:color w:val="000000" w:themeColor="text1"/>
        </w:rPr>
        <w:t>生猪期价转为升水结构</w:t>
      </w:r>
      <w:bookmarkEnd w:id="47"/>
    </w:p>
    <w:p w:rsidR="00EB0E23" w:rsidRPr="00EB0E23" w:rsidRDefault="00EB0E23" w:rsidP="00EB0E23">
      <w:pPr>
        <w:pStyle w:val="paragraph"/>
        <w:spacing w:after="60"/>
        <w:ind w:leftChars="300" w:left="630"/>
        <w:rPr>
          <w:rFonts w:ascii="楷体" w:eastAsia="楷体" w:hAnsi="楷体" w:hint="eastAsia"/>
        </w:rPr>
      </w:pPr>
      <w:r w:rsidRPr="00EB0E23">
        <w:rPr>
          <w:rFonts w:ascii="楷体" w:eastAsia="楷体" w:hAnsi="楷体" w:hint="eastAsia"/>
        </w:rPr>
        <w:lastRenderedPageBreak/>
        <w:t>对于生猪而言，分析市场可以看出，现货在非瘟疫情和产业链资金问题的带动下，养殖户生猪出栏增加，现货持续下跌，在这种情况下，市场倾向于认为生猪提前出栏减少节后供应，且生猪产能去化带来周期见底，期价结构彻底转为远月升水结构，这一乐观预期存在一定合理性，但也存在较大的不确定性。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其一可以参考去年现货崩盘后产能去化幅度，其二则是规模企业当前已公布的出栏目标。综上所述，基于各合约不确定性的考虑，维持中性观点，建议投资者观望为宜。</w:t>
      </w:r>
    </w:p>
    <w:p w:rsidR="003F56A5" w:rsidRDefault="00EB0E23" w:rsidP="00EB0E23">
      <w:pPr>
        <w:pStyle w:val="paragraph"/>
        <w:spacing w:before="0" w:beforeAutospacing="0" w:after="60" w:afterAutospacing="0"/>
        <w:ind w:leftChars="300" w:left="630"/>
        <w:rPr>
          <w:rFonts w:ascii="楷体" w:eastAsia="楷体" w:hAnsi="楷体"/>
        </w:rPr>
      </w:pPr>
      <w:r w:rsidRPr="00EB0E23">
        <w:rPr>
          <w:rFonts w:ascii="楷体" w:eastAsia="楷体" w:hAnsi="楷体" w:hint="eastAsia"/>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3185293"/>
      <w:r>
        <w:rPr>
          <w:rFonts w:ascii="楷体" w:eastAsia="楷体" w:hAnsi="楷体" w:hint="eastAsia"/>
          <w:b/>
          <w:sz w:val="24"/>
          <w:szCs w:val="24"/>
        </w:rPr>
        <w:t>郑棉：</w:t>
      </w:r>
      <w:r w:rsidR="00EB0E23" w:rsidRPr="00EB0E23">
        <w:rPr>
          <w:rFonts w:ascii="楷体" w:eastAsia="楷体" w:hAnsi="楷体" w:hint="eastAsia"/>
          <w:b/>
          <w:sz w:val="24"/>
          <w:szCs w:val="24"/>
        </w:rPr>
        <w:t>震荡整理，尝试站稳20日均线</w:t>
      </w:r>
      <w:bookmarkEnd w:id="48"/>
    </w:p>
    <w:p w:rsidR="003F56A5" w:rsidRDefault="00EB0E23" w:rsidP="007B3290">
      <w:pPr>
        <w:ind w:leftChars="300" w:left="630"/>
        <w:rPr>
          <w:rFonts w:ascii="楷体" w:eastAsia="楷体" w:hAnsi="楷体"/>
          <w:sz w:val="24"/>
          <w:szCs w:val="24"/>
        </w:rPr>
      </w:pPr>
      <w:r w:rsidRPr="00EB0E23">
        <w:rPr>
          <w:rFonts w:ascii="楷体" w:eastAsia="楷体" w:hAnsi="楷体" w:hint="eastAsia"/>
          <w:sz w:val="24"/>
          <w:szCs w:val="24"/>
        </w:rPr>
        <w:t>美农在最新供需报告中下调2023/24年度全球棉花消费量，全球期末库存因此小增，期棉收低。随着前期棉花棉纱价格大幅下跌释放利空，近期下游形势略有好转。郑棉受期棉以及商品整体回暖影响，强势站上20日均线关口。不过，近期仓单急速增加，仓单加有效预报已升至7000＋张，同比增加5830张，仓单的激增或限制其反弹高度</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3185294"/>
      <w:r>
        <w:rPr>
          <w:rFonts w:ascii="楷体" w:eastAsia="楷体" w:hAnsi="楷体" w:hint="eastAsia"/>
          <w:b/>
          <w:sz w:val="24"/>
          <w:szCs w:val="24"/>
        </w:rPr>
        <w:t>白糖：</w:t>
      </w:r>
      <w:r w:rsidR="00EB0E23" w:rsidRPr="00EB0E23">
        <w:rPr>
          <w:rFonts w:ascii="楷体" w:eastAsia="楷体" w:hAnsi="楷体" w:hint="eastAsia"/>
          <w:b/>
          <w:sz w:val="24"/>
          <w:szCs w:val="24"/>
        </w:rPr>
        <w:t>震荡整理，尝试企稳</w:t>
      </w:r>
      <w:bookmarkEnd w:id="49"/>
    </w:p>
    <w:p w:rsidR="00296325" w:rsidRDefault="00EB0E23" w:rsidP="00296325">
      <w:pPr>
        <w:ind w:leftChars="300" w:left="630"/>
        <w:rPr>
          <w:rFonts w:ascii="楷体" w:eastAsia="楷体" w:hAnsi="楷体"/>
          <w:sz w:val="24"/>
          <w:szCs w:val="24"/>
        </w:rPr>
      </w:pPr>
      <w:r w:rsidRPr="00EB0E23">
        <w:rPr>
          <w:rFonts w:ascii="楷体" w:eastAsia="楷体" w:hAnsi="楷体" w:hint="eastAsia"/>
          <w:sz w:val="24"/>
          <w:szCs w:val="24"/>
        </w:rPr>
        <w:t>咨询机构StoneX预计巴西中南部地区2024/25年度糖产量预计达到创纪录的4320万吨，较上年增长3.3%。巴西糖厂预计在2024/25年度将51.4%的甘蔗用于制糖，高于上年的49%。印度欲行政干预使得甘蔗用于生产白糖而非乙醇。美农最新供需报告中上调美国2023/24年度美国白糖进口量。原糖似有企稳迹象。国内新糖上市，传闻本榨季广西有望增产15%—20%。10月进口量大增至92.5万吨。供应短期内趋向宽松，现货价格持续走弱，但短期跌幅过大，或有调整反弹需求</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3185295"/>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3185296"/>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876CE2" w:rsidRPr="00876CE2">
        <w:rPr>
          <w:rFonts w:ascii="Times New Roman" w:eastAsia="楷体" w:hAnsi="Times New Roman" w:hint="eastAsia"/>
          <w:b/>
          <w:color w:val="000000" w:themeColor="text1"/>
          <w:sz w:val="24"/>
          <w:szCs w:val="24"/>
        </w:rPr>
        <w:t>增量挺价计划公布，本周即期运价继续上涨</w:t>
      </w:r>
      <w:bookmarkEnd w:id="51"/>
    </w:p>
    <w:p w:rsidR="00876CE2" w:rsidRPr="00876CE2" w:rsidRDefault="00876CE2" w:rsidP="00876CE2">
      <w:pPr>
        <w:ind w:leftChars="300" w:left="630"/>
        <w:rPr>
          <w:rFonts w:ascii="Times New Roman" w:eastAsia="楷体" w:hAnsi="Times New Roman" w:hint="eastAsia"/>
          <w:color w:val="000000" w:themeColor="text1"/>
          <w:sz w:val="24"/>
          <w:szCs w:val="24"/>
        </w:rPr>
      </w:pPr>
      <w:r w:rsidRPr="00876CE2">
        <w:rPr>
          <w:rFonts w:ascii="Times New Roman" w:eastAsia="楷体" w:hAnsi="Times New Roman" w:hint="eastAsia"/>
          <w:color w:val="000000" w:themeColor="text1"/>
          <w:sz w:val="24"/>
          <w:szCs w:val="24"/>
        </w:rPr>
        <w:t>上周五</w:t>
      </w:r>
      <w:r w:rsidRPr="00876CE2">
        <w:rPr>
          <w:rFonts w:ascii="Times New Roman" w:eastAsia="楷体" w:hAnsi="Times New Roman" w:hint="eastAsia"/>
          <w:color w:val="000000" w:themeColor="text1"/>
          <w:sz w:val="24"/>
          <w:szCs w:val="24"/>
        </w:rPr>
        <w:t>EC</w:t>
      </w:r>
      <w:r w:rsidRPr="00876CE2">
        <w:rPr>
          <w:rFonts w:ascii="Times New Roman" w:eastAsia="楷体" w:hAnsi="Times New Roman" w:hint="eastAsia"/>
          <w:color w:val="000000" w:themeColor="text1"/>
          <w:sz w:val="24"/>
          <w:szCs w:val="24"/>
        </w:rPr>
        <w:t>主力合约大幅上扬。</w:t>
      </w:r>
    </w:p>
    <w:p w:rsidR="00876CE2" w:rsidRPr="00876CE2" w:rsidRDefault="00876CE2" w:rsidP="00876CE2">
      <w:pPr>
        <w:ind w:leftChars="300" w:left="630"/>
        <w:rPr>
          <w:rFonts w:ascii="Times New Roman" w:eastAsia="楷体" w:hAnsi="Times New Roman" w:hint="eastAsia"/>
          <w:color w:val="000000" w:themeColor="text1"/>
          <w:sz w:val="24"/>
          <w:szCs w:val="24"/>
        </w:rPr>
      </w:pPr>
      <w:r w:rsidRPr="00876CE2">
        <w:rPr>
          <w:rFonts w:ascii="Times New Roman" w:eastAsia="楷体" w:hAnsi="Times New Roman" w:hint="eastAsia"/>
          <w:color w:val="000000" w:themeColor="text1"/>
          <w:sz w:val="24"/>
          <w:szCs w:val="24"/>
        </w:rPr>
        <w:t>供应端方面，达飞、马士基亚欧航线的</w:t>
      </w:r>
      <w:r w:rsidRPr="00876CE2">
        <w:rPr>
          <w:rFonts w:ascii="Times New Roman" w:eastAsia="楷体" w:hAnsi="Times New Roman" w:hint="eastAsia"/>
          <w:color w:val="000000" w:themeColor="text1"/>
          <w:sz w:val="24"/>
          <w:szCs w:val="24"/>
        </w:rPr>
        <w:t>FAK</w:t>
      </w:r>
      <w:r w:rsidRPr="00876CE2">
        <w:rPr>
          <w:rFonts w:ascii="Times New Roman" w:eastAsia="楷体" w:hAnsi="Times New Roman" w:hint="eastAsia"/>
          <w:color w:val="000000" w:themeColor="text1"/>
          <w:sz w:val="24"/>
          <w:szCs w:val="24"/>
        </w:rPr>
        <w:t>费率将继续上调并将于</w:t>
      </w:r>
      <w:r w:rsidRPr="00876CE2">
        <w:rPr>
          <w:rFonts w:ascii="Times New Roman" w:eastAsia="楷体" w:hAnsi="Times New Roman" w:hint="eastAsia"/>
          <w:color w:val="000000" w:themeColor="text1"/>
          <w:sz w:val="24"/>
          <w:szCs w:val="24"/>
        </w:rPr>
        <w:t>2024</w:t>
      </w:r>
      <w:r w:rsidRPr="00876CE2">
        <w:rPr>
          <w:rFonts w:ascii="Times New Roman" w:eastAsia="楷体" w:hAnsi="Times New Roman" w:hint="eastAsia"/>
          <w:color w:val="000000" w:themeColor="text1"/>
          <w:sz w:val="24"/>
          <w:szCs w:val="24"/>
        </w:rPr>
        <w:t>年</w:t>
      </w:r>
      <w:r w:rsidRPr="00876CE2">
        <w:rPr>
          <w:rFonts w:ascii="Times New Roman" w:eastAsia="楷体" w:hAnsi="Times New Roman" w:hint="eastAsia"/>
          <w:color w:val="000000" w:themeColor="text1"/>
          <w:sz w:val="24"/>
          <w:szCs w:val="24"/>
        </w:rPr>
        <w:t>1</w:t>
      </w:r>
      <w:r w:rsidRPr="00876CE2">
        <w:rPr>
          <w:rFonts w:ascii="Times New Roman" w:eastAsia="楷体" w:hAnsi="Times New Roman" w:hint="eastAsia"/>
          <w:color w:val="000000" w:themeColor="text1"/>
          <w:sz w:val="24"/>
          <w:szCs w:val="24"/>
        </w:rPr>
        <w:t>月</w:t>
      </w:r>
      <w:r w:rsidRPr="00876CE2">
        <w:rPr>
          <w:rFonts w:ascii="Times New Roman" w:eastAsia="楷体" w:hAnsi="Times New Roman" w:hint="eastAsia"/>
          <w:color w:val="000000" w:themeColor="text1"/>
          <w:sz w:val="24"/>
          <w:szCs w:val="24"/>
        </w:rPr>
        <w:t>1</w:t>
      </w:r>
      <w:r w:rsidRPr="00876CE2">
        <w:rPr>
          <w:rFonts w:ascii="Times New Roman" w:eastAsia="楷体" w:hAnsi="Times New Roman" w:hint="eastAsia"/>
          <w:color w:val="000000" w:themeColor="text1"/>
          <w:sz w:val="24"/>
          <w:szCs w:val="24"/>
        </w:rPr>
        <w:t>日起生效。外需方面，</w:t>
      </w:r>
      <w:r w:rsidRPr="00876CE2">
        <w:rPr>
          <w:rFonts w:ascii="Times New Roman" w:eastAsia="楷体" w:hAnsi="Times New Roman" w:hint="eastAsia"/>
          <w:color w:val="000000" w:themeColor="text1"/>
          <w:sz w:val="24"/>
          <w:szCs w:val="24"/>
        </w:rPr>
        <w:t>11</w:t>
      </w:r>
      <w:r w:rsidRPr="00876CE2">
        <w:rPr>
          <w:rFonts w:ascii="Times New Roman" w:eastAsia="楷体" w:hAnsi="Times New Roman" w:hint="eastAsia"/>
          <w:color w:val="000000" w:themeColor="text1"/>
          <w:sz w:val="24"/>
          <w:szCs w:val="24"/>
        </w:rPr>
        <w:t>月欧元区制造业</w:t>
      </w:r>
      <w:r w:rsidRPr="00876CE2">
        <w:rPr>
          <w:rFonts w:ascii="Times New Roman" w:eastAsia="楷体" w:hAnsi="Times New Roman" w:hint="eastAsia"/>
          <w:color w:val="000000" w:themeColor="text1"/>
          <w:sz w:val="24"/>
          <w:szCs w:val="24"/>
        </w:rPr>
        <w:t>PMI</w:t>
      </w:r>
      <w:r w:rsidRPr="00876CE2">
        <w:rPr>
          <w:rFonts w:ascii="Times New Roman" w:eastAsia="楷体" w:hAnsi="Times New Roman" w:hint="eastAsia"/>
          <w:color w:val="000000" w:themeColor="text1"/>
          <w:sz w:val="24"/>
          <w:szCs w:val="24"/>
        </w:rPr>
        <w:t>数据为</w:t>
      </w:r>
      <w:r w:rsidRPr="00876CE2">
        <w:rPr>
          <w:rFonts w:ascii="Times New Roman" w:eastAsia="楷体" w:hAnsi="Times New Roman" w:hint="eastAsia"/>
          <w:color w:val="000000" w:themeColor="text1"/>
          <w:sz w:val="24"/>
          <w:szCs w:val="24"/>
        </w:rPr>
        <w:t>43.8</w:t>
      </w:r>
      <w:r w:rsidRPr="00876CE2">
        <w:rPr>
          <w:rFonts w:ascii="Times New Roman" w:eastAsia="楷体" w:hAnsi="Times New Roman" w:hint="eastAsia"/>
          <w:color w:val="000000" w:themeColor="text1"/>
          <w:sz w:val="24"/>
          <w:szCs w:val="24"/>
        </w:rPr>
        <w:t>，超过预期的</w:t>
      </w:r>
      <w:r w:rsidRPr="00876CE2">
        <w:rPr>
          <w:rFonts w:ascii="Times New Roman" w:eastAsia="楷体" w:hAnsi="Times New Roman" w:hint="eastAsia"/>
          <w:color w:val="000000" w:themeColor="text1"/>
          <w:sz w:val="24"/>
          <w:szCs w:val="24"/>
        </w:rPr>
        <w:t>43.4</w:t>
      </w:r>
      <w:r w:rsidRPr="00876CE2">
        <w:rPr>
          <w:rFonts w:ascii="Times New Roman" w:eastAsia="楷体" w:hAnsi="Times New Roman" w:hint="eastAsia"/>
          <w:color w:val="000000" w:themeColor="text1"/>
          <w:sz w:val="24"/>
          <w:szCs w:val="24"/>
        </w:rPr>
        <w:t>，但依然离荣枯线较远。</w:t>
      </w:r>
    </w:p>
    <w:p w:rsidR="00152664" w:rsidRDefault="00876CE2" w:rsidP="00876CE2">
      <w:pPr>
        <w:ind w:leftChars="300" w:left="630"/>
        <w:rPr>
          <w:rFonts w:ascii="Times New Roman" w:eastAsia="楷体" w:hAnsi="Times New Roman"/>
          <w:color w:val="000000" w:themeColor="text1"/>
          <w:sz w:val="24"/>
          <w:szCs w:val="24"/>
        </w:rPr>
      </w:pPr>
      <w:r w:rsidRPr="00876CE2">
        <w:rPr>
          <w:rFonts w:ascii="Times New Roman" w:eastAsia="楷体" w:hAnsi="Times New Roman" w:hint="eastAsia"/>
          <w:color w:val="000000" w:themeColor="text1"/>
          <w:sz w:val="24"/>
          <w:szCs w:val="24"/>
        </w:rPr>
        <w:t>由于三大船公司公布</w:t>
      </w:r>
      <w:r w:rsidRPr="00876CE2">
        <w:rPr>
          <w:rFonts w:ascii="Times New Roman" w:eastAsia="楷体" w:hAnsi="Times New Roman" w:hint="eastAsia"/>
          <w:color w:val="000000" w:themeColor="text1"/>
          <w:sz w:val="24"/>
          <w:szCs w:val="24"/>
        </w:rPr>
        <w:t>1</w:t>
      </w:r>
      <w:r w:rsidRPr="00876CE2">
        <w:rPr>
          <w:rFonts w:ascii="Times New Roman" w:eastAsia="楷体" w:hAnsi="Times New Roman" w:hint="eastAsia"/>
          <w:color w:val="000000" w:themeColor="text1"/>
          <w:sz w:val="24"/>
          <w:szCs w:val="24"/>
        </w:rPr>
        <w:t>月</w:t>
      </w:r>
      <w:r w:rsidRPr="00876CE2">
        <w:rPr>
          <w:rFonts w:ascii="Times New Roman" w:eastAsia="楷体" w:hAnsi="Times New Roman" w:hint="eastAsia"/>
          <w:color w:val="000000" w:themeColor="text1"/>
          <w:sz w:val="24"/>
          <w:szCs w:val="24"/>
        </w:rPr>
        <w:t>1</w:t>
      </w:r>
      <w:r w:rsidRPr="00876CE2">
        <w:rPr>
          <w:rFonts w:ascii="Times New Roman" w:eastAsia="楷体" w:hAnsi="Times New Roman" w:hint="eastAsia"/>
          <w:color w:val="000000" w:themeColor="text1"/>
          <w:sz w:val="24"/>
          <w:szCs w:val="24"/>
        </w:rPr>
        <w:t>日新一轮涨价，期货市场多头情绪得到强化，期货价格受到短线支撑。但供需格局长期来看处于过剩状态，因此运价回归基本面不可避免。但上周五公布</w:t>
      </w:r>
      <w:r w:rsidRPr="00876CE2">
        <w:rPr>
          <w:rFonts w:ascii="Times New Roman" w:eastAsia="楷体" w:hAnsi="Times New Roman" w:hint="eastAsia"/>
          <w:color w:val="000000" w:themeColor="text1"/>
          <w:sz w:val="24"/>
          <w:szCs w:val="24"/>
        </w:rPr>
        <w:t>SCFI</w:t>
      </w:r>
      <w:r w:rsidRPr="00876CE2">
        <w:rPr>
          <w:rFonts w:ascii="Times New Roman" w:eastAsia="楷体" w:hAnsi="Times New Roman" w:hint="eastAsia"/>
          <w:color w:val="000000" w:themeColor="text1"/>
          <w:sz w:val="24"/>
          <w:szCs w:val="24"/>
        </w:rPr>
        <w:t>欧线大涨</w:t>
      </w:r>
      <w:r w:rsidRPr="00876CE2">
        <w:rPr>
          <w:rFonts w:ascii="Times New Roman" w:eastAsia="楷体" w:hAnsi="Times New Roman" w:hint="eastAsia"/>
          <w:color w:val="000000" w:themeColor="text1"/>
          <w:sz w:val="24"/>
          <w:szCs w:val="24"/>
        </w:rPr>
        <w:t>8.7%</w:t>
      </w:r>
      <w:r w:rsidRPr="00876CE2">
        <w:rPr>
          <w:rFonts w:ascii="Times New Roman" w:eastAsia="楷体" w:hAnsi="Times New Roman" w:hint="eastAsia"/>
          <w:color w:val="000000" w:themeColor="text1"/>
          <w:sz w:val="24"/>
          <w:szCs w:val="24"/>
        </w:rPr>
        <w:t>，建议在操作上注意节奏把握，留意短期上涨风险</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42" w:rsidRDefault="00567E42">
      <w:r>
        <w:separator/>
      </w:r>
    </w:p>
  </w:endnote>
  <w:endnote w:type="continuationSeparator" w:id="0">
    <w:p w:rsidR="00567E42" w:rsidRDefault="0056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10C8D78" wp14:editId="799BECB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57C0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57C0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42" w:rsidRDefault="00567E42">
      <w:r>
        <w:separator/>
      </w:r>
    </w:p>
  </w:footnote>
  <w:footnote w:type="continuationSeparator" w:id="0">
    <w:p w:rsidR="00567E42" w:rsidRDefault="00567E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ABC6498" wp14:editId="386BF7C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DD50431" wp14:editId="200EB23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B0E23">
      <w:rPr>
        <w:rFonts w:ascii="Times New Roman" w:eastAsia="楷体" w:hAnsi="Times New Roman" w:hint="eastAsia"/>
        <w:b/>
        <w:bCs/>
        <w:noProof/>
        <w:color w:val="833C0B"/>
        <w:sz w:val="21"/>
      </w:rPr>
      <w:t>2023</w:t>
    </w:r>
    <w:r w:rsidR="00EB0E23">
      <w:rPr>
        <w:rFonts w:ascii="Times New Roman" w:eastAsia="楷体" w:hAnsi="Times New Roman" w:hint="eastAsia"/>
        <w:b/>
        <w:bCs/>
        <w:noProof/>
        <w:color w:val="833C0B"/>
        <w:sz w:val="21"/>
      </w:rPr>
      <w:t>年</w:t>
    </w:r>
    <w:r w:rsidR="00EB0E23">
      <w:rPr>
        <w:rFonts w:ascii="Times New Roman" w:eastAsia="楷体" w:hAnsi="Times New Roman" w:hint="eastAsia"/>
        <w:b/>
        <w:bCs/>
        <w:noProof/>
        <w:color w:val="833C0B"/>
        <w:sz w:val="21"/>
      </w:rPr>
      <w:t>12</w:t>
    </w:r>
    <w:r w:rsidR="00EB0E23">
      <w:rPr>
        <w:rFonts w:ascii="Times New Roman" w:eastAsia="楷体" w:hAnsi="Times New Roman" w:hint="eastAsia"/>
        <w:b/>
        <w:bCs/>
        <w:noProof/>
        <w:color w:val="833C0B"/>
        <w:sz w:val="21"/>
      </w:rPr>
      <w:t>月</w:t>
    </w:r>
    <w:r w:rsidR="00EB0E23">
      <w:rPr>
        <w:rFonts w:ascii="Times New Roman" w:eastAsia="楷体" w:hAnsi="Times New Roman" w:hint="eastAsia"/>
        <w:b/>
        <w:bCs/>
        <w:noProof/>
        <w:color w:val="833C0B"/>
        <w:sz w:val="21"/>
      </w:rPr>
      <w:t>11</w:t>
    </w:r>
    <w:r w:rsidR="00EB0E23">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1B672-1427-4AF5-AB02-2DF9A9F9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4836</TotalTime>
  <Pages>10</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151</cp:revision>
  <cp:lastPrinted>2023-06-08T02:23:00Z</cp:lastPrinted>
  <dcterms:created xsi:type="dcterms:W3CDTF">2022-11-15T10:06:00Z</dcterms:created>
  <dcterms:modified xsi:type="dcterms:W3CDTF">2023-12-11T03:07:00Z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