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B56D3"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B56D3" w:rsidRPr="008E7797">
            <w:rPr>
              <w:rStyle w:val="a9"/>
              <w:noProof/>
            </w:rPr>
            <w:fldChar w:fldCharType="begin"/>
          </w:r>
          <w:r w:rsidR="000B56D3" w:rsidRPr="008E7797">
            <w:rPr>
              <w:rStyle w:val="a9"/>
              <w:noProof/>
            </w:rPr>
            <w:instrText xml:space="preserve"> </w:instrText>
          </w:r>
          <w:r w:rsidR="000B56D3">
            <w:rPr>
              <w:noProof/>
            </w:rPr>
            <w:instrText>HYPERLINK \l "_Toc152752655"</w:instrText>
          </w:r>
          <w:r w:rsidR="000B56D3" w:rsidRPr="008E7797">
            <w:rPr>
              <w:rStyle w:val="a9"/>
              <w:noProof/>
            </w:rPr>
            <w:instrText xml:space="preserve"> </w:instrText>
          </w:r>
          <w:r w:rsidR="000B56D3" w:rsidRPr="008E7797">
            <w:rPr>
              <w:rStyle w:val="a9"/>
              <w:noProof/>
            </w:rPr>
          </w:r>
          <w:r w:rsidR="000B56D3" w:rsidRPr="008E7797">
            <w:rPr>
              <w:rStyle w:val="a9"/>
              <w:noProof/>
            </w:rPr>
            <w:fldChar w:fldCharType="separate"/>
          </w:r>
          <w:r w:rsidR="000B56D3" w:rsidRPr="008E7797">
            <w:rPr>
              <w:rStyle w:val="a9"/>
              <w:rFonts w:ascii="Times New Roman" w:eastAsia="楷体" w:hAnsi="Times New Roman"/>
              <w:b/>
              <w:noProof/>
            </w:rPr>
            <w:t>[</w:t>
          </w:r>
          <w:r w:rsidR="000B56D3" w:rsidRPr="008E7797">
            <w:rPr>
              <w:rStyle w:val="a9"/>
              <w:rFonts w:ascii="Times New Roman" w:eastAsia="楷体" w:hAnsi="Times New Roman"/>
              <w:b/>
              <w:noProof/>
            </w:rPr>
            <w:t>金融</w:t>
          </w:r>
          <w:r w:rsidR="000B56D3" w:rsidRPr="008E7797">
            <w:rPr>
              <w:rStyle w:val="a9"/>
              <w:rFonts w:ascii="Times New Roman" w:eastAsia="楷体" w:hAnsi="Times New Roman"/>
              <w:b/>
              <w:noProof/>
            </w:rPr>
            <w:t>]</w:t>
          </w:r>
          <w:r w:rsidR="000B56D3" w:rsidRPr="008E7797">
            <w:rPr>
              <w:rStyle w:val="a9"/>
              <w:noProof/>
            </w:rPr>
            <w:fldChar w:fldCharType="end"/>
          </w:r>
        </w:p>
        <w:p w:rsidR="000B56D3" w:rsidRDefault="000B56D3">
          <w:pPr>
            <w:pStyle w:val="23"/>
            <w:tabs>
              <w:tab w:val="right" w:leader="dot" w:pos="8296"/>
            </w:tabs>
            <w:rPr>
              <w:rFonts w:eastAsiaTheme="minorEastAsia"/>
              <w:noProof/>
              <w:szCs w:val="22"/>
            </w:rPr>
          </w:pPr>
          <w:hyperlink w:anchor="_Toc152752656" w:history="1">
            <w:r w:rsidRPr="008E7797">
              <w:rPr>
                <w:rStyle w:val="a9"/>
                <w:rFonts w:ascii="Times New Roman" w:eastAsia="楷体" w:hAnsi="Times New Roman"/>
                <w:b/>
                <w:noProof/>
              </w:rPr>
              <w:t>股指：观望，待企稳后低多</w:t>
            </w:r>
          </w:hyperlink>
        </w:p>
        <w:p w:rsidR="000B56D3" w:rsidRDefault="000B56D3">
          <w:pPr>
            <w:pStyle w:val="11"/>
            <w:tabs>
              <w:tab w:val="right" w:leader="dot" w:pos="8296"/>
            </w:tabs>
            <w:rPr>
              <w:rFonts w:eastAsiaTheme="minorEastAsia"/>
              <w:noProof/>
              <w:szCs w:val="22"/>
            </w:rPr>
          </w:pPr>
          <w:hyperlink w:anchor="_Toc152752657" w:history="1">
            <w:r w:rsidRPr="008E7797">
              <w:rPr>
                <w:rStyle w:val="a9"/>
                <w:rFonts w:ascii="Times New Roman" w:eastAsia="楷体" w:hAnsi="Times New Roman"/>
                <w:b/>
                <w:noProof/>
              </w:rPr>
              <w:t>[</w:t>
            </w:r>
            <w:r w:rsidRPr="008E7797">
              <w:rPr>
                <w:rStyle w:val="a9"/>
                <w:rFonts w:ascii="Times New Roman" w:eastAsia="楷体" w:hAnsi="Times New Roman"/>
                <w:b/>
                <w:noProof/>
              </w:rPr>
              <w:t>贵金属</w:t>
            </w:r>
            <w:r w:rsidRPr="008E7797">
              <w:rPr>
                <w:rStyle w:val="a9"/>
                <w:rFonts w:ascii="Times New Roman" w:eastAsia="楷体" w:hAnsi="Times New Roman"/>
                <w:b/>
                <w:noProof/>
              </w:rPr>
              <w:t>]</w:t>
            </w:r>
          </w:hyperlink>
        </w:p>
        <w:p w:rsidR="000B56D3" w:rsidRDefault="000B56D3">
          <w:pPr>
            <w:pStyle w:val="23"/>
            <w:tabs>
              <w:tab w:val="right" w:leader="dot" w:pos="8296"/>
            </w:tabs>
            <w:rPr>
              <w:rFonts w:eastAsiaTheme="minorEastAsia"/>
              <w:noProof/>
              <w:szCs w:val="22"/>
            </w:rPr>
          </w:pPr>
          <w:hyperlink w:anchor="_Toc152752658" w:history="1">
            <w:r w:rsidRPr="008E7797">
              <w:rPr>
                <w:rStyle w:val="a9"/>
                <w:rFonts w:ascii="Times New Roman" w:eastAsia="楷体" w:hAnsi="Times New Roman"/>
                <w:b/>
                <w:noProof/>
              </w:rPr>
              <w:t>贵金属：美国非制造业</w:t>
            </w:r>
            <w:r w:rsidRPr="008E7797">
              <w:rPr>
                <w:rStyle w:val="a9"/>
                <w:rFonts w:ascii="Times New Roman" w:eastAsia="楷体" w:hAnsi="Times New Roman"/>
                <w:b/>
                <w:noProof/>
              </w:rPr>
              <w:t>PMI</w:t>
            </w:r>
            <w:r w:rsidRPr="008E7797">
              <w:rPr>
                <w:rStyle w:val="a9"/>
                <w:rFonts w:ascii="Times New Roman" w:eastAsia="楷体" w:hAnsi="Times New Roman"/>
                <w:b/>
                <w:noProof/>
              </w:rPr>
              <w:t>略高于预期，贵金属价格下跌</w:t>
            </w:r>
          </w:hyperlink>
        </w:p>
        <w:p w:rsidR="000B56D3" w:rsidRDefault="000B56D3">
          <w:pPr>
            <w:pStyle w:val="11"/>
            <w:tabs>
              <w:tab w:val="right" w:leader="dot" w:pos="8296"/>
            </w:tabs>
            <w:rPr>
              <w:rFonts w:eastAsiaTheme="minorEastAsia"/>
              <w:noProof/>
              <w:szCs w:val="22"/>
            </w:rPr>
          </w:pPr>
          <w:hyperlink w:anchor="_Toc152752659" w:history="1">
            <w:r w:rsidRPr="008E7797">
              <w:rPr>
                <w:rStyle w:val="a9"/>
                <w:rFonts w:ascii="Times New Roman" w:eastAsia="楷体" w:hAnsi="Times New Roman"/>
                <w:b/>
                <w:noProof/>
              </w:rPr>
              <w:t>[</w:t>
            </w:r>
            <w:r w:rsidRPr="008E7797">
              <w:rPr>
                <w:rStyle w:val="a9"/>
                <w:rFonts w:ascii="Times New Roman" w:eastAsia="楷体" w:hAnsi="Times New Roman"/>
                <w:b/>
                <w:noProof/>
              </w:rPr>
              <w:t>金属</w:t>
            </w:r>
            <w:r w:rsidRPr="008E7797">
              <w:rPr>
                <w:rStyle w:val="a9"/>
                <w:rFonts w:ascii="Times New Roman" w:eastAsia="楷体" w:hAnsi="Times New Roman"/>
                <w:b/>
                <w:noProof/>
              </w:rPr>
              <w:t>]</w:t>
            </w:r>
          </w:hyperlink>
        </w:p>
        <w:p w:rsidR="000B56D3" w:rsidRDefault="000B56D3">
          <w:pPr>
            <w:pStyle w:val="23"/>
            <w:tabs>
              <w:tab w:val="right" w:leader="dot" w:pos="8296"/>
            </w:tabs>
            <w:rPr>
              <w:rFonts w:eastAsiaTheme="minorEastAsia"/>
              <w:noProof/>
              <w:szCs w:val="22"/>
            </w:rPr>
          </w:pPr>
          <w:hyperlink w:anchor="_Toc152752660" w:history="1">
            <w:r w:rsidRPr="008E7797">
              <w:rPr>
                <w:rStyle w:val="a9"/>
                <w:rFonts w:ascii="楷体" w:eastAsia="楷体" w:hAnsi="楷体"/>
                <w:b/>
                <w:noProof/>
              </w:rPr>
              <w:t>碳酸锂：延续跌势，碳酸锂期价全线跌停</w:t>
            </w:r>
          </w:hyperlink>
        </w:p>
        <w:p w:rsidR="000B56D3" w:rsidRDefault="000B56D3">
          <w:pPr>
            <w:pStyle w:val="23"/>
            <w:tabs>
              <w:tab w:val="right" w:leader="dot" w:pos="8296"/>
            </w:tabs>
            <w:rPr>
              <w:rFonts w:eastAsiaTheme="minorEastAsia"/>
              <w:noProof/>
              <w:szCs w:val="22"/>
            </w:rPr>
          </w:pPr>
          <w:hyperlink w:anchor="_Toc152752661" w:history="1">
            <w:r w:rsidRPr="008E7797">
              <w:rPr>
                <w:rStyle w:val="a9"/>
                <w:rFonts w:ascii="楷体" w:eastAsia="楷体" w:hAnsi="楷体"/>
                <w:b/>
                <w:noProof/>
              </w:rPr>
              <w:t>螺纹钢：基本面矛盾不大，关注预期博弈</w:t>
            </w:r>
          </w:hyperlink>
        </w:p>
        <w:p w:rsidR="000B56D3" w:rsidRDefault="000B56D3">
          <w:pPr>
            <w:pStyle w:val="23"/>
            <w:tabs>
              <w:tab w:val="right" w:leader="dot" w:pos="8296"/>
            </w:tabs>
            <w:rPr>
              <w:rFonts w:eastAsiaTheme="minorEastAsia"/>
              <w:noProof/>
              <w:szCs w:val="22"/>
            </w:rPr>
          </w:pPr>
          <w:hyperlink w:anchor="_Toc152752662" w:history="1">
            <w:r w:rsidRPr="008E7797">
              <w:rPr>
                <w:rStyle w:val="a9"/>
                <w:rFonts w:ascii="楷体" w:eastAsia="楷体" w:hAnsi="楷体"/>
                <w:b/>
                <w:noProof/>
              </w:rPr>
              <w:t>焦炭：第三轮提涨提出，盘面区间震荡</w:t>
            </w:r>
          </w:hyperlink>
        </w:p>
        <w:p w:rsidR="000B56D3" w:rsidRDefault="000B56D3">
          <w:pPr>
            <w:pStyle w:val="23"/>
            <w:tabs>
              <w:tab w:val="right" w:leader="dot" w:pos="8296"/>
            </w:tabs>
            <w:rPr>
              <w:rFonts w:eastAsiaTheme="minorEastAsia"/>
              <w:noProof/>
              <w:szCs w:val="22"/>
            </w:rPr>
          </w:pPr>
          <w:hyperlink w:anchor="_Toc152752663" w:history="1">
            <w:r w:rsidRPr="008E7797">
              <w:rPr>
                <w:rStyle w:val="a9"/>
                <w:rFonts w:ascii="楷体" w:eastAsia="楷体" w:hAnsi="楷体"/>
                <w:b/>
                <w:noProof/>
              </w:rPr>
              <w:t>焦煤：现货有所松动，但下行空间有限</w:t>
            </w:r>
          </w:hyperlink>
        </w:p>
        <w:p w:rsidR="000B56D3" w:rsidRDefault="000B56D3">
          <w:pPr>
            <w:pStyle w:val="23"/>
            <w:tabs>
              <w:tab w:val="right" w:leader="dot" w:pos="8296"/>
            </w:tabs>
            <w:rPr>
              <w:rFonts w:eastAsiaTheme="minorEastAsia"/>
              <w:noProof/>
              <w:szCs w:val="22"/>
            </w:rPr>
          </w:pPr>
          <w:hyperlink w:anchor="_Toc152752664" w:history="1">
            <w:r w:rsidRPr="008E7797">
              <w:rPr>
                <w:rStyle w:val="a9"/>
                <w:rFonts w:ascii="楷体" w:eastAsia="楷体" w:hAnsi="楷体"/>
                <w:b/>
                <w:noProof/>
              </w:rPr>
              <w:t>铜：高位承压偏弱运行</w:t>
            </w:r>
          </w:hyperlink>
        </w:p>
        <w:p w:rsidR="000B56D3" w:rsidRDefault="000B56D3">
          <w:pPr>
            <w:pStyle w:val="23"/>
            <w:tabs>
              <w:tab w:val="right" w:leader="dot" w:pos="8296"/>
            </w:tabs>
            <w:rPr>
              <w:rFonts w:eastAsiaTheme="minorEastAsia"/>
              <w:noProof/>
              <w:szCs w:val="22"/>
            </w:rPr>
          </w:pPr>
          <w:hyperlink w:anchor="_Toc152752665" w:history="1">
            <w:r w:rsidRPr="008E7797">
              <w:rPr>
                <w:rStyle w:val="a9"/>
                <w:rFonts w:ascii="楷体" w:eastAsia="楷体" w:hAnsi="楷体"/>
                <w:b/>
                <w:noProof/>
              </w:rPr>
              <w:t>铝：价格趋弱整理，下方空间有限</w:t>
            </w:r>
          </w:hyperlink>
        </w:p>
        <w:p w:rsidR="000B56D3" w:rsidRDefault="000B56D3">
          <w:pPr>
            <w:pStyle w:val="23"/>
            <w:tabs>
              <w:tab w:val="right" w:leader="dot" w:pos="8296"/>
            </w:tabs>
            <w:rPr>
              <w:rFonts w:eastAsiaTheme="minorEastAsia"/>
              <w:noProof/>
              <w:szCs w:val="22"/>
            </w:rPr>
          </w:pPr>
          <w:hyperlink w:anchor="_Toc152752666" w:history="1">
            <w:r w:rsidRPr="008E7797">
              <w:rPr>
                <w:rStyle w:val="a9"/>
                <w:rFonts w:ascii="楷体" w:eastAsia="楷体" w:hAnsi="楷体"/>
                <w:b/>
                <w:noProof/>
              </w:rPr>
              <w:t>锌：供强需弱，锌价趋弱运行</w:t>
            </w:r>
          </w:hyperlink>
        </w:p>
        <w:p w:rsidR="000B56D3" w:rsidRDefault="000B56D3">
          <w:pPr>
            <w:pStyle w:val="23"/>
            <w:tabs>
              <w:tab w:val="right" w:leader="dot" w:pos="8296"/>
            </w:tabs>
            <w:rPr>
              <w:rFonts w:eastAsiaTheme="minorEastAsia"/>
              <w:noProof/>
              <w:szCs w:val="22"/>
            </w:rPr>
          </w:pPr>
          <w:hyperlink w:anchor="_Toc152752667" w:history="1">
            <w:r w:rsidRPr="008E7797">
              <w:rPr>
                <w:rStyle w:val="a9"/>
                <w:rFonts w:ascii="楷体" w:eastAsia="楷体" w:hAnsi="楷体"/>
                <w:b/>
                <w:noProof/>
              </w:rPr>
              <w:t>镍：镍市过剩格局难改，镍价持续承压</w:t>
            </w:r>
          </w:hyperlink>
        </w:p>
        <w:p w:rsidR="000B56D3" w:rsidRDefault="000B56D3">
          <w:pPr>
            <w:pStyle w:val="23"/>
            <w:tabs>
              <w:tab w:val="right" w:leader="dot" w:pos="8296"/>
            </w:tabs>
            <w:rPr>
              <w:rFonts w:eastAsiaTheme="minorEastAsia"/>
              <w:noProof/>
              <w:szCs w:val="22"/>
            </w:rPr>
          </w:pPr>
          <w:hyperlink w:anchor="_Toc152752668" w:history="1">
            <w:r w:rsidRPr="008E7797">
              <w:rPr>
                <w:rStyle w:val="a9"/>
                <w:rFonts w:ascii="楷体" w:eastAsia="楷体" w:hAnsi="楷体"/>
                <w:b/>
                <w:noProof/>
              </w:rPr>
              <w:t>铅：铝价上方压力仍存</w:t>
            </w:r>
          </w:hyperlink>
        </w:p>
        <w:p w:rsidR="000B56D3" w:rsidRDefault="000B56D3">
          <w:pPr>
            <w:pStyle w:val="23"/>
            <w:tabs>
              <w:tab w:val="right" w:leader="dot" w:pos="8296"/>
            </w:tabs>
            <w:rPr>
              <w:rFonts w:eastAsiaTheme="minorEastAsia"/>
              <w:noProof/>
              <w:szCs w:val="22"/>
            </w:rPr>
          </w:pPr>
          <w:hyperlink w:anchor="_Toc152752669" w:history="1">
            <w:r w:rsidRPr="008E7797">
              <w:rPr>
                <w:rStyle w:val="a9"/>
                <w:rFonts w:ascii="楷体" w:eastAsia="楷体" w:hAnsi="楷体"/>
                <w:b/>
                <w:noProof/>
              </w:rPr>
              <w:t>不锈钢：需求拖累叠负反馈持续，不锈钢价弱势运行</w:t>
            </w:r>
          </w:hyperlink>
        </w:p>
        <w:p w:rsidR="000B56D3" w:rsidRDefault="000B56D3">
          <w:pPr>
            <w:pStyle w:val="23"/>
            <w:tabs>
              <w:tab w:val="right" w:leader="dot" w:pos="8296"/>
            </w:tabs>
            <w:rPr>
              <w:rFonts w:eastAsiaTheme="minorEastAsia"/>
              <w:noProof/>
              <w:szCs w:val="22"/>
            </w:rPr>
          </w:pPr>
          <w:hyperlink w:anchor="_Toc152752670" w:history="1">
            <w:r w:rsidRPr="008E7797">
              <w:rPr>
                <w:rStyle w:val="a9"/>
                <w:rFonts w:ascii="楷体" w:eastAsia="楷体" w:hAnsi="楷体"/>
                <w:b/>
                <w:noProof/>
              </w:rPr>
              <w:t>工业硅：仓单集中注销，盘面承压下行</w:t>
            </w:r>
          </w:hyperlink>
        </w:p>
        <w:p w:rsidR="000B56D3" w:rsidRDefault="000B56D3">
          <w:pPr>
            <w:pStyle w:val="11"/>
            <w:tabs>
              <w:tab w:val="right" w:leader="dot" w:pos="8296"/>
            </w:tabs>
            <w:rPr>
              <w:rFonts w:eastAsiaTheme="minorEastAsia"/>
              <w:noProof/>
              <w:szCs w:val="22"/>
            </w:rPr>
          </w:pPr>
          <w:hyperlink w:anchor="_Toc152752671" w:history="1">
            <w:r w:rsidRPr="008E7797">
              <w:rPr>
                <w:rStyle w:val="a9"/>
                <w:rFonts w:ascii="Times New Roman" w:eastAsia="楷体" w:hAnsi="Times New Roman"/>
                <w:b/>
                <w:noProof/>
              </w:rPr>
              <w:t>[</w:t>
            </w:r>
            <w:r w:rsidRPr="008E7797">
              <w:rPr>
                <w:rStyle w:val="a9"/>
                <w:rFonts w:ascii="Times New Roman" w:eastAsia="楷体" w:hAnsi="Times New Roman"/>
                <w:b/>
                <w:noProof/>
              </w:rPr>
              <w:t>化工</w:t>
            </w:r>
            <w:r w:rsidRPr="008E7797">
              <w:rPr>
                <w:rStyle w:val="a9"/>
                <w:rFonts w:ascii="Times New Roman" w:eastAsia="楷体" w:hAnsi="Times New Roman"/>
                <w:b/>
                <w:noProof/>
              </w:rPr>
              <w:t>]</w:t>
            </w:r>
          </w:hyperlink>
        </w:p>
        <w:p w:rsidR="000B56D3" w:rsidRDefault="000B56D3">
          <w:pPr>
            <w:pStyle w:val="23"/>
            <w:tabs>
              <w:tab w:val="right" w:leader="dot" w:pos="8296"/>
            </w:tabs>
            <w:rPr>
              <w:rFonts w:eastAsiaTheme="minorEastAsia"/>
              <w:noProof/>
              <w:szCs w:val="22"/>
            </w:rPr>
          </w:pPr>
          <w:hyperlink w:anchor="_Toc152752672" w:history="1">
            <w:r w:rsidRPr="008E7797">
              <w:rPr>
                <w:rStyle w:val="a9"/>
                <w:rFonts w:ascii="Times New Roman" w:eastAsia="楷体" w:hAnsi="Times New Roman"/>
                <w:b/>
                <w:noProof/>
              </w:rPr>
              <w:t>天然橡胶</w:t>
            </w:r>
            <w:r w:rsidRPr="008E7797">
              <w:rPr>
                <w:rStyle w:val="a9"/>
                <w:rFonts w:ascii="Times New Roman" w:eastAsia="楷体" w:hAnsi="Times New Roman"/>
                <w:b/>
                <w:noProof/>
              </w:rPr>
              <w:t>:</w:t>
            </w:r>
            <w:r w:rsidRPr="008E7797">
              <w:rPr>
                <w:rStyle w:val="a9"/>
                <w:rFonts w:ascii="楷体" w:eastAsia="楷体" w:hAnsi="楷体"/>
                <w:b/>
                <w:noProof/>
              </w:rPr>
              <w:t xml:space="preserve"> 东南亚主产区进入旺产季 天胶延续偏弱下行</w:t>
            </w:r>
          </w:hyperlink>
        </w:p>
        <w:p w:rsidR="000B56D3" w:rsidRDefault="000B56D3">
          <w:pPr>
            <w:pStyle w:val="23"/>
            <w:tabs>
              <w:tab w:val="right" w:leader="dot" w:pos="8296"/>
            </w:tabs>
            <w:rPr>
              <w:rFonts w:eastAsiaTheme="minorEastAsia"/>
              <w:noProof/>
              <w:szCs w:val="22"/>
            </w:rPr>
          </w:pPr>
          <w:hyperlink w:anchor="_Toc152752673" w:history="1">
            <w:r w:rsidRPr="008E7797">
              <w:rPr>
                <w:rStyle w:val="a9"/>
                <w:rFonts w:ascii="楷体" w:eastAsia="楷体" w:hAnsi="楷体"/>
                <w:b/>
                <w:noProof/>
              </w:rPr>
              <w:t>PTA：</w:t>
            </w:r>
            <w:r w:rsidRPr="008E7797">
              <w:rPr>
                <w:rStyle w:val="a9"/>
                <w:rFonts w:ascii="Calibri" w:eastAsia="楷体" w:hAnsi="Calibri" w:cs="Calibri"/>
                <w:b/>
                <w:noProof/>
              </w:rPr>
              <w:t> </w:t>
            </w:r>
            <w:r w:rsidRPr="008E7797">
              <w:rPr>
                <w:rStyle w:val="a9"/>
                <w:rFonts w:ascii="Calibri" w:eastAsia="楷体" w:hAnsi="Calibri" w:cs="Calibri"/>
                <w:b/>
                <w:noProof/>
              </w:rPr>
              <w:t>供需矛盾不突出</w:t>
            </w:r>
            <w:r w:rsidRPr="008E7797">
              <w:rPr>
                <w:rStyle w:val="a9"/>
                <w:rFonts w:ascii="Calibri" w:eastAsia="楷体" w:hAnsi="Calibri" w:cs="Calibri"/>
                <w:b/>
                <w:noProof/>
              </w:rPr>
              <w:t xml:space="preserve"> </w:t>
            </w:r>
            <w:r w:rsidRPr="008E7797">
              <w:rPr>
                <w:rStyle w:val="a9"/>
                <w:rFonts w:ascii="Calibri" w:eastAsia="楷体" w:hAnsi="Calibri" w:cs="Calibri"/>
                <w:b/>
                <w:noProof/>
              </w:rPr>
              <w:t>短期跟随成本端调整</w:t>
            </w:r>
          </w:hyperlink>
        </w:p>
        <w:p w:rsidR="000B56D3" w:rsidRDefault="000B56D3">
          <w:pPr>
            <w:pStyle w:val="23"/>
            <w:tabs>
              <w:tab w:val="right" w:leader="dot" w:pos="8296"/>
            </w:tabs>
            <w:rPr>
              <w:rFonts w:eastAsiaTheme="minorEastAsia"/>
              <w:noProof/>
              <w:szCs w:val="22"/>
            </w:rPr>
          </w:pPr>
          <w:hyperlink w:anchor="_Toc152752674" w:history="1">
            <w:r w:rsidRPr="008E7797">
              <w:rPr>
                <w:rStyle w:val="a9"/>
                <w:rFonts w:ascii="楷体" w:eastAsia="楷体" w:hAnsi="楷体"/>
                <w:b/>
                <w:noProof/>
              </w:rPr>
              <w:t>聚烯烃：需求季节性淡季叠加原油下跌 聚烯烃建议逢高做空</w:t>
            </w:r>
          </w:hyperlink>
        </w:p>
        <w:p w:rsidR="000B56D3" w:rsidRDefault="000B56D3">
          <w:pPr>
            <w:pStyle w:val="23"/>
            <w:tabs>
              <w:tab w:val="right" w:leader="dot" w:pos="8296"/>
            </w:tabs>
            <w:rPr>
              <w:rFonts w:eastAsiaTheme="minorEastAsia"/>
              <w:noProof/>
              <w:szCs w:val="22"/>
            </w:rPr>
          </w:pPr>
          <w:hyperlink w:anchor="_Toc152752675" w:history="1">
            <w:r w:rsidRPr="008E7797">
              <w:rPr>
                <w:rStyle w:val="a9"/>
                <w:rFonts w:ascii="楷体" w:eastAsia="楷体" w:hAnsi="楷体"/>
                <w:b/>
                <w:noProof/>
              </w:rPr>
              <w:t>MEG：关注低多机会</w:t>
            </w:r>
          </w:hyperlink>
        </w:p>
        <w:p w:rsidR="000B56D3" w:rsidRDefault="000B56D3">
          <w:pPr>
            <w:pStyle w:val="23"/>
            <w:tabs>
              <w:tab w:val="right" w:leader="dot" w:pos="8296"/>
            </w:tabs>
            <w:rPr>
              <w:rFonts w:eastAsiaTheme="minorEastAsia"/>
              <w:noProof/>
              <w:szCs w:val="22"/>
            </w:rPr>
          </w:pPr>
          <w:hyperlink w:anchor="_Toc152752676" w:history="1">
            <w:r w:rsidRPr="008E7797">
              <w:rPr>
                <w:rStyle w:val="a9"/>
                <w:rFonts w:ascii="楷体" w:eastAsia="楷体" w:hAnsi="楷体"/>
                <w:b/>
                <w:noProof/>
              </w:rPr>
              <w:t>玻璃：南北出现分歧，建议低多思路</w:t>
            </w:r>
          </w:hyperlink>
        </w:p>
        <w:p w:rsidR="000B56D3" w:rsidRDefault="000B56D3">
          <w:pPr>
            <w:pStyle w:val="23"/>
            <w:tabs>
              <w:tab w:val="right" w:leader="dot" w:pos="8296"/>
            </w:tabs>
            <w:rPr>
              <w:rFonts w:eastAsiaTheme="minorEastAsia"/>
              <w:noProof/>
              <w:szCs w:val="22"/>
            </w:rPr>
          </w:pPr>
          <w:hyperlink w:anchor="_Toc152752677" w:history="1">
            <w:r w:rsidRPr="008E7797">
              <w:rPr>
                <w:rStyle w:val="a9"/>
                <w:rFonts w:ascii="楷体" w:eastAsia="楷体" w:hAnsi="楷体"/>
                <w:b/>
                <w:noProof/>
              </w:rPr>
              <w:t>纯碱：供给端反复扰动，近月按交割逻辑收基差</w:t>
            </w:r>
          </w:hyperlink>
        </w:p>
        <w:p w:rsidR="000B56D3" w:rsidRDefault="000B56D3">
          <w:pPr>
            <w:pStyle w:val="11"/>
            <w:tabs>
              <w:tab w:val="right" w:leader="dot" w:pos="8296"/>
            </w:tabs>
            <w:rPr>
              <w:rFonts w:eastAsiaTheme="minorEastAsia"/>
              <w:noProof/>
              <w:szCs w:val="22"/>
            </w:rPr>
          </w:pPr>
          <w:hyperlink w:anchor="_Toc152752678" w:history="1">
            <w:r w:rsidRPr="008E7797">
              <w:rPr>
                <w:rStyle w:val="a9"/>
                <w:rFonts w:ascii="Times New Roman" w:eastAsia="楷体" w:hAnsi="Times New Roman"/>
                <w:b/>
                <w:noProof/>
              </w:rPr>
              <w:t>[</w:t>
            </w:r>
            <w:r w:rsidRPr="008E7797">
              <w:rPr>
                <w:rStyle w:val="a9"/>
                <w:rFonts w:ascii="Times New Roman" w:eastAsia="楷体" w:hAnsi="Times New Roman"/>
                <w:b/>
                <w:noProof/>
              </w:rPr>
              <w:t>农产品</w:t>
            </w:r>
            <w:r w:rsidRPr="008E7797">
              <w:rPr>
                <w:rStyle w:val="a9"/>
                <w:rFonts w:ascii="Times New Roman" w:eastAsia="楷体" w:hAnsi="Times New Roman"/>
                <w:b/>
                <w:noProof/>
              </w:rPr>
              <w:t>]</w:t>
            </w:r>
          </w:hyperlink>
        </w:p>
        <w:p w:rsidR="000B56D3" w:rsidRDefault="000B56D3">
          <w:pPr>
            <w:pStyle w:val="23"/>
            <w:tabs>
              <w:tab w:val="right" w:leader="dot" w:pos="8296"/>
            </w:tabs>
            <w:rPr>
              <w:rFonts w:eastAsiaTheme="minorEastAsia"/>
              <w:noProof/>
              <w:szCs w:val="22"/>
            </w:rPr>
          </w:pPr>
          <w:hyperlink w:anchor="_Toc152752679" w:history="1">
            <w:r w:rsidRPr="008E7797">
              <w:rPr>
                <w:rStyle w:val="a9"/>
                <w:rFonts w:ascii="楷体" w:eastAsia="楷体" w:hAnsi="楷体"/>
                <w:b/>
                <w:noProof/>
              </w:rPr>
              <w:t>豆粕/菜粕：期价震荡调整，现货基差偏弱运行</w:t>
            </w:r>
          </w:hyperlink>
        </w:p>
        <w:p w:rsidR="000B56D3" w:rsidRDefault="000B56D3">
          <w:pPr>
            <w:pStyle w:val="23"/>
            <w:tabs>
              <w:tab w:val="right" w:leader="dot" w:pos="8296"/>
            </w:tabs>
            <w:rPr>
              <w:rFonts w:eastAsiaTheme="minorEastAsia"/>
              <w:noProof/>
              <w:szCs w:val="22"/>
            </w:rPr>
          </w:pPr>
          <w:hyperlink w:anchor="_Toc152752680" w:history="1">
            <w:r w:rsidRPr="008E7797">
              <w:rPr>
                <w:rStyle w:val="a9"/>
                <w:rFonts w:ascii="楷体" w:eastAsia="楷体" w:hAnsi="楷体"/>
                <w:b/>
                <w:noProof/>
              </w:rPr>
              <w:t>油脂：反弹乏力，偏弱震荡调整</w:t>
            </w:r>
          </w:hyperlink>
        </w:p>
        <w:p w:rsidR="000B56D3" w:rsidRDefault="000B56D3">
          <w:pPr>
            <w:pStyle w:val="23"/>
            <w:tabs>
              <w:tab w:val="right" w:leader="dot" w:pos="8296"/>
            </w:tabs>
            <w:rPr>
              <w:rFonts w:eastAsiaTheme="minorEastAsia"/>
              <w:noProof/>
              <w:szCs w:val="22"/>
            </w:rPr>
          </w:pPr>
          <w:hyperlink w:anchor="_Toc152752681" w:history="1">
            <w:r w:rsidRPr="008E7797">
              <w:rPr>
                <w:rStyle w:val="a9"/>
                <w:rFonts w:ascii="楷体" w:eastAsia="楷体" w:hAnsi="楷体"/>
                <w:b/>
                <w:bCs/>
                <w:noProof/>
              </w:rPr>
              <w:t>玉米与淀粉：</w:t>
            </w:r>
            <w:r w:rsidRPr="008E7797">
              <w:rPr>
                <w:rStyle w:val="a9"/>
                <w:rFonts w:ascii="楷体" w:eastAsia="楷体" w:hAnsi="楷体"/>
                <w:b/>
                <w:noProof/>
              </w:rPr>
              <w:t>期现货延续弱势</w:t>
            </w:r>
          </w:hyperlink>
        </w:p>
        <w:p w:rsidR="000B56D3" w:rsidRDefault="000B56D3">
          <w:pPr>
            <w:pStyle w:val="23"/>
            <w:tabs>
              <w:tab w:val="right" w:leader="dot" w:pos="8296"/>
            </w:tabs>
            <w:rPr>
              <w:rFonts w:eastAsiaTheme="minorEastAsia"/>
              <w:noProof/>
              <w:szCs w:val="22"/>
            </w:rPr>
          </w:pPr>
          <w:hyperlink w:anchor="_Toc152752682" w:history="1">
            <w:r w:rsidRPr="008E7797">
              <w:rPr>
                <w:rStyle w:val="a9"/>
                <w:rFonts w:ascii="楷体" w:eastAsia="楷体" w:hAnsi="楷体"/>
                <w:b/>
                <w:bCs/>
                <w:noProof/>
              </w:rPr>
              <w:t>畜禽养殖：生猪近月基差继续走强</w:t>
            </w:r>
          </w:hyperlink>
        </w:p>
        <w:p w:rsidR="000B56D3" w:rsidRDefault="000B56D3">
          <w:pPr>
            <w:pStyle w:val="23"/>
            <w:tabs>
              <w:tab w:val="right" w:leader="dot" w:pos="8296"/>
            </w:tabs>
            <w:rPr>
              <w:rFonts w:eastAsiaTheme="minorEastAsia"/>
              <w:noProof/>
              <w:szCs w:val="22"/>
            </w:rPr>
          </w:pPr>
          <w:hyperlink w:anchor="_Toc152752683" w:history="1">
            <w:r w:rsidRPr="008E7797">
              <w:rPr>
                <w:rStyle w:val="a9"/>
                <w:rFonts w:ascii="楷体" w:eastAsia="楷体" w:hAnsi="楷体"/>
                <w:b/>
                <w:noProof/>
              </w:rPr>
              <w:t>郑棉：区间震荡，尝试收复1.5关口</w:t>
            </w:r>
          </w:hyperlink>
        </w:p>
        <w:p w:rsidR="000B56D3" w:rsidRDefault="000B56D3">
          <w:pPr>
            <w:pStyle w:val="23"/>
            <w:tabs>
              <w:tab w:val="right" w:leader="dot" w:pos="8296"/>
            </w:tabs>
            <w:rPr>
              <w:rFonts w:eastAsiaTheme="minorEastAsia"/>
              <w:noProof/>
              <w:szCs w:val="22"/>
            </w:rPr>
          </w:pPr>
          <w:hyperlink w:anchor="_Toc152752684" w:history="1">
            <w:r w:rsidRPr="008E7797">
              <w:rPr>
                <w:rStyle w:val="a9"/>
                <w:rFonts w:ascii="楷体" w:eastAsia="楷体" w:hAnsi="楷体"/>
                <w:b/>
                <w:noProof/>
              </w:rPr>
              <w:t>白糖：震荡下行，偏空对待</w:t>
            </w:r>
          </w:hyperlink>
        </w:p>
        <w:p w:rsidR="000B56D3" w:rsidRDefault="000B56D3">
          <w:pPr>
            <w:pStyle w:val="11"/>
            <w:tabs>
              <w:tab w:val="right" w:leader="dot" w:pos="8296"/>
            </w:tabs>
            <w:rPr>
              <w:rFonts w:eastAsiaTheme="minorEastAsia"/>
              <w:noProof/>
              <w:szCs w:val="22"/>
            </w:rPr>
          </w:pPr>
          <w:hyperlink w:anchor="_Toc152752685" w:history="1">
            <w:r w:rsidRPr="008E7797">
              <w:rPr>
                <w:rStyle w:val="a9"/>
                <w:rFonts w:ascii="Times New Roman" w:eastAsia="楷体" w:hAnsi="Times New Roman"/>
                <w:b/>
                <w:noProof/>
              </w:rPr>
              <w:t>[</w:t>
            </w:r>
            <w:r w:rsidRPr="008E7797">
              <w:rPr>
                <w:rStyle w:val="a9"/>
                <w:rFonts w:ascii="Times New Roman" w:eastAsia="楷体" w:hAnsi="Times New Roman"/>
                <w:b/>
                <w:noProof/>
              </w:rPr>
              <w:t>指数</w:t>
            </w:r>
            <w:r w:rsidRPr="008E7797">
              <w:rPr>
                <w:rStyle w:val="a9"/>
                <w:rFonts w:ascii="Times New Roman" w:eastAsia="楷体" w:hAnsi="Times New Roman"/>
                <w:b/>
                <w:noProof/>
              </w:rPr>
              <w:t>]</w:t>
            </w:r>
          </w:hyperlink>
        </w:p>
        <w:p w:rsidR="000B56D3" w:rsidRDefault="000B56D3">
          <w:pPr>
            <w:pStyle w:val="23"/>
            <w:tabs>
              <w:tab w:val="right" w:leader="dot" w:pos="8296"/>
            </w:tabs>
            <w:rPr>
              <w:rFonts w:eastAsiaTheme="minorEastAsia"/>
              <w:noProof/>
              <w:szCs w:val="22"/>
            </w:rPr>
          </w:pPr>
          <w:hyperlink w:anchor="_Toc152752686" w:history="1">
            <w:r w:rsidRPr="008E7797">
              <w:rPr>
                <w:rStyle w:val="a9"/>
                <w:rFonts w:ascii="Times New Roman" w:eastAsia="楷体" w:hAnsi="Times New Roman"/>
                <w:b/>
                <w:noProof/>
              </w:rPr>
              <w:t>集运指数（欧线）：临近</w:t>
            </w:r>
            <w:r w:rsidRPr="008E7797">
              <w:rPr>
                <w:rStyle w:val="a9"/>
                <w:rFonts w:ascii="Times New Roman" w:eastAsia="楷体" w:hAnsi="Times New Roman"/>
                <w:b/>
                <w:noProof/>
              </w:rPr>
              <w:t>12</w:t>
            </w:r>
            <w:r w:rsidRPr="008E7797">
              <w:rPr>
                <w:rStyle w:val="a9"/>
                <w:rFonts w:ascii="Times New Roman" w:eastAsia="楷体" w:hAnsi="Times New Roman"/>
                <w:b/>
                <w:noProof/>
              </w:rPr>
              <w:t>月中旬挺价兑现，多空博弈力度逐渐加剧</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27526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2752656"/>
      <w:bookmarkEnd w:id="4"/>
      <w:r>
        <w:rPr>
          <w:rFonts w:ascii="Times New Roman" w:eastAsia="楷体" w:hAnsi="Times New Roman" w:hint="eastAsia"/>
          <w:b/>
          <w:color w:val="000000" w:themeColor="text1"/>
          <w:sz w:val="24"/>
          <w:szCs w:val="24"/>
        </w:rPr>
        <w:t>股指：</w:t>
      </w:r>
      <w:bookmarkEnd w:id="6"/>
      <w:bookmarkEnd w:id="7"/>
      <w:r w:rsidR="003F43FB" w:rsidRPr="003F43FB">
        <w:rPr>
          <w:rFonts w:ascii="Times New Roman" w:eastAsia="楷体" w:hAnsi="Times New Roman" w:hint="eastAsia"/>
          <w:b/>
          <w:color w:val="000000" w:themeColor="text1"/>
          <w:sz w:val="24"/>
          <w:szCs w:val="24"/>
        </w:rPr>
        <w:t>观望，待企稳后低多</w:t>
      </w:r>
      <w:bookmarkEnd w:id="8"/>
    </w:p>
    <w:p w:rsidR="003F56A5" w:rsidRDefault="003F43FB" w:rsidP="003F43FB">
      <w:pPr>
        <w:ind w:leftChars="300" w:left="630"/>
        <w:rPr>
          <w:rFonts w:ascii="Times New Roman" w:eastAsia="楷体" w:hAnsi="Times New Roman"/>
          <w:color w:val="000000" w:themeColor="text1"/>
          <w:sz w:val="24"/>
          <w:szCs w:val="24"/>
        </w:rPr>
      </w:pPr>
      <w:r w:rsidRPr="003F43FB">
        <w:rPr>
          <w:rFonts w:ascii="Times New Roman" w:eastAsia="楷体" w:hAnsi="Times New Roman" w:hint="eastAsia"/>
          <w:color w:val="000000" w:themeColor="text1"/>
          <w:sz w:val="24"/>
          <w:szCs w:val="24"/>
        </w:rPr>
        <w:t>受评级信用事件扰动，</w:t>
      </w:r>
      <w:r w:rsidRPr="003F43FB">
        <w:rPr>
          <w:rFonts w:ascii="Times New Roman" w:eastAsia="楷体" w:hAnsi="Times New Roman" w:hint="eastAsia"/>
          <w:color w:val="000000" w:themeColor="text1"/>
          <w:sz w:val="24"/>
          <w:szCs w:val="24"/>
        </w:rPr>
        <w:t>A</w:t>
      </w:r>
      <w:r w:rsidRPr="003F43FB">
        <w:rPr>
          <w:rFonts w:ascii="Times New Roman" w:eastAsia="楷体" w:hAnsi="Times New Roman" w:hint="eastAsia"/>
          <w:color w:val="000000" w:themeColor="text1"/>
          <w:sz w:val="24"/>
          <w:szCs w:val="24"/>
        </w:rPr>
        <w:t>股出现恐慌性抛盘，财政部回应，强调房地产市场下行给地方一般公共财政预算和政府性基金预算带来的影响是可控的、结构性的。短线大盘盘中还有惯性回落，但回落的空间有限，目前大盘依旧在消化</w:t>
      </w:r>
      <w:r w:rsidRPr="003F43FB">
        <w:rPr>
          <w:rFonts w:ascii="Times New Roman" w:eastAsia="楷体" w:hAnsi="Times New Roman" w:hint="eastAsia"/>
          <w:color w:val="000000" w:themeColor="text1"/>
          <w:sz w:val="24"/>
          <w:szCs w:val="24"/>
        </w:rPr>
        <w:t xml:space="preserve"> 3053 </w:t>
      </w:r>
      <w:r w:rsidRPr="003F43FB">
        <w:rPr>
          <w:rFonts w:ascii="Times New Roman" w:eastAsia="楷体" w:hAnsi="Times New Roman" w:hint="eastAsia"/>
          <w:color w:val="000000" w:themeColor="text1"/>
          <w:sz w:val="24"/>
          <w:szCs w:val="24"/>
        </w:rPr>
        <w:t>上方平台的压力，系统性行情不会一蹴而就，静待筹码充分交换以量能有效释放</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27526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2752658"/>
      <w:r>
        <w:rPr>
          <w:rFonts w:ascii="Times New Roman" w:eastAsia="楷体" w:hAnsi="Times New Roman" w:hint="eastAsia"/>
          <w:b/>
          <w:color w:val="000000" w:themeColor="text1"/>
          <w:sz w:val="24"/>
          <w:szCs w:val="24"/>
        </w:rPr>
        <w:t>贵金属：</w:t>
      </w:r>
      <w:r w:rsidR="0051222D" w:rsidRPr="0051222D">
        <w:rPr>
          <w:rFonts w:ascii="Times New Roman" w:eastAsia="楷体" w:hAnsi="Times New Roman" w:hint="eastAsia"/>
          <w:b/>
          <w:color w:val="000000" w:themeColor="text1"/>
          <w:sz w:val="24"/>
          <w:szCs w:val="24"/>
        </w:rPr>
        <w:t>美国非制造业</w:t>
      </w:r>
      <w:r w:rsidR="0051222D" w:rsidRPr="0051222D">
        <w:rPr>
          <w:rFonts w:ascii="Times New Roman" w:eastAsia="楷体" w:hAnsi="Times New Roman" w:hint="eastAsia"/>
          <w:b/>
          <w:color w:val="000000" w:themeColor="text1"/>
          <w:sz w:val="24"/>
          <w:szCs w:val="24"/>
        </w:rPr>
        <w:t>PMI</w:t>
      </w:r>
      <w:r w:rsidR="0051222D" w:rsidRPr="0051222D">
        <w:rPr>
          <w:rFonts w:ascii="Times New Roman" w:eastAsia="楷体" w:hAnsi="Times New Roman" w:hint="eastAsia"/>
          <w:b/>
          <w:color w:val="000000" w:themeColor="text1"/>
          <w:sz w:val="24"/>
          <w:szCs w:val="24"/>
        </w:rPr>
        <w:t>略高于预期，贵金属价格下跌</w:t>
      </w:r>
      <w:bookmarkEnd w:id="10"/>
    </w:p>
    <w:p w:rsidR="003F56A5" w:rsidRDefault="0051222D">
      <w:pPr>
        <w:ind w:leftChars="300" w:left="630"/>
        <w:rPr>
          <w:rFonts w:ascii="Times New Roman" w:eastAsia="楷体" w:hAnsi="Times New Roman"/>
          <w:sz w:val="24"/>
          <w:szCs w:val="24"/>
        </w:rPr>
      </w:pPr>
      <w:r w:rsidRPr="0051222D">
        <w:rPr>
          <w:rFonts w:ascii="Times New Roman" w:eastAsia="楷体" w:hAnsi="Times New Roman" w:hint="eastAsia"/>
          <w:color w:val="000000" w:themeColor="text1"/>
          <w:sz w:val="24"/>
          <w:szCs w:val="24"/>
        </w:rPr>
        <w:t>美元指数涨</w:t>
      </w:r>
      <w:r w:rsidRPr="0051222D">
        <w:rPr>
          <w:rFonts w:ascii="Times New Roman" w:eastAsia="楷体" w:hAnsi="Times New Roman" w:hint="eastAsia"/>
          <w:color w:val="000000" w:themeColor="text1"/>
          <w:sz w:val="24"/>
          <w:szCs w:val="24"/>
        </w:rPr>
        <w:t>0.3%</w:t>
      </w:r>
      <w:r w:rsidRPr="0051222D">
        <w:rPr>
          <w:rFonts w:ascii="Times New Roman" w:eastAsia="楷体" w:hAnsi="Times New Roman" w:hint="eastAsia"/>
          <w:color w:val="000000" w:themeColor="text1"/>
          <w:sz w:val="24"/>
          <w:szCs w:val="24"/>
        </w:rPr>
        <w:t>至</w:t>
      </w:r>
      <w:r w:rsidRPr="0051222D">
        <w:rPr>
          <w:rFonts w:ascii="Times New Roman" w:eastAsia="楷体" w:hAnsi="Times New Roman" w:hint="eastAsia"/>
          <w:color w:val="000000" w:themeColor="text1"/>
          <w:sz w:val="24"/>
          <w:szCs w:val="24"/>
        </w:rPr>
        <w:t>103.95</w:t>
      </w:r>
      <w:r w:rsidRPr="0051222D">
        <w:rPr>
          <w:rFonts w:ascii="Times New Roman" w:eastAsia="楷体" w:hAnsi="Times New Roman" w:hint="eastAsia"/>
          <w:color w:val="000000" w:themeColor="text1"/>
          <w:sz w:val="24"/>
          <w:szCs w:val="24"/>
        </w:rPr>
        <w:t>，美十债收益率下跌</w:t>
      </w:r>
      <w:r w:rsidRPr="0051222D">
        <w:rPr>
          <w:rFonts w:ascii="Times New Roman" w:eastAsia="楷体" w:hAnsi="Times New Roman" w:hint="eastAsia"/>
          <w:color w:val="000000" w:themeColor="text1"/>
          <w:sz w:val="24"/>
          <w:szCs w:val="24"/>
        </w:rPr>
        <w:t>8.9bp</w:t>
      </w:r>
      <w:r w:rsidRPr="0051222D">
        <w:rPr>
          <w:rFonts w:ascii="Times New Roman" w:eastAsia="楷体" w:hAnsi="Times New Roman" w:hint="eastAsia"/>
          <w:color w:val="000000" w:themeColor="text1"/>
          <w:sz w:val="24"/>
          <w:szCs w:val="24"/>
        </w:rPr>
        <w:t>至</w:t>
      </w:r>
      <w:r w:rsidRPr="0051222D">
        <w:rPr>
          <w:rFonts w:ascii="Times New Roman" w:eastAsia="楷体" w:hAnsi="Times New Roman" w:hint="eastAsia"/>
          <w:color w:val="000000" w:themeColor="text1"/>
          <w:sz w:val="24"/>
          <w:szCs w:val="24"/>
        </w:rPr>
        <w:t>4.17%</w:t>
      </w:r>
      <w:r w:rsidRPr="0051222D">
        <w:rPr>
          <w:rFonts w:ascii="Times New Roman" w:eastAsia="楷体" w:hAnsi="Times New Roman" w:hint="eastAsia"/>
          <w:color w:val="000000" w:themeColor="text1"/>
          <w:sz w:val="24"/>
          <w:szCs w:val="24"/>
        </w:rPr>
        <w:t>，外盘</w:t>
      </w:r>
      <w:r w:rsidRPr="0051222D">
        <w:rPr>
          <w:rFonts w:ascii="Times New Roman" w:eastAsia="楷体" w:hAnsi="Times New Roman" w:hint="eastAsia"/>
          <w:color w:val="000000" w:themeColor="text1"/>
          <w:sz w:val="24"/>
          <w:szCs w:val="24"/>
        </w:rPr>
        <w:t>COMEX</w:t>
      </w:r>
      <w:r w:rsidRPr="0051222D">
        <w:rPr>
          <w:rFonts w:ascii="Times New Roman" w:eastAsia="楷体" w:hAnsi="Times New Roman" w:hint="eastAsia"/>
          <w:color w:val="000000" w:themeColor="text1"/>
          <w:sz w:val="24"/>
          <w:szCs w:val="24"/>
        </w:rPr>
        <w:t>金价跌</w:t>
      </w:r>
      <w:r w:rsidRPr="0051222D">
        <w:rPr>
          <w:rFonts w:ascii="Times New Roman" w:eastAsia="楷体" w:hAnsi="Times New Roman" w:hint="eastAsia"/>
          <w:color w:val="000000" w:themeColor="text1"/>
          <w:sz w:val="24"/>
          <w:szCs w:val="24"/>
        </w:rPr>
        <w:t>0.23%</w:t>
      </w:r>
      <w:r w:rsidRPr="0051222D">
        <w:rPr>
          <w:rFonts w:ascii="Times New Roman" w:eastAsia="楷体" w:hAnsi="Times New Roman" w:hint="eastAsia"/>
          <w:color w:val="000000" w:themeColor="text1"/>
          <w:sz w:val="24"/>
          <w:szCs w:val="24"/>
        </w:rPr>
        <w:t>至</w:t>
      </w:r>
      <w:r w:rsidRPr="0051222D">
        <w:rPr>
          <w:rFonts w:ascii="Times New Roman" w:eastAsia="楷体" w:hAnsi="Times New Roman" w:hint="eastAsia"/>
          <w:color w:val="000000" w:themeColor="text1"/>
          <w:sz w:val="24"/>
          <w:szCs w:val="24"/>
        </w:rPr>
        <w:t>2037.6</w:t>
      </w:r>
      <w:r w:rsidRPr="0051222D">
        <w:rPr>
          <w:rFonts w:ascii="Times New Roman" w:eastAsia="楷体" w:hAnsi="Times New Roman" w:hint="eastAsia"/>
          <w:color w:val="000000" w:themeColor="text1"/>
          <w:sz w:val="24"/>
          <w:szCs w:val="24"/>
        </w:rPr>
        <w:t>美元</w:t>
      </w:r>
      <w:r w:rsidRPr="0051222D">
        <w:rPr>
          <w:rFonts w:ascii="Times New Roman" w:eastAsia="楷体" w:hAnsi="Times New Roman" w:hint="eastAsia"/>
          <w:color w:val="000000" w:themeColor="text1"/>
          <w:sz w:val="24"/>
          <w:szCs w:val="24"/>
        </w:rPr>
        <w:t>/</w:t>
      </w:r>
      <w:r w:rsidRPr="0051222D">
        <w:rPr>
          <w:rFonts w:ascii="Times New Roman" w:eastAsia="楷体" w:hAnsi="Times New Roman" w:hint="eastAsia"/>
          <w:color w:val="000000" w:themeColor="text1"/>
          <w:sz w:val="24"/>
          <w:szCs w:val="24"/>
        </w:rPr>
        <w:t>盎司，</w:t>
      </w:r>
      <w:r w:rsidRPr="0051222D">
        <w:rPr>
          <w:rFonts w:ascii="Times New Roman" w:eastAsia="楷体" w:hAnsi="Times New Roman" w:hint="eastAsia"/>
          <w:color w:val="000000" w:themeColor="text1"/>
          <w:sz w:val="24"/>
          <w:szCs w:val="24"/>
        </w:rPr>
        <w:t>COMEX</w:t>
      </w:r>
      <w:r w:rsidRPr="0051222D">
        <w:rPr>
          <w:rFonts w:ascii="Times New Roman" w:eastAsia="楷体" w:hAnsi="Times New Roman" w:hint="eastAsia"/>
          <w:color w:val="000000" w:themeColor="text1"/>
          <w:sz w:val="24"/>
          <w:szCs w:val="24"/>
        </w:rPr>
        <w:t>银价跌</w:t>
      </w:r>
      <w:r w:rsidRPr="0051222D">
        <w:rPr>
          <w:rFonts w:ascii="Times New Roman" w:eastAsia="楷体" w:hAnsi="Times New Roman" w:hint="eastAsia"/>
          <w:color w:val="000000" w:themeColor="text1"/>
          <w:sz w:val="24"/>
          <w:szCs w:val="24"/>
        </w:rPr>
        <w:t>1.53%</w:t>
      </w:r>
      <w:r w:rsidRPr="0051222D">
        <w:rPr>
          <w:rFonts w:ascii="Times New Roman" w:eastAsia="楷体" w:hAnsi="Times New Roman" w:hint="eastAsia"/>
          <w:color w:val="000000" w:themeColor="text1"/>
          <w:sz w:val="24"/>
          <w:szCs w:val="24"/>
        </w:rPr>
        <w:t>至</w:t>
      </w:r>
      <w:r w:rsidRPr="0051222D">
        <w:rPr>
          <w:rFonts w:ascii="Times New Roman" w:eastAsia="楷体" w:hAnsi="Times New Roman" w:hint="eastAsia"/>
          <w:color w:val="000000" w:themeColor="text1"/>
          <w:sz w:val="24"/>
          <w:szCs w:val="24"/>
        </w:rPr>
        <w:t>24.525</w:t>
      </w:r>
      <w:r w:rsidRPr="0051222D">
        <w:rPr>
          <w:rFonts w:ascii="Times New Roman" w:eastAsia="楷体" w:hAnsi="Times New Roman" w:hint="eastAsia"/>
          <w:color w:val="000000" w:themeColor="text1"/>
          <w:sz w:val="24"/>
          <w:szCs w:val="24"/>
        </w:rPr>
        <w:t>美元</w:t>
      </w:r>
      <w:r w:rsidRPr="0051222D">
        <w:rPr>
          <w:rFonts w:ascii="Times New Roman" w:eastAsia="楷体" w:hAnsi="Times New Roman" w:hint="eastAsia"/>
          <w:color w:val="000000" w:themeColor="text1"/>
          <w:sz w:val="24"/>
          <w:szCs w:val="24"/>
        </w:rPr>
        <w:t>/</w:t>
      </w:r>
      <w:r w:rsidRPr="0051222D">
        <w:rPr>
          <w:rFonts w:ascii="Times New Roman" w:eastAsia="楷体" w:hAnsi="Times New Roman" w:hint="eastAsia"/>
          <w:color w:val="000000" w:themeColor="text1"/>
          <w:sz w:val="24"/>
          <w:szCs w:val="24"/>
        </w:rPr>
        <w:t>盎司。沪金跌</w:t>
      </w:r>
      <w:r w:rsidRPr="0051222D">
        <w:rPr>
          <w:rFonts w:ascii="Times New Roman" w:eastAsia="楷体" w:hAnsi="Times New Roman" w:hint="eastAsia"/>
          <w:color w:val="000000" w:themeColor="text1"/>
          <w:sz w:val="24"/>
          <w:szCs w:val="24"/>
        </w:rPr>
        <w:t>0.47%</w:t>
      </w:r>
      <w:r w:rsidRPr="0051222D">
        <w:rPr>
          <w:rFonts w:ascii="Times New Roman" w:eastAsia="楷体" w:hAnsi="Times New Roman" w:hint="eastAsia"/>
          <w:color w:val="000000" w:themeColor="text1"/>
          <w:sz w:val="24"/>
          <w:szCs w:val="24"/>
        </w:rPr>
        <w:t>，沪银跌</w:t>
      </w:r>
      <w:r w:rsidRPr="0051222D">
        <w:rPr>
          <w:rFonts w:ascii="Times New Roman" w:eastAsia="楷体" w:hAnsi="Times New Roman" w:hint="eastAsia"/>
          <w:color w:val="000000" w:themeColor="text1"/>
          <w:sz w:val="24"/>
          <w:szCs w:val="24"/>
        </w:rPr>
        <w:t>1.60%</w:t>
      </w:r>
      <w:r w:rsidRPr="0051222D">
        <w:rPr>
          <w:rFonts w:ascii="Times New Roman" w:eastAsia="楷体" w:hAnsi="Times New Roman" w:hint="eastAsia"/>
          <w:color w:val="000000" w:themeColor="text1"/>
          <w:sz w:val="24"/>
          <w:szCs w:val="24"/>
        </w:rPr>
        <w:t>。美国</w:t>
      </w:r>
      <w:r w:rsidRPr="0051222D">
        <w:rPr>
          <w:rFonts w:ascii="Times New Roman" w:eastAsia="楷体" w:hAnsi="Times New Roman" w:hint="eastAsia"/>
          <w:color w:val="000000" w:themeColor="text1"/>
          <w:sz w:val="24"/>
          <w:szCs w:val="24"/>
        </w:rPr>
        <w:t>10</w:t>
      </w:r>
      <w:r w:rsidRPr="0051222D">
        <w:rPr>
          <w:rFonts w:ascii="Times New Roman" w:eastAsia="楷体" w:hAnsi="Times New Roman" w:hint="eastAsia"/>
          <w:color w:val="000000" w:themeColor="text1"/>
          <w:sz w:val="24"/>
          <w:szCs w:val="24"/>
        </w:rPr>
        <w:t>月</w:t>
      </w:r>
      <w:r w:rsidRPr="0051222D">
        <w:rPr>
          <w:rFonts w:ascii="Times New Roman" w:eastAsia="楷体" w:hAnsi="Times New Roman" w:hint="eastAsia"/>
          <w:color w:val="000000" w:themeColor="text1"/>
          <w:sz w:val="24"/>
          <w:szCs w:val="24"/>
        </w:rPr>
        <w:t>JOLTs</w:t>
      </w:r>
      <w:r w:rsidRPr="0051222D">
        <w:rPr>
          <w:rFonts w:ascii="Times New Roman" w:eastAsia="楷体" w:hAnsi="Times New Roman" w:hint="eastAsia"/>
          <w:color w:val="000000" w:themeColor="text1"/>
          <w:sz w:val="24"/>
          <w:szCs w:val="24"/>
        </w:rPr>
        <w:t>职位空缺</w:t>
      </w:r>
      <w:r w:rsidRPr="0051222D">
        <w:rPr>
          <w:rFonts w:ascii="Times New Roman" w:eastAsia="楷体" w:hAnsi="Times New Roman" w:hint="eastAsia"/>
          <w:color w:val="000000" w:themeColor="text1"/>
          <w:sz w:val="24"/>
          <w:szCs w:val="24"/>
        </w:rPr>
        <w:t>873.3</w:t>
      </w:r>
      <w:r w:rsidRPr="0051222D">
        <w:rPr>
          <w:rFonts w:ascii="Times New Roman" w:eastAsia="楷体" w:hAnsi="Times New Roman" w:hint="eastAsia"/>
          <w:color w:val="000000" w:themeColor="text1"/>
          <w:sz w:val="24"/>
          <w:szCs w:val="24"/>
        </w:rPr>
        <w:t>万人，降至近</w:t>
      </w:r>
      <w:r w:rsidRPr="0051222D">
        <w:rPr>
          <w:rFonts w:ascii="Times New Roman" w:eastAsia="楷体" w:hAnsi="Times New Roman" w:hint="eastAsia"/>
          <w:color w:val="000000" w:themeColor="text1"/>
          <w:sz w:val="24"/>
          <w:szCs w:val="24"/>
        </w:rPr>
        <w:t>2</w:t>
      </w:r>
      <w:r w:rsidRPr="0051222D">
        <w:rPr>
          <w:rFonts w:ascii="Times New Roman" w:eastAsia="楷体" w:hAnsi="Times New Roman" w:hint="eastAsia"/>
          <w:color w:val="000000" w:themeColor="text1"/>
          <w:sz w:val="24"/>
          <w:szCs w:val="24"/>
        </w:rPr>
        <w:t>年半以来的最低水平。美国</w:t>
      </w:r>
      <w:r w:rsidRPr="0051222D">
        <w:rPr>
          <w:rFonts w:ascii="Times New Roman" w:eastAsia="楷体" w:hAnsi="Times New Roman" w:hint="eastAsia"/>
          <w:color w:val="000000" w:themeColor="text1"/>
          <w:sz w:val="24"/>
          <w:szCs w:val="24"/>
        </w:rPr>
        <w:t>11</w:t>
      </w:r>
      <w:r w:rsidRPr="0051222D">
        <w:rPr>
          <w:rFonts w:ascii="Times New Roman" w:eastAsia="楷体" w:hAnsi="Times New Roman" w:hint="eastAsia"/>
          <w:color w:val="000000" w:themeColor="text1"/>
          <w:sz w:val="24"/>
          <w:szCs w:val="24"/>
        </w:rPr>
        <w:t>月</w:t>
      </w:r>
      <w:r w:rsidRPr="0051222D">
        <w:rPr>
          <w:rFonts w:ascii="Times New Roman" w:eastAsia="楷体" w:hAnsi="Times New Roman" w:hint="eastAsia"/>
          <w:color w:val="000000" w:themeColor="text1"/>
          <w:sz w:val="24"/>
          <w:szCs w:val="24"/>
        </w:rPr>
        <w:t>ISM</w:t>
      </w:r>
      <w:r w:rsidRPr="0051222D">
        <w:rPr>
          <w:rFonts w:ascii="Times New Roman" w:eastAsia="楷体" w:hAnsi="Times New Roman" w:hint="eastAsia"/>
          <w:color w:val="000000" w:themeColor="text1"/>
          <w:sz w:val="24"/>
          <w:szCs w:val="24"/>
        </w:rPr>
        <w:t>非制造业</w:t>
      </w:r>
      <w:r w:rsidRPr="0051222D">
        <w:rPr>
          <w:rFonts w:ascii="Times New Roman" w:eastAsia="楷体" w:hAnsi="Times New Roman" w:hint="eastAsia"/>
          <w:color w:val="000000" w:themeColor="text1"/>
          <w:sz w:val="24"/>
          <w:szCs w:val="24"/>
        </w:rPr>
        <w:t>PMI</w:t>
      </w:r>
      <w:r w:rsidRPr="0051222D">
        <w:rPr>
          <w:rFonts w:ascii="Times New Roman" w:eastAsia="楷体" w:hAnsi="Times New Roman" w:hint="eastAsia"/>
          <w:color w:val="000000" w:themeColor="text1"/>
          <w:sz w:val="24"/>
          <w:szCs w:val="24"/>
        </w:rPr>
        <w:t>为</w:t>
      </w:r>
      <w:r w:rsidRPr="0051222D">
        <w:rPr>
          <w:rFonts w:ascii="Times New Roman" w:eastAsia="楷体" w:hAnsi="Times New Roman" w:hint="eastAsia"/>
          <w:color w:val="000000" w:themeColor="text1"/>
          <w:sz w:val="24"/>
          <w:szCs w:val="24"/>
        </w:rPr>
        <w:t>52.7</w:t>
      </w:r>
      <w:r w:rsidRPr="0051222D">
        <w:rPr>
          <w:rFonts w:ascii="Times New Roman" w:eastAsia="楷体" w:hAnsi="Times New Roman" w:hint="eastAsia"/>
          <w:color w:val="000000" w:themeColor="text1"/>
          <w:sz w:val="24"/>
          <w:szCs w:val="24"/>
        </w:rPr>
        <w:t>，略高于预期及前值。美国</w:t>
      </w:r>
      <w:r w:rsidRPr="0051222D">
        <w:rPr>
          <w:rFonts w:ascii="Times New Roman" w:eastAsia="楷体" w:hAnsi="Times New Roman" w:hint="eastAsia"/>
          <w:color w:val="000000" w:themeColor="text1"/>
          <w:sz w:val="24"/>
          <w:szCs w:val="24"/>
        </w:rPr>
        <w:t>11</w:t>
      </w:r>
      <w:r w:rsidRPr="0051222D">
        <w:rPr>
          <w:rFonts w:ascii="Times New Roman" w:eastAsia="楷体" w:hAnsi="Times New Roman" w:hint="eastAsia"/>
          <w:color w:val="000000" w:themeColor="text1"/>
          <w:sz w:val="24"/>
          <w:szCs w:val="24"/>
        </w:rPr>
        <w:t>月</w:t>
      </w:r>
      <w:r w:rsidRPr="0051222D">
        <w:rPr>
          <w:rFonts w:ascii="Times New Roman" w:eastAsia="楷体" w:hAnsi="Times New Roman" w:hint="eastAsia"/>
          <w:color w:val="000000" w:themeColor="text1"/>
          <w:sz w:val="24"/>
          <w:szCs w:val="24"/>
        </w:rPr>
        <w:t>Markit</w:t>
      </w:r>
      <w:r w:rsidRPr="0051222D">
        <w:rPr>
          <w:rFonts w:ascii="Times New Roman" w:eastAsia="楷体" w:hAnsi="Times New Roman" w:hint="eastAsia"/>
          <w:color w:val="000000" w:themeColor="text1"/>
          <w:sz w:val="24"/>
          <w:szCs w:val="24"/>
        </w:rPr>
        <w:t>服务业</w:t>
      </w:r>
      <w:r w:rsidRPr="0051222D">
        <w:rPr>
          <w:rFonts w:ascii="Times New Roman" w:eastAsia="楷体" w:hAnsi="Times New Roman" w:hint="eastAsia"/>
          <w:color w:val="000000" w:themeColor="text1"/>
          <w:sz w:val="24"/>
          <w:szCs w:val="24"/>
        </w:rPr>
        <w:t>PMI</w:t>
      </w:r>
      <w:r w:rsidRPr="0051222D">
        <w:rPr>
          <w:rFonts w:ascii="Times New Roman" w:eastAsia="楷体" w:hAnsi="Times New Roman" w:hint="eastAsia"/>
          <w:color w:val="000000" w:themeColor="text1"/>
          <w:sz w:val="24"/>
          <w:szCs w:val="24"/>
        </w:rPr>
        <w:t>终值为</w:t>
      </w:r>
      <w:r w:rsidRPr="0051222D">
        <w:rPr>
          <w:rFonts w:ascii="Times New Roman" w:eastAsia="楷体" w:hAnsi="Times New Roman" w:hint="eastAsia"/>
          <w:color w:val="000000" w:themeColor="text1"/>
          <w:sz w:val="24"/>
          <w:szCs w:val="24"/>
        </w:rPr>
        <w:t>50.8</w:t>
      </w:r>
      <w:r w:rsidRPr="0051222D">
        <w:rPr>
          <w:rFonts w:ascii="Times New Roman" w:eastAsia="楷体" w:hAnsi="Times New Roman" w:hint="eastAsia"/>
          <w:color w:val="000000" w:themeColor="text1"/>
          <w:sz w:val="24"/>
          <w:szCs w:val="24"/>
        </w:rPr>
        <w:t>，符合预期。欧元区</w:t>
      </w:r>
      <w:r w:rsidRPr="0051222D">
        <w:rPr>
          <w:rFonts w:ascii="Times New Roman" w:eastAsia="楷体" w:hAnsi="Times New Roman" w:hint="eastAsia"/>
          <w:color w:val="000000" w:themeColor="text1"/>
          <w:sz w:val="24"/>
          <w:szCs w:val="24"/>
        </w:rPr>
        <w:t>10</w:t>
      </w:r>
      <w:r w:rsidRPr="0051222D">
        <w:rPr>
          <w:rFonts w:ascii="Times New Roman" w:eastAsia="楷体" w:hAnsi="Times New Roman" w:hint="eastAsia"/>
          <w:color w:val="000000" w:themeColor="text1"/>
          <w:sz w:val="24"/>
          <w:szCs w:val="24"/>
        </w:rPr>
        <w:t>月</w:t>
      </w:r>
      <w:r w:rsidRPr="0051222D">
        <w:rPr>
          <w:rFonts w:ascii="Times New Roman" w:eastAsia="楷体" w:hAnsi="Times New Roman" w:hint="eastAsia"/>
          <w:color w:val="000000" w:themeColor="text1"/>
          <w:sz w:val="24"/>
          <w:szCs w:val="24"/>
        </w:rPr>
        <w:t>PPI</w:t>
      </w:r>
      <w:r w:rsidRPr="0051222D">
        <w:rPr>
          <w:rFonts w:ascii="Times New Roman" w:eastAsia="楷体" w:hAnsi="Times New Roman" w:hint="eastAsia"/>
          <w:color w:val="000000" w:themeColor="text1"/>
          <w:sz w:val="24"/>
          <w:szCs w:val="24"/>
        </w:rPr>
        <w:t>同比降</w:t>
      </w:r>
      <w:r w:rsidRPr="0051222D">
        <w:rPr>
          <w:rFonts w:ascii="Times New Roman" w:eastAsia="楷体" w:hAnsi="Times New Roman" w:hint="eastAsia"/>
          <w:color w:val="000000" w:themeColor="text1"/>
          <w:sz w:val="24"/>
          <w:szCs w:val="24"/>
        </w:rPr>
        <w:t>9.4%</w:t>
      </w:r>
      <w:r w:rsidRPr="0051222D">
        <w:rPr>
          <w:rFonts w:ascii="Times New Roman" w:eastAsia="楷体" w:hAnsi="Times New Roman" w:hint="eastAsia"/>
          <w:color w:val="000000" w:themeColor="text1"/>
          <w:sz w:val="24"/>
          <w:szCs w:val="24"/>
        </w:rPr>
        <w:t>，连续第六个月下降，符合预期；环比升</w:t>
      </w:r>
      <w:r w:rsidRPr="0051222D">
        <w:rPr>
          <w:rFonts w:ascii="Times New Roman" w:eastAsia="楷体" w:hAnsi="Times New Roman" w:hint="eastAsia"/>
          <w:color w:val="000000" w:themeColor="text1"/>
          <w:sz w:val="24"/>
          <w:szCs w:val="24"/>
        </w:rPr>
        <w:t>0.2%</w:t>
      </w:r>
      <w:r w:rsidRPr="0051222D">
        <w:rPr>
          <w:rFonts w:ascii="Times New Roman" w:eastAsia="楷体" w:hAnsi="Times New Roman" w:hint="eastAsia"/>
          <w:color w:val="000000" w:themeColor="text1"/>
          <w:sz w:val="24"/>
          <w:szCs w:val="24"/>
        </w:rPr>
        <w:t>，符合预期。澳洲联储维持利率在</w:t>
      </w:r>
      <w:r w:rsidRPr="0051222D">
        <w:rPr>
          <w:rFonts w:ascii="Times New Roman" w:eastAsia="楷体" w:hAnsi="Times New Roman" w:hint="eastAsia"/>
          <w:color w:val="000000" w:themeColor="text1"/>
          <w:sz w:val="24"/>
          <w:szCs w:val="24"/>
        </w:rPr>
        <w:t>4.35%</w:t>
      </w:r>
      <w:r w:rsidRPr="0051222D">
        <w:rPr>
          <w:rFonts w:ascii="Times New Roman" w:eastAsia="楷体" w:hAnsi="Times New Roman" w:hint="eastAsia"/>
          <w:color w:val="000000" w:themeColor="text1"/>
          <w:sz w:val="24"/>
          <w:szCs w:val="24"/>
        </w:rPr>
        <w:t>不变，符合市场预期。澳洲联储主席布洛克称，是否需要进一步收紧货币政策，将取决于数据和不断变化的风险评估。美联储政策利率接近终值，中长线角度仍相对看好贵金属价格表现，建议沪金、沪银逢低做多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27526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2752660"/>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51222D" w:rsidRPr="0051222D">
        <w:rPr>
          <w:rFonts w:ascii="楷体" w:eastAsia="楷体" w:hAnsi="楷体" w:hint="eastAsia"/>
          <w:b/>
          <w:color w:val="000000" w:themeColor="text1"/>
          <w:sz w:val="24"/>
          <w:szCs w:val="24"/>
        </w:rPr>
        <w:t>延续跌势，碳酸锂期价全线跌停</w:t>
      </w:r>
      <w:bookmarkEnd w:id="18"/>
    </w:p>
    <w:p w:rsidR="00F50569" w:rsidRDefault="0051222D" w:rsidP="00F50569">
      <w:pPr>
        <w:ind w:leftChars="300" w:left="630"/>
        <w:rPr>
          <w:rFonts w:ascii="楷体" w:eastAsia="楷体" w:hAnsi="楷体"/>
          <w:color w:val="000000" w:themeColor="text1"/>
          <w:sz w:val="24"/>
          <w:szCs w:val="24"/>
        </w:rPr>
      </w:pPr>
      <w:r w:rsidRPr="0051222D">
        <w:rPr>
          <w:rFonts w:ascii="楷体" w:eastAsia="楷体" w:hAnsi="楷体" w:hint="eastAsia"/>
          <w:color w:val="000000" w:themeColor="text1"/>
          <w:sz w:val="24"/>
          <w:szCs w:val="24"/>
        </w:rPr>
        <w:t>根据交易所相关办法规定，合约出现单边市后，次日涨跌停板幅度增加3个百分点，若次日出现同方向单边市，其下一日涨跌停板幅度再增加2个百分点。昨日LC2402至2410合约涨跌停板提高至10%后，期价仍延续跌势且全线跌停，01合约收跌7%至93050元/吨新低。广期所发布通知，自12月6日交易时起，碳酸锂期货LC2401合约的交易手续费标准调整为成交金额的万分之三点二，日内平今仓交易手续费标准调整为成交金额的万分之三点二，非期货公司会员或者客户单日开仓量不得超过2000手。江西地区环保督察趋严，以及因锂价持续下跌，部分生产企业成本持续倒挂，锂云母采购需求减弱。前期部分贸易商低价抛货、生产企业放货，智利10月出口碳酸锂近期陆续到港，下游采购意愿较弱，碳酸锂维持供过于求。进口锂辉石精矿价格下跌，澳矿到港价约1300-1400美元/吨，换算提锂成本约9-10万元/吨。移仓换月需求下后续近月合约价格波动或加剧，留意8万元/吨附近自有云母提锂成本支撑，建议暂维持偏空思路</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2752661"/>
      <w:r>
        <w:rPr>
          <w:rFonts w:ascii="楷体" w:eastAsia="楷体" w:hAnsi="楷体" w:hint="eastAsia"/>
          <w:b/>
          <w:color w:val="000000" w:themeColor="text1"/>
          <w:sz w:val="24"/>
          <w:szCs w:val="24"/>
        </w:rPr>
        <w:t>螺纹钢：</w:t>
      </w:r>
      <w:bookmarkEnd w:id="16"/>
      <w:bookmarkEnd w:id="17"/>
      <w:r w:rsidR="003F43FB" w:rsidRPr="003F43FB">
        <w:rPr>
          <w:rFonts w:ascii="楷体" w:eastAsia="楷体" w:hAnsi="楷体" w:hint="eastAsia"/>
          <w:b/>
          <w:color w:val="000000" w:themeColor="text1"/>
          <w:sz w:val="24"/>
          <w:szCs w:val="24"/>
        </w:rPr>
        <w:t>基本面矛盾不大，关注预期博弈</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3F43FB" w:rsidP="00201944">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lastRenderedPageBreak/>
        <w:t>当前淡季累库，产量相对偏高，价格存在一定压力。个别钢厂已经披露冬储政策，市场或逐渐进入冬储博弈阶段。整体看基本面存在一定压力，但核心还是在于宏观层面的预期博弈。整体呈现通道调整，方向性仍需等待宏观变量</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2752662"/>
      <w:r>
        <w:rPr>
          <w:rFonts w:ascii="楷体" w:eastAsia="楷体" w:hAnsi="楷体" w:hint="eastAsia"/>
          <w:b/>
          <w:color w:val="000000" w:themeColor="text1"/>
          <w:sz w:val="24"/>
          <w:szCs w:val="24"/>
        </w:rPr>
        <w:t>焦炭：</w:t>
      </w:r>
      <w:bookmarkEnd w:id="20"/>
      <w:bookmarkEnd w:id="21"/>
      <w:r w:rsidR="003F43FB" w:rsidRPr="003F43FB">
        <w:rPr>
          <w:rFonts w:ascii="楷体" w:eastAsia="楷体" w:hAnsi="楷体" w:hint="eastAsia"/>
          <w:b/>
          <w:color w:val="000000" w:themeColor="text1"/>
          <w:sz w:val="24"/>
          <w:szCs w:val="24"/>
        </w:rPr>
        <w:t>第三轮提涨提出，盘面区间震荡</w:t>
      </w:r>
      <w:bookmarkEnd w:id="22"/>
    </w:p>
    <w:p w:rsidR="003F56A5" w:rsidRDefault="003F43FB" w:rsidP="00572E35">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t>成本端有所松动，短期波幅不大，第三轮上涨存在分歧，或仍需博弈，短期移仓导致的区间震荡为主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2752663"/>
      <w:r>
        <w:rPr>
          <w:rFonts w:ascii="楷体" w:eastAsia="楷体" w:hAnsi="楷体" w:hint="eastAsia"/>
          <w:b/>
          <w:color w:val="000000" w:themeColor="text1"/>
          <w:sz w:val="24"/>
          <w:szCs w:val="24"/>
        </w:rPr>
        <w:t>焦煤：</w:t>
      </w:r>
      <w:r w:rsidR="0051222D" w:rsidRPr="0051222D">
        <w:rPr>
          <w:rFonts w:ascii="楷体" w:eastAsia="楷体" w:hAnsi="楷体" w:hint="eastAsia"/>
          <w:b/>
          <w:sz w:val="24"/>
          <w:szCs w:val="24"/>
        </w:rPr>
        <w:t>现货有所松动，但下行空间有限</w:t>
      </w:r>
      <w:bookmarkEnd w:id="23"/>
    </w:p>
    <w:p w:rsidR="003F56A5" w:rsidRDefault="0051222D">
      <w:pPr>
        <w:ind w:leftChars="300" w:left="630"/>
        <w:rPr>
          <w:rFonts w:ascii="楷体" w:eastAsia="楷体" w:hAnsi="楷体"/>
          <w:bCs/>
          <w:sz w:val="24"/>
          <w:szCs w:val="24"/>
        </w:rPr>
      </w:pPr>
      <w:r w:rsidRPr="0051222D">
        <w:rPr>
          <w:rFonts w:ascii="楷体" w:eastAsia="楷体" w:hAnsi="楷体" w:hint="eastAsia"/>
          <w:sz w:val="24"/>
          <w:szCs w:val="24"/>
        </w:rPr>
        <w:t>产量边际向上修复，现货紧缺压力有所缓解，下游钢经历一轮补库，整体库存处于合理水平，短期上行驱动不强。煤矿仍处于低产、低库存状态，叠加仍有部分冬储量未完成，价格仍有支撑。短期移仓导致的区间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2752664"/>
      <w:r>
        <w:rPr>
          <w:rFonts w:ascii="楷体" w:eastAsia="楷体" w:hAnsi="楷体" w:hint="eastAsia"/>
          <w:b/>
          <w:color w:val="000000" w:themeColor="text1"/>
          <w:sz w:val="24"/>
          <w:szCs w:val="24"/>
        </w:rPr>
        <w:t>铜：</w:t>
      </w:r>
      <w:bookmarkEnd w:id="24"/>
      <w:bookmarkEnd w:id="25"/>
      <w:r w:rsidR="003F43FB" w:rsidRPr="003F43FB">
        <w:rPr>
          <w:rFonts w:ascii="楷体" w:eastAsia="楷体" w:hAnsi="楷体" w:hint="eastAsia"/>
          <w:b/>
          <w:color w:val="000000" w:themeColor="text1"/>
          <w:sz w:val="24"/>
          <w:szCs w:val="24"/>
        </w:rPr>
        <w:t>高位承压偏弱运行</w:t>
      </w:r>
      <w:bookmarkEnd w:id="26"/>
    </w:p>
    <w:p w:rsidR="003F43FB" w:rsidRPr="003F43FB" w:rsidRDefault="003F43FB" w:rsidP="003F43FB">
      <w:pPr>
        <w:ind w:leftChars="300" w:left="630"/>
        <w:rPr>
          <w:rFonts w:ascii="楷体" w:eastAsia="楷体" w:hAnsi="楷体" w:hint="eastAsia"/>
          <w:color w:val="000000" w:themeColor="text1"/>
          <w:sz w:val="24"/>
          <w:szCs w:val="24"/>
        </w:rPr>
      </w:pPr>
      <w:r w:rsidRPr="003F43FB">
        <w:rPr>
          <w:rFonts w:ascii="楷体" w:eastAsia="楷体" w:hAnsi="楷体" w:hint="eastAsia"/>
          <w:color w:val="000000" w:themeColor="text1"/>
          <w:sz w:val="24"/>
          <w:szCs w:val="24"/>
        </w:rPr>
        <w:t>(1)库存：12月05日，SHFE仓单库存3170吨，持平；LME仓单库存180550吨，增5650吨。</w:t>
      </w:r>
    </w:p>
    <w:p w:rsidR="003F43FB" w:rsidRPr="003F43FB" w:rsidRDefault="003F43FB" w:rsidP="003F43FB">
      <w:pPr>
        <w:ind w:leftChars="300" w:left="630"/>
        <w:rPr>
          <w:rFonts w:ascii="楷体" w:eastAsia="楷体" w:hAnsi="楷体" w:hint="eastAsia"/>
          <w:color w:val="000000" w:themeColor="text1"/>
          <w:sz w:val="24"/>
          <w:szCs w:val="24"/>
        </w:rPr>
      </w:pPr>
      <w:r w:rsidRPr="003F43FB">
        <w:rPr>
          <w:rFonts w:ascii="楷体" w:eastAsia="楷体" w:hAnsi="楷体" w:hint="eastAsia"/>
          <w:color w:val="000000" w:themeColor="text1"/>
          <w:sz w:val="24"/>
          <w:szCs w:val="24"/>
        </w:rPr>
        <w:t>(2)精废价差：12月05日，Mysteel精废价差1948，收窄322。目前价差在合理价差1389之上。</w:t>
      </w:r>
    </w:p>
    <w:p w:rsidR="003F43FB" w:rsidRPr="003F43FB" w:rsidRDefault="003F43FB" w:rsidP="003F43FB">
      <w:pPr>
        <w:ind w:leftChars="300" w:left="630"/>
        <w:rPr>
          <w:rFonts w:ascii="楷体" w:eastAsia="楷体" w:hAnsi="楷体"/>
          <w:color w:val="000000" w:themeColor="text1"/>
          <w:sz w:val="24"/>
          <w:szCs w:val="24"/>
        </w:rPr>
      </w:pPr>
    </w:p>
    <w:p w:rsidR="00127803" w:rsidRPr="00127803" w:rsidRDefault="003F43FB" w:rsidP="003F43FB">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t>综述：宏观面，市场对美联储降息的乐观预期降温，美元指数反弹压制铜价。国内宏观情绪偏空，股市及商品市场均呈现下跌行情。基本面，国内库存低位运行，现货升水坚挺，淡季累库预期仍未兑现，支撑价格。短期铜价高位承压偏弱运行，关注本周五美国非农数据公布</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2752665"/>
      <w:r>
        <w:rPr>
          <w:rFonts w:ascii="楷体" w:eastAsia="楷体" w:hAnsi="楷体" w:hint="eastAsia"/>
          <w:b/>
          <w:color w:val="000000" w:themeColor="text1"/>
          <w:sz w:val="24"/>
          <w:szCs w:val="24"/>
        </w:rPr>
        <w:t>铝：</w:t>
      </w:r>
      <w:bookmarkEnd w:id="27"/>
      <w:bookmarkEnd w:id="28"/>
      <w:r w:rsidR="003F43FB" w:rsidRPr="003F43FB">
        <w:rPr>
          <w:rFonts w:ascii="楷体" w:eastAsia="楷体" w:hAnsi="楷体" w:hint="eastAsia"/>
          <w:b/>
          <w:color w:val="000000" w:themeColor="text1"/>
          <w:sz w:val="24"/>
          <w:szCs w:val="24"/>
        </w:rPr>
        <w:t>价格趋弱整理，下方空间有限</w:t>
      </w:r>
      <w:bookmarkEnd w:id="29"/>
    </w:p>
    <w:p w:rsidR="003F56A5" w:rsidRDefault="003F43FB" w:rsidP="00127803">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t>穆迪下调中美两国主权信用评级，市场情绪延续偏悲观。云南地区电解铝减产也逐步完成，当地铝业保供，市场铝锭库存大概率维持下降，淡季之下，初加工及型材加工企业开工率表现趋弱，而进口盈利窗口打开，进口铝锭对初端产品市场仍有补充，中游冶炼在丰厚利润刺激下维持高产，整体供应短期内依旧偏多，但在下去需求疲软的负反馈下，预期上中游生产也会出现减产调整，供需维持双减态势，库存目前再度拐入去库，社库前期触及70万吨高点后再度去库。铝价快速走跌，基本面供需双减，云南已完成减产目标，库存前期累积又再出去库拐点，下游逢低补库采买，价格下方有限，关注跌后反弹区间做多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2752666"/>
      <w:r>
        <w:rPr>
          <w:rFonts w:ascii="楷体" w:eastAsia="楷体" w:hAnsi="楷体" w:hint="eastAsia"/>
          <w:b/>
          <w:color w:val="000000" w:themeColor="text1"/>
          <w:sz w:val="24"/>
          <w:szCs w:val="24"/>
        </w:rPr>
        <w:t>锌：</w:t>
      </w:r>
      <w:r w:rsidR="003F43FB" w:rsidRPr="003F43FB">
        <w:rPr>
          <w:rFonts w:ascii="楷体" w:eastAsia="楷体" w:hAnsi="楷体" w:hint="eastAsia"/>
          <w:b/>
          <w:color w:val="000000" w:themeColor="text1"/>
          <w:sz w:val="24"/>
          <w:szCs w:val="24"/>
        </w:rPr>
        <w:t>供强需弱，锌价趋弱运行</w:t>
      </w:r>
      <w:bookmarkEnd w:id="30"/>
    </w:p>
    <w:p w:rsidR="003F56A5" w:rsidRDefault="003F43FB" w:rsidP="000B0648">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t>海外隐性库存显性化，进口盈利窗口关闭，但前期海外订单陆续到货仍有补充，在国内供应高位的背景下，供应过剩预期增加，需求无明显改善但维持基础消费，价格趋弱运行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2752667"/>
      <w:r>
        <w:rPr>
          <w:rFonts w:ascii="楷体" w:eastAsia="楷体" w:hAnsi="楷体" w:hint="eastAsia"/>
          <w:b/>
          <w:color w:val="000000" w:themeColor="text1"/>
          <w:sz w:val="24"/>
          <w:szCs w:val="24"/>
        </w:rPr>
        <w:t>镍：</w:t>
      </w:r>
      <w:r w:rsidR="003F43FB" w:rsidRPr="003F43FB">
        <w:rPr>
          <w:rFonts w:ascii="楷体" w:eastAsia="楷体" w:hAnsi="楷体" w:hint="eastAsia"/>
          <w:b/>
          <w:color w:val="000000" w:themeColor="text1"/>
          <w:sz w:val="24"/>
          <w:szCs w:val="24"/>
        </w:rPr>
        <w:t>镍市过剩格局难改，镍价持续承压</w:t>
      </w:r>
      <w:bookmarkEnd w:id="31"/>
    </w:p>
    <w:p w:rsidR="003F56A5" w:rsidRDefault="003F43FB">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t>成本端，镍产品已全线产能过剩，且近期印尼MHP增量不断释放，镍成本</w:t>
      </w:r>
      <w:r w:rsidRPr="003F43FB">
        <w:rPr>
          <w:rFonts w:ascii="楷体" w:eastAsia="楷体" w:hAnsi="楷体" w:hint="eastAsia"/>
          <w:color w:val="000000" w:themeColor="text1"/>
          <w:sz w:val="24"/>
          <w:szCs w:val="24"/>
        </w:rPr>
        <w:lastRenderedPageBreak/>
        <w:t>支撑存在继续下移的可能性。供需端，供增需弱格局不改，全球显性库存持续累库，压制镍价。镍价暂无明显反弹动能，需等待需求好转或减产行动，预计以偏弱震荡筑底为主。操作上，短期不建议继续追空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275266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2752669"/>
      <w:r>
        <w:rPr>
          <w:rFonts w:ascii="楷体" w:eastAsia="楷体" w:hAnsi="楷体" w:hint="eastAsia"/>
          <w:b/>
          <w:color w:val="000000" w:themeColor="text1"/>
          <w:sz w:val="24"/>
          <w:szCs w:val="24"/>
        </w:rPr>
        <w:t>不锈钢：</w:t>
      </w:r>
      <w:r w:rsidR="003F43FB" w:rsidRPr="003F43FB">
        <w:rPr>
          <w:rFonts w:ascii="楷体" w:eastAsia="楷体" w:hAnsi="楷体" w:hint="eastAsia"/>
          <w:b/>
          <w:color w:val="000000" w:themeColor="text1"/>
          <w:sz w:val="24"/>
          <w:szCs w:val="24"/>
        </w:rPr>
        <w:t>需求拖累叠负反馈持续，不锈钢价弱势运行</w:t>
      </w:r>
      <w:bookmarkEnd w:id="33"/>
    </w:p>
    <w:p w:rsidR="003F56A5" w:rsidRDefault="003F43FB" w:rsidP="001529BB">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t>从供需来看，不锈钢厂在12月开工率有所上升，但需求却维持疲弱，部分厂家在年底资金压力下低价出货，下游成交氛围维持清淡，供增需弱态势对不锈钢施压。从成本来看，镍铁价格暂时企稳，不过仍承受着钢厂压价及过剩压力，当前产业负反馈压力集中于镍矿，LME价格弱势叠加需求不佳和镍铁厂压价，镍矿价格承压下行。综合来看，基本面未有改善，不锈钢价短期内预计继续弱势运行，上行动能需等待镍矿价格企稳或需求好转</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2752670"/>
      <w:r>
        <w:rPr>
          <w:rFonts w:ascii="楷体" w:eastAsia="楷体" w:hAnsi="楷体" w:hint="eastAsia"/>
          <w:b/>
          <w:color w:val="000000" w:themeColor="text1"/>
          <w:sz w:val="24"/>
          <w:szCs w:val="24"/>
        </w:rPr>
        <w:t>工业硅：</w:t>
      </w:r>
      <w:r w:rsidR="003F43FB" w:rsidRPr="003F43FB">
        <w:rPr>
          <w:rFonts w:ascii="楷体" w:eastAsia="楷体" w:hAnsi="楷体" w:hint="eastAsia"/>
          <w:b/>
          <w:sz w:val="24"/>
          <w:szCs w:val="24"/>
        </w:rPr>
        <w:t>仓单集中注销，盘面承压下行</w:t>
      </w:r>
      <w:bookmarkEnd w:id="34"/>
    </w:p>
    <w:p w:rsidR="003F56A5" w:rsidRDefault="003F43FB" w:rsidP="00827E8A">
      <w:pPr>
        <w:ind w:leftChars="300" w:left="630"/>
        <w:rPr>
          <w:rFonts w:ascii="楷体" w:eastAsia="楷体" w:hAnsi="楷体"/>
          <w:sz w:val="24"/>
          <w:szCs w:val="24"/>
        </w:rPr>
      </w:pPr>
      <w:r w:rsidRPr="003F43FB">
        <w:rPr>
          <w:rFonts w:ascii="楷体" w:eastAsia="楷体" w:hAnsi="楷体" w:hint="eastAsia"/>
          <w:sz w:val="24"/>
          <w:szCs w:val="24"/>
        </w:rPr>
        <w:t>12月5日，Si2401主力合约呈大幅下行走势，盘中触及跌停，收盘价13410元/吨，较上一收盘价涨跌幅-3.73%。从基本面来看，由于11月30日工业硅仓单集中注销，生产日期超过3个月的仓单不得重新进行注册，较多老仓单流回现货市场，使得现货流通量出现较大增加，而下游需求整体较为低迷，导致盘面承压下行。但也要注意到西南产区进入枯水期正在陆续减产，且有进一步扩大减产可能，后续供应存在收缩预期。综合而言，在流回现货市场的老仓单暂未消化完之前，市场或仍将偏弱运行。但也要注意供应存在收缩预期，建议不宜过分看空后市。策略上，建议暂时观望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275267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3F43FB" w:rsidRDefault="00CC3FFA" w:rsidP="003F43FB">
      <w:pPr>
        <w:ind w:firstLineChars="200" w:firstLine="482"/>
        <w:outlineLvl w:val="1"/>
        <w:rPr>
          <w:rFonts w:ascii="楷体" w:eastAsia="楷体" w:hAnsi="楷体"/>
          <w:b/>
          <w:sz w:val="24"/>
          <w:szCs w:val="24"/>
        </w:rPr>
      </w:pPr>
      <w:bookmarkStart w:id="37" w:name="_Toc15275267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3F43FB" w:rsidRPr="003F43FB">
        <w:rPr>
          <w:rFonts w:ascii="楷体" w:eastAsia="楷体" w:hAnsi="楷体" w:hint="eastAsia"/>
          <w:b/>
          <w:sz w:val="24"/>
          <w:szCs w:val="24"/>
        </w:rPr>
        <w:t>东南亚主产区进入旺产季 天胶延续偏弱下行</w:t>
      </w:r>
      <w:bookmarkEnd w:id="37"/>
    </w:p>
    <w:p w:rsidR="003F56A5" w:rsidRDefault="003F43FB">
      <w:pPr>
        <w:ind w:leftChars="300" w:left="630"/>
        <w:rPr>
          <w:rFonts w:ascii="楷体" w:eastAsia="楷体" w:hAnsi="楷体"/>
          <w:sz w:val="24"/>
          <w:szCs w:val="24"/>
        </w:rPr>
      </w:pPr>
      <w:r w:rsidRPr="003F43FB">
        <w:rPr>
          <w:rFonts w:ascii="楷体" w:eastAsia="楷体" w:hAnsi="楷体" w:hint="eastAsia"/>
          <w:sz w:val="24"/>
          <w:szCs w:val="24"/>
        </w:rPr>
        <w:t>点评：近期天然橡胶延续偏弱下行，同时未出现明显止跌迹象。供应方面，海外泰国东北部已处旺产期，南部雨季过后进入上量期，短时整体原料价格仍有松动空间。库存方面，国内天然橡胶库存虽仍在去库，但去库幅度偏缓，下游工厂对原材料高价抵触心理。需求端来看，半钢胎企业排产运</w:t>
      </w:r>
      <w:r w:rsidRPr="003F43FB">
        <w:rPr>
          <w:rFonts w:ascii="楷体" w:eastAsia="楷体" w:hAnsi="楷体" w:hint="eastAsia"/>
          <w:sz w:val="24"/>
          <w:szCs w:val="24"/>
        </w:rPr>
        <w:lastRenderedPageBreak/>
        <w:t>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10月数据同环比继续走强，汽车消费旺季来临市场景气度高。整体看，本轮下跌其实早有征兆，上一波上涨期间出现头肩形与顶背离情况。目前橡胶已回吐近60%的涨幅，在新的强利好支撑出现前，橡胶建议先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275267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B32FF" w:rsidRPr="002B32FF">
        <w:rPr>
          <w:rFonts w:ascii="Calibri" w:eastAsia="楷体" w:hAnsi="Calibri" w:cs="Calibri" w:hint="eastAsia"/>
          <w:b/>
          <w:color w:val="000000" w:themeColor="text1"/>
          <w:sz w:val="24"/>
          <w:szCs w:val="24"/>
        </w:rPr>
        <w:t> </w:t>
      </w:r>
      <w:r w:rsidR="0051222D" w:rsidRPr="0051222D">
        <w:rPr>
          <w:rFonts w:ascii="Calibri" w:eastAsia="楷体" w:hAnsi="Calibri" w:cs="Calibri" w:hint="eastAsia"/>
          <w:b/>
          <w:color w:val="000000" w:themeColor="text1"/>
          <w:sz w:val="24"/>
          <w:szCs w:val="24"/>
        </w:rPr>
        <w:t>供需矛盾不突出</w:t>
      </w:r>
      <w:r w:rsidR="0051222D" w:rsidRPr="0051222D">
        <w:rPr>
          <w:rFonts w:ascii="Calibri" w:eastAsia="楷体" w:hAnsi="Calibri" w:cs="Calibri" w:hint="eastAsia"/>
          <w:b/>
          <w:color w:val="000000" w:themeColor="text1"/>
          <w:sz w:val="24"/>
          <w:szCs w:val="24"/>
        </w:rPr>
        <w:t xml:space="preserve"> </w:t>
      </w:r>
      <w:r w:rsidR="0051222D" w:rsidRPr="0051222D">
        <w:rPr>
          <w:rFonts w:ascii="Calibri" w:eastAsia="楷体" w:hAnsi="Calibri" w:cs="Calibri" w:hint="eastAsia"/>
          <w:b/>
          <w:color w:val="000000" w:themeColor="text1"/>
          <w:sz w:val="24"/>
          <w:szCs w:val="24"/>
        </w:rPr>
        <w:t>短期跟随成本端调整</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51222D" w:rsidP="002C73FE">
      <w:pPr>
        <w:ind w:leftChars="300" w:left="630"/>
        <w:rPr>
          <w:rFonts w:ascii="楷体" w:eastAsia="楷体" w:hAnsi="楷体"/>
          <w:color w:val="000000" w:themeColor="text1"/>
          <w:sz w:val="24"/>
          <w:szCs w:val="24"/>
        </w:rPr>
      </w:pPr>
      <w:r w:rsidRPr="0051222D">
        <w:rPr>
          <w:rFonts w:ascii="楷体" w:eastAsia="楷体" w:hAnsi="楷体" w:hint="eastAsia"/>
          <w:color w:val="000000" w:themeColor="text1"/>
          <w:sz w:val="24"/>
          <w:szCs w:val="24"/>
        </w:rPr>
        <w:t>OPEC+会议后市场未取得实质性利好，供给预期逐步转向宽松，侧重留意横盘调整后再度破位下行的风险。PX方面，亚洲PX供应仍较充裕。PTA供应方面，本周英力士110万吨、能投100万吨计划内重启，威联化学250万吨检修，个别装置负荷调整。PTA负荷降至76.7%（-2.7%）。截止11.24逸盛海南250万吨PTA新装置一条线正常运行。本周聚酯装置整体变动不是太大，局部微调为主，截至12.1，初步核算国内大陆地区聚酯负荷在90.9%。综合来看，PTA近期供应端缩减，临近交割月部分地区货源偏紧，聚酯链品种开工高位维持，供需关系缓和，但短期来看围绕成本端回调，趋势仍偏弱，关注5600附近支撑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2752674"/>
      <w:r>
        <w:rPr>
          <w:rFonts w:ascii="楷体" w:eastAsia="楷体" w:hAnsi="楷体" w:hint="eastAsia"/>
          <w:b/>
          <w:color w:val="000000" w:themeColor="text1"/>
          <w:sz w:val="24"/>
          <w:szCs w:val="24"/>
        </w:rPr>
        <w:t>聚烯烃：</w:t>
      </w:r>
      <w:r w:rsidR="003F43FB" w:rsidRPr="003F43FB">
        <w:rPr>
          <w:rFonts w:ascii="楷体" w:eastAsia="楷体" w:hAnsi="楷体" w:hint="eastAsia"/>
          <w:b/>
          <w:color w:val="000000" w:themeColor="text1"/>
          <w:sz w:val="24"/>
          <w:szCs w:val="24"/>
        </w:rPr>
        <w:t>需求季节性淡季叠加原油下跌 聚烯烃建议逢高做空</w:t>
      </w:r>
      <w:bookmarkEnd w:id="39"/>
    </w:p>
    <w:p w:rsidR="003F56A5" w:rsidRDefault="003F43FB">
      <w:pPr>
        <w:ind w:leftChars="300" w:left="630"/>
        <w:rPr>
          <w:rFonts w:ascii="楷体" w:eastAsia="楷体" w:hAnsi="楷体"/>
          <w:bCs/>
          <w:sz w:val="24"/>
          <w:szCs w:val="24"/>
        </w:rPr>
      </w:pPr>
      <w:r w:rsidRPr="003F43FB">
        <w:rPr>
          <w:rFonts w:ascii="楷体" w:eastAsia="楷体" w:hAnsi="楷体" w:hint="eastAsia"/>
          <w:color w:val="000000" w:themeColor="text1"/>
          <w:sz w:val="24"/>
          <w:szCs w:val="24"/>
        </w:rPr>
        <w:t>库存方面，因风暴而受阻，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元汇率走强和对需求担忧抵消了对供应担忧，欧美原油期货连续第四个交易日下跌至五个月来最低。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一”购物节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2752675"/>
      <w:r>
        <w:rPr>
          <w:rFonts w:ascii="楷体" w:eastAsia="楷体" w:hAnsi="楷体" w:hint="eastAsia"/>
          <w:b/>
          <w:color w:val="000000" w:themeColor="text1"/>
          <w:sz w:val="24"/>
          <w:szCs w:val="24"/>
        </w:rPr>
        <w:t>MEG：</w:t>
      </w:r>
      <w:r w:rsidR="0051222D" w:rsidRPr="0051222D">
        <w:rPr>
          <w:rFonts w:ascii="楷体" w:eastAsia="楷体" w:hAnsi="楷体" w:hint="eastAsia"/>
          <w:b/>
          <w:color w:val="000000" w:themeColor="text1"/>
          <w:sz w:val="24"/>
          <w:szCs w:val="24"/>
        </w:rPr>
        <w:t>关注低多机会</w:t>
      </w:r>
      <w:bookmarkEnd w:id="40"/>
    </w:p>
    <w:p w:rsidR="003F56A5" w:rsidRDefault="0051222D" w:rsidP="00152664">
      <w:pPr>
        <w:ind w:leftChars="300" w:left="630"/>
        <w:rPr>
          <w:rFonts w:ascii="楷体" w:eastAsia="楷体" w:hAnsi="楷体"/>
          <w:color w:val="000000" w:themeColor="text1"/>
          <w:sz w:val="24"/>
          <w:szCs w:val="24"/>
        </w:rPr>
      </w:pPr>
      <w:r w:rsidRPr="0051222D">
        <w:rPr>
          <w:rFonts w:ascii="楷体" w:eastAsia="楷体" w:hAnsi="楷体" w:hint="eastAsia"/>
          <w:color w:val="000000" w:themeColor="text1"/>
          <w:sz w:val="24"/>
          <w:szCs w:val="24"/>
        </w:rPr>
        <w:t>供需情况，12.4华东主港地区MEG港口库存约123.6万吨附近，环比上期-0.6万吨。张家港62.8万吨附近，较上期减少2.1万吨。12月上旬起太仓地区到港较为集中，显性库存仍将维持偏高水平。截至11月30日，中国大陆地区乙二醇整体开工负荷在61.06%（-1.44%），其中煤制乙二醇开工负荷在60.45%（-3.39%）。新疆中昆60万吨/年新装置顺利出料，目前逐步提负中</w:t>
      </w:r>
      <w:r w:rsidRPr="0051222D">
        <w:rPr>
          <w:rFonts w:ascii="Calibri" w:eastAsia="楷体" w:hAnsi="Calibri" w:cs="Calibri"/>
          <w:color w:val="000000" w:themeColor="text1"/>
          <w:sz w:val="24"/>
          <w:szCs w:val="24"/>
        </w:rPr>
        <w:t> </w:t>
      </w:r>
      <w:r w:rsidRPr="0051222D">
        <w:rPr>
          <w:rFonts w:ascii="楷体" w:eastAsia="楷体" w:hAnsi="楷体" w:hint="eastAsia"/>
          <w:color w:val="000000" w:themeColor="text1"/>
          <w:sz w:val="24"/>
          <w:szCs w:val="24"/>
        </w:rPr>
        <w:t>。截至12.1日，国内大陆地区聚酯负荷在90.9%，节前聚酯开工高位维持。终端来看，江浙终端开工率小幅下滑。江浙加弹综合开工91%维持，江浙织机综合开工小幅下滑至84%（-1%），江浙印染综合开工下滑至81%（-2%），本周局部织造产品订单放量，伴随聚酯原料降价让利，涤丝、瓶片等产品效益改善。综合来看，部分装置检修及重启推迟下及聚酯</w:t>
      </w:r>
      <w:r w:rsidRPr="0051222D">
        <w:rPr>
          <w:rFonts w:ascii="楷体" w:eastAsia="楷体" w:hAnsi="楷体" w:hint="eastAsia"/>
          <w:color w:val="000000" w:themeColor="text1"/>
          <w:sz w:val="24"/>
          <w:szCs w:val="24"/>
        </w:rPr>
        <w:lastRenderedPageBreak/>
        <w:t>高开工维持驱动仍存，预计12月乙二醇供需改善呈现紧平衡格局。关注乙二醇低多机会，下方支撑4020-4040。仅供参考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Pr="0008229A" w:rsidRDefault="0079299D" w:rsidP="0008229A">
      <w:pPr>
        <w:ind w:leftChars="200" w:left="420"/>
        <w:outlineLvl w:val="1"/>
        <w:rPr>
          <w:rFonts w:ascii="楷体" w:eastAsia="楷体" w:hAnsi="楷体"/>
          <w:b/>
          <w:color w:val="000000" w:themeColor="text1"/>
          <w:sz w:val="24"/>
          <w:szCs w:val="24"/>
        </w:rPr>
      </w:pPr>
      <w:bookmarkStart w:id="41" w:name="_Toc15275267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1222D" w:rsidRPr="0051222D">
        <w:rPr>
          <w:rFonts w:ascii="楷体" w:eastAsia="楷体" w:hAnsi="楷体" w:hint="eastAsia"/>
          <w:b/>
          <w:color w:val="000000" w:themeColor="text1"/>
          <w:sz w:val="24"/>
          <w:szCs w:val="24"/>
        </w:rPr>
        <w:t>南北出现分歧，建议低多思路</w:t>
      </w:r>
      <w:bookmarkEnd w:id="41"/>
    </w:p>
    <w:p w:rsidR="00A71A7E" w:rsidRDefault="0051222D" w:rsidP="002B2B4E">
      <w:pPr>
        <w:ind w:leftChars="300" w:left="630"/>
        <w:rPr>
          <w:rFonts w:ascii="楷体" w:eastAsia="楷体" w:hAnsi="楷体"/>
          <w:color w:val="000000" w:themeColor="text1"/>
          <w:sz w:val="24"/>
          <w:szCs w:val="24"/>
        </w:rPr>
      </w:pPr>
      <w:r w:rsidRPr="0051222D">
        <w:rPr>
          <w:rFonts w:ascii="楷体" w:eastAsia="楷体" w:hAnsi="楷体" w:hint="eastAsia"/>
          <w:color w:val="000000" w:themeColor="text1"/>
          <w:sz w:val="24"/>
          <w:szCs w:val="24"/>
        </w:rPr>
        <w:t>隆众资讯12月5日报道：今日浮法玻璃现货价格1980元/吨，较上一交易日+3元/吨。截至2023年11月30日，全国浮法玻璃日产量为17.28万吨，比23日+0.23%。库存上，周内全国浮法玻璃样本企业总库存3770.1万重箱，环比下滑128.9万重箱，环比-3.31%。需求上，周末受期货快速上涨影响，产销较好，预计周内继续去库。以沙河和湖北地区为代表的玻璃主产区对期价较为敏感，在厂库和社库双低位下，期价快速上涨带动现货端玻璃厂纷纷涨价，但由于北方天气原因，南北玻璃涨跌不一，下游买涨不买跌心态下积极性较强。盘面远月受宏观需求预期影响表现坚挺，近月01合约以交割逻辑为主，连续两日下跌重新回到小幅升水位置。重点关注现货补涨情况和下游深加工厂提货情况。操作上，建议低多思路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Pr="009D2D8B" w:rsidRDefault="0079299D" w:rsidP="009D2D8B">
      <w:pPr>
        <w:ind w:leftChars="200" w:left="420"/>
        <w:outlineLvl w:val="1"/>
        <w:rPr>
          <w:rFonts w:ascii="楷体" w:eastAsia="楷体" w:hAnsi="楷体"/>
          <w:b/>
          <w:color w:val="000000" w:themeColor="text1"/>
          <w:sz w:val="24"/>
          <w:szCs w:val="24"/>
        </w:rPr>
      </w:pPr>
      <w:bookmarkStart w:id="42" w:name="_Toc15275267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1222D" w:rsidRPr="0051222D">
        <w:rPr>
          <w:rFonts w:ascii="楷体" w:eastAsia="楷体" w:hAnsi="楷体" w:hint="eastAsia"/>
          <w:b/>
          <w:color w:val="000000" w:themeColor="text1"/>
          <w:sz w:val="24"/>
          <w:szCs w:val="24"/>
        </w:rPr>
        <w:t>供给端反复扰动，近月按交割逻辑收基差</w:t>
      </w:r>
      <w:bookmarkEnd w:id="42"/>
    </w:p>
    <w:p w:rsidR="00A71A7E" w:rsidRDefault="0051222D" w:rsidP="002B2B4E">
      <w:pPr>
        <w:ind w:leftChars="300" w:left="630"/>
        <w:rPr>
          <w:rFonts w:ascii="楷体" w:eastAsia="楷体" w:hAnsi="楷体"/>
          <w:bCs/>
          <w:sz w:val="24"/>
          <w:szCs w:val="24"/>
        </w:rPr>
      </w:pPr>
      <w:r w:rsidRPr="0051222D">
        <w:rPr>
          <w:rFonts w:ascii="楷体" w:eastAsia="楷体" w:hAnsi="楷体" w:hint="eastAsia"/>
          <w:color w:val="000000" w:themeColor="text1"/>
          <w:sz w:val="24"/>
          <w:szCs w:val="24"/>
        </w:rPr>
        <w:t>纯碱现货价格继续上涨。华北重碱现货价格上涨100，报价突破3000元/吨，但成交较少。供给方面，截至20231130，周内纯碱产量65.96万吨，跌幅4.61%。周纯碱厂家库存38.05万吨，环比-2.54万吨，跌幅6.26%，轻降重增，新订单排单到月中，碱厂开始接单。周内供给端装置扰动较多，网传远兴和金山装置再度出现问题，降负荷，青海地区环保问题提负荷无望。从库存结构上来看，厂库库存仍处于低位，现货挺价为主。盘面上，01合约走交割逻辑，临近交割多空离场，短线以低多收基差思路为主，05合约移仓+被近月带动补涨，重点关注下游补库积极性以及 供给端装置情况</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275267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275267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3F43FB" w:rsidRPr="003F43FB">
        <w:rPr>
          <w:rFonts w:ascii="楷体" w:eastAsia="楷体" w:hAnsi="楷体" w:hint="eastAsia"/>
          <w:b/>
          <w:sz w:val="24"/>
          <w:szCs w:val="24"/>
        </w:rPr>
        <w:t>期价震荡调整，现货基差偏弱运行</w:t>
      </w:r>
      <w:bookmarkEnd w:id="44"/>
    </w:p>
    <w:p w:rsidR="003F56A5" w:rsidRDefault="003F43FB">
      <w:pPr>
        <w:ind w:leftChars="300" w:left="630"/>
        <w:rPr>
          <w:rFonts w:ascii="楷体" w:eastAsia="楷体" w:hAnsi="楷体"/>
          <w:sz w:val="24"/>
          <w:szCs w:val="24"/>
        </w:rPr>
      </w:pPr>
      <w:r w:rsidRPr="003F43FB">
        <w:rPr>
          <w:rFonts w:ascii="楷体" w:eastAsia="楷体" w:hAnsi="楷体" w:hint="eastAsia"/>
          <w:sz w:val="24"/>
          <w:szCs w:val="24"/>
        </w:rPr>
        <w:t>因巴西有利降雨预报下作物生长压力有望缓解，但前期1.63亿吨的丰产预期或难完成，等待USDA报告对巴西大豆产量的调整，期价在报告落地前预计震荡整理。随着美豆定产后，市场定价重心逐步转向南美，巴西天气不确定性仍存，目前种植进度落后于去年同期及五年均值水平为75.2%，虽美农报告对南美仍维持丰产预期，但中长期南美丰产预期能否兑现仍是后续价格走势的关键，关注巴西12月份天气情况。国内现货基差延续偏弱，供应端进入11月份后，随着进口大豆到港增加，油厂大豆库存开始回升，油厂开机率提升，豆粕产出增加，但因下游成交未见好转，豆粕库存较前一周增至73.79万吨，当前沿海主流油厂豆粕现货报价上调至3870-3930元/吨。但在11-12月进口到港预期宽松下，豆粕存进一步累库预期，关注大豆实际到港能否符合预估。需求，下游生猪养殖利润维持亏损，但在能繁存栏高位下，下游随采随用，保持安全库存。菜粕供应存宽松预期。在11月份后随着菜籽进口增加，菜粕供应预计转宽，目前菜籽库存以及油厂开机均有明显提升。而需求方面，随着水产消费旺季的结束，菜粕刚需</w:t>
      </w:r>
      <w:r w:rsidRPr="003F43FB">
        <w:rPr>
          <w:rFonts w:ascii="楷体" w:eastAsia="楷体" w:hAnsi="楷体" w:hint="eastAsia"/>
          <w:sz w:val="24"/>
          <w:szCs w:val="24"/>
        </w:rPr>
        <w:lastRenderedPageBreak/>
        <w:t>减少，但在豆菜粕价差较大下提振菜粕的替代需求。策略方面，短期震荡调整，建议豆粕短线顺势操作，暂看波动区间2850-4100，菜粕建议短线顺势操作，近月压力仍较大，可关注1-5反套机会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2752680"/>
      <w:r>
        <w:rPr>
          <w:rFonts w:ascii="楷体" w:eastAsia="楷体" w:hAnsi="楷体" w:hint="eastAsia"/>
          <w:b/>
          <w:color w:val="000000" w:themeColor="text1"/>
          <w:sz w:val="24"/>
          <w:szCs w:val="24"/>
        </w:rPr>
        <w:t>油脂：</w:t>
      </w:r>
      <w:r w:rsidR="003F43FB" w:rsidRPr="003F43FB">
        <w:rPr>
          <w:rFonts w:ascii="楷体" w:eastAsia="楷体" w:hAnsi="楷体" w:hint="eastAsia"/>
          <w:b/>
          <w:sz w:val="24"/>
          <w:szCs w:val="24"/>
        </w:rPr>
        <w:t>反弹乏力，偏弱震荡调整</w:t>
      </w:r>
      <w:bookmarkEnd w:id="45"/>
    </w:p>
    <w:p w:rsidR="003F56A5" w:rsidRDefault="003F43FB" w:rsidP="00792D31">
      <w:pPr>
        <w:ind w:leftChars="300" w:left="630"/>
        <w:rPr>
          <w:rFonts w:ascii="楷体" w:eastAsia="楷体" w:hAnsi="楷体"/>
          <w:sz w:val="24"/>
          <w:szCs w:val="24"/>
        </w:rPr>
      </w:pPr>
      <w:r w:rsidRPr="003F43FB">
        <w:rPr>
          <w:rFonts w:ascii="楷体" w:eastAsia="楷体" w:hAnsi="楷体" w:hint="eastAsia"/>
          <w:sz w:val="24"/>
          <w:szCs w:val="24"/>
        </w:rPr>
        <w:t>短期外部市场表现疲弱，缺乏天气驱动，且国内油脂库存压力抑制，油脂整体偏弱调整为主，等待近期报告公布。棕榈油，产地11月份进入季节性减产周期，库存压力逐步释放，且在厄尔尼诺现象扰动下，价格下方存支撑。印尼棕榈油9月份产需双增，但产量增幅不及需求，库存环比下降。而马棕10月份在产需双增下，库存增幅不及市场预期。四季度主要关注厄尔尼诺对产量的扰动，为中长期潜在利多因素。国内棕榈油9-10月份进口到港维持高位，但在高库存抑制下后续进口预计减少，最新商业库存小幅增至96.52万吨。需求端，随着各地气温转凉，棕榈油逐步进入消费淡季，掺混需求预计减少。豆油存供需双增预期。国内随着11月后进口大豆到港增加，油厂开机有所回升，豆油供应预计将得到补充。需求端，虽四季度为豆油消费旺季，部分掺混需求预计转向豆油，但当前价格优势并不明显，限制替代需求，关注元旦前下游备货情况。菜油预计供需双旺。当前主产地菜籽新作处于出口阶段，集中上市压力也抑制期价走势。随着11月份后进口菜籽到港增加，菜籽开机及压榨水平提升，10月菜籽进口3.4万吨，环比减89%，且四季度菜籽进口预期宽松。需求方面，与豆油价差持续收窄，部分地区出现与豆油价格平水情况，提振其替代需求。短期油脂维持宽幅震荡，上方压力仍存，建议短线波段操作，高抛低吸；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2752681"/>
      <w:r>
        <w:rPr>
          <w:rFonts w:ascii="楷体" w:eastAsia="楷体" w:hAnsi="楷体" w:hint="eastAsia"/>
          <w:b/>
          <w:bCs/>
          <w:color w:val="000000" w:themeColor="text1"/>
        </w:rPr>
        <w:t>玉米与淀粉：</w:t>
      </w:r>
      <w:r w:rsidR="003F43FB" w:rsidRPr="003F43FB">
        <w:rPr>
          <w:rFonts w:ascii="楷体" w:eastAsia="楷体" w:hAnsi="楷体" w:hint="eastAsia"/>
          <w:b/>
        </w:rPr>
        <w:t>期现货延续弱势</w:t>
      </w:r>
      <w:bookmarkEnd w:id="46"/>
    </w:p>
    <w:p w:rsidR="003F43FB" w:rsidRPr="003F43FB" w:rsidRDefault="003F43FB" w:rsidP="003F43FB">
      <w:pPr>
        <w:pStyle w:val="paragraph"/>
        <w:spacing w:after="60"/>
        <w:ind w:leftChars="300" w:left="630"/>
        <w:rPr>
          <w:rFonts w:ascii="楷体" w:eastAsia="楷体" w:hAnsi="楷体" w:hint="eastAsia"/>
        </w:rPr>
      </w:pPr>
      <w:r w:rsidRPr="003F43FB">
        <w:rPr>
          <w:rFonts w:ascii="楷体" w:eastAsia="楷体" w:hAnsi="楷体" w:hint="eastAsia"/>
        </w:rPr>
        <w:t>对于玉米而言，市场延续供需博弈，近期新增变量在于市场对需求端的担忧加剧，即由于非瘟疫情和生猪产业链资金问题，年前行业负反馈带动加速生猪出栏甚至产能去化，这将使得原本疲弱的需求雪上加霜。在这种情况下，除了需要继续关注上游农户的惜售心理和中下游补库意愿外，还需要特别留意生猪价格和行业动向。考虑到远月技术破位叠加现货转为弱势，虽存在基差支撑，但我们维持中性观点，建议暂以观望为宜。</w:t>
      </w:r>
    </w:p>
    <w:p w:rsidR="003F56A5" w:rsidRDefault="003F43FB" w:rsidP="003F43FB">
      <w:pPr>
        <w:pStyle w:val="paragraph"/>
        <w:spacing w:before="0" w:beforeAutospacing="0" w:after="60" w:afterAutospacing="0"/>
        <w:ind w:leftChars="300" w:left="630"/>
        <w:rPr>
          <w:rFonts w:ascii="楷体" w:eastAsia="楷体" w:hAnsi="楷体"/>
        </w:rPr>
      </w:pPr>
      <w:r w:rsidRPr="003F43FB">
        <w:rPr>
          <w:rFonts w:ascii="楷体" w:eastAsia="楷体" w:hAnsi="楷体" w:hint="eastAsia"/>
        </w:rPr>
        <w:t>对于淀粉而言，影响淀粉-玉米价差的三个方面因素持续发生变化，原料端和供需端相对偏空，副产品端受蛋白粕带动再度转向下跌。在这种情况下，我们倾向于认为淀粉-玉米价差不排除在副产品和现货基差的带动下继续走扩的可能性，但受制于供需端的变化其上方空间或相对有限，原料端即玉米走势或值得重点留意。在这种情况下，我们维持中性观点，单边建议观望，套利方面则建议前期淀粉-玉米价差走扩套利组合可考虑择机获利离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2752682"/>
      <w:r>
        <w:rPr>
          <w:rFonts w:ascii="楷体" w:eastAsia="楷体" w:hAnsi="楷体" w:hint="eastAsia"/>
          <w:b/>
          <w:bCs/>
          <w:color w:val="000000" w:themeColor="text1"/>
        </w:rPr>
        <w:t>畜禽养殖：</w:t>
      </w:r>
      <w:r w:rsidR="003F43FB" w:rsidRPr="003F43FB">
        <w:rPr>
          <w:rFonts w:ascii="楷体" w:eastAsia="楷体" w:hAnsi="楷体" w:hint="eastAsia"/>
          <w:b/>
          <w:bCs/>
          <w:color w:val="000000" w:themeColor="text1"/>
        </w:rPr>
        <w:t>生猪近月基差继续走强</w:t>
      </w:r>
      <w:bookmarkEnd w:id="47"/>
    </w:p>
    <w:p w:rsidR="003F43FB" w:rsidRPr="003F43FB" w:rsidRDefault="003F43FB" w:rsidP="003F43FB">
      <w:pPr>
        <w:pStyle w:val="paragraph"/>
        <w:spacing w:after="60"/>
        <w:ind w:leftChars="300" w:left="630"/>
        <w:rPr>
          <w:rFonts w:ascii="楷体" w:eastAsia="楷体" w:hAnsi="楷体" w:hint="eastAsia"/>
        </w:rPr>
      </w:pPr>
      <w:r w:rsidRPr="003F43FB">
        <w:rPr>
          <w:rFonts w:ascii="楷体" w:eastAsia="楷体" w:hAnsi="楷体" w:hint="eastAsia"/>
        </w:rPr>
        <w:lastRenderedPageBreak/>
        <w:t>对于生猪而言，在前期报告中我们指出，考虑到仔猪价格的持续下跌和10月下半月局部地区非洲猪瘟疫情有望导致生猪产能去化加快，市场对于远期供需预期趋于乐观存在合理性，但春节前后合约或存在结构性机会。这种结构性机会体现在1月、3月和5月合约上，其中1月即近月合约更多关注现货走势，考虑到当前节奏符合我们之前先抑后扬的判断，这意味着8月以来现货持续下跌带来供应的消化，后期在春节前旺季需求的带动下，现货有望出现反弹机会。而对于明年上半年合约而言，从目前数据来看，供应整体仍较为充裕，需求受季节性因素抑制，现货表现或难言乐观。近期市场显著变化在于基差持续走强，特别是近月期价已转为贴水现货，超乎我们之前预期，这主要源于非瘟疫情和产业链资金问题的担忧，特别是后者，市场甚至担心接下来持续负反馈来加速生猪出栏和产能去化。在这种情况下，更多期待需求端的改善，包括季节性因素和政策性收购。综上所述，我们维持中性观点，建议投资者转为观望为宜。</w:t>
      </w:r>
    </w:p>
    <w:p w:rsidR="003F56A5" w:rsidRDefault="003F43FB" w:rsidP="003F43FB">
      <w:pPr>
        <w:pStyle w:val="paragraph"/>
        <w:spacing w:before="0" w:beforeAutospacing="0" w:after="60" w:afterAutospacing="0"/>
        <w:ind w:leftChars="300" w:left="630"/>
        <w:rPr>
          <w:rFonts w:ascii="楷体" w:eastAsia="楷体" w:hAnsi="楷体"/>
        </w:rPr>
      </w:pPr>
      <w:r w:rsidRPr="003F43FB">
        <w:rPr>
          <w:rFonts w:ascii="楷体" w:eastAsia="楷体" w:hAnsi="楷体" w:hint="eastAsia"/>
        </w:rPr>
        <w:t>对于鸡蛋而言，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近期期价特别是近月期价反弹的主要逻辑有二，其一是现货止跌反弹，使得市场预期季节性回落临近尾声，后期在节前备货需求的带动下有望震荡反弹；其二是近期养殖利润下滑之后，蛋鸡淘汰量显著回升，从而导致市场对远期供需有所改善。在这种情况下，我们倾向于鸡蛋期价或趋于震荡调整，在这个过程中，市场将根据季节性旺季期间的现货表现来判断接下来特别是春节后的鸡蛋供需状况。在这种情况下，我们维持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2752683"/>
      <w:r>
        <w:rPr>
          <w:rFonts w:ascii="楷体" w:eastAsia="楷体" w:hAnsi="楷体" w:hint="eastAsia"/>
          <w:b/>
          <w:sz w:val="24"/>
          <w:szCs w:val="24"/>
        </w:rPr>
        <w:t>郑棉：</w:t>
      </w:r>
      <w:r w:rsidR="003F43FB" w:rsidRPr="003F43FB">
        <w:rPr>
          <w:rFonts w:ascii="楷体" w:eastAsia="楷体" w:hAnsi="楷体" w:hint="eastAsia"/>
          <w:b/>
          <w:sz w:val="24"/>
          <w:szCs w:val="24"/>
        </w:rPr>
        <w:t>区间震荡，尝试收复1.5关口</w:t>
      </w:r>
      <w:bookmarkEnd w:id="48"/>
    </w:p>
    <w:p w:rsidR="003F56A5" w:rsidRDefault="003F43FB" w:rsidP="007B3290">
      <w:pPr>
        <w:ind w:leftChars="300" w:left="630"/>
        <w:rPr>
          <w:rFonts w:ascii="楷体" w:eastAsia="楷体" w:hAnsi="楷体"/>
          <w:sz w:val="24"/>
          <w:szCs w:val="24"/>
        </w:rPr>
      </w:pPr>
      <w:r w:rsidRPr="003F43FB">
        <w:rPr>
          <w:rFonts w:ascii="楷体" w:eastAsia="楷体" w:hAnsi="楷体" w:hint="eastAsia"/>
          <w:sz w:val="24"/>
          <w:szCs w:val="24"/>
        </w:rPr>
        <w:t>国内新棉加工速度极快，价格持续走弱，籽棉收购最低价已破7字头，衣分较低的籽棉甚至到了6.7元/公斤附近。随着棉纱价格大幅下跌释放利空，近期下游形势略有好转。纺织企业开机率微升，纱线库存迎来拐点，但整体而言产业端的负反馈仍需时间消化。预计01合约震荡整理，05合约则尝试收复1.5万元/吨关口</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2752684"/>
      <w:r>
        <w:rPr>
          <w:rFonts w:ascii="楷体" w:eastAsia="楷体" w:hAnsi="楷体" w:hint="eastAsia"/>
          <w:b/>
          <w:sz w:val="24"/>
          <w:szCs w:val="24"/>
        </w:rPr>
        <w:t>白糖：</w:t>
      </w:r>
      <w:r w:rsidR="003F43FB" w:rsidRPr="003F43FB">
        <w:rPr>
          <w:rFonts w:ascii="楷体" w:eastAsia="楷体" w:hAnsi="楷体" w:hint="eastAsia"/>
          <w:b/>
          <w:sz w:val="24"/>
          <w:szCs w:val="24"/>
        </w:rPr>
        <w:t>震荡下行，偏空对待</w:t>
      </w:r>
      <w:bookmarkEnd w:id="49"/>
    </w:p>
    <w:p w:rsidR="00296325" w:rsidRDefault="003F43FB" w:rsidP="00296325">
      <w:pPr>
        <w:ind w:leftChars="300" w:left="630"/>
        <w:rPr>
          <w:rFonts w:ascii="楷体" w:eastAsia="楷体" w:hAnsi="楷体"/>
          <w:sz w:val="24"/>
          <w:szCs w:val="24"/>
        </w:rPr>
      </w:pPr>
      <w:r w:rsidRPr="003F43FB">
        <w:rPr>
          <w:rFonts w:ascii="楷体" w:eastAsia="楷体" w:hAnsi="楷体" w:hint="eastAsia"/>
          <w:sz w:val="24"/>
          <w:szCs w:val="24"/>
        </w:rPr>
        <w:t>咨询机构StoneX预计巴西中南部地区2024/25年度糖产量预计达到创纪录的4320万吨，较上年增长3.3%。巴西糖厂预计在2024/25年度将51.4%的甘蔗用于制糖，高于上年的49%。国际原糖向下破位，再度大跌。国内新榨季开始，传闻本榨季广西有望增产15%—20%。10月进口量大增至92.5万吨。供应短期内趋向宽松，现货价格持续走弱，失去国际糖价支撑后国内基本面供强需弱，震荡下行</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2752685"/>
      <w:r>
        <w:rPr>
          <w:rFonts w:ascii="Times New Roman" w:eastAsia="楷体" w:hAnsi="Times New Roman" w:hint="eastAsia"/>
          <w:b/>
          <w:color w:val="823C0B"/>
          <w:sz w:val="30"/>
          <w:szCs w:val="30"/>
        </w:rPr>
        <w:lastRenderedPageBreak/>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2752686"/>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51222D" w:rsidRPr="0051222D">
        <w:rPr>
          <w:rFonts w:ascii="Times New Roman" w:eastAsia="楷体" w:hAnsi="Times New Roman" w:hint="eastAsia"/>
          <w:b/>
          <w:color w:val="000000" w:themeColor="text1"/>
          <w:sz w:val="24"/>
          <w:szCs w:val="24"/>
        </w:rPr>
        <w:t>临近</w:t>
      </w:r>
      <w:r w:rsidR="0051222D" w:rsidRPr="0051222D">
        <w:rPr>
          <w:rFonts w:ascii="Times New Roman" w:eastAsia="楷体" w:hAnsi="Times New Roman" w:hint="eastAsia"/>
          <w:b/>
          <w:color w:val="000000" w:themeColor="text1"/>
          <w:sz w:val="24"/>
          <w:szCs w:val="24"/>
        </w:rPr>
        <w:t>12</w:t>
      </w:r>
      <w:r w:rsidR="0051222D" w:rsidRPr="0051222D">
        <w:rPr>
          <w:rFonts w:ascii="Times New Roman" w:eastAsia="楷体" w:hAnsi="Times New Roman" w:hint="eastAsia"/>
          <w:b/>
          <w:color w:val="000000" w:themeColor="text1"/>
          <w:sz w:val="24"/>
          <w:szCs w:val="24"/>
        </w:rPr>
        <w:t>月中旬挺价兑现，多空博弈力度逐渐加剧</w:t>
      </w:r>
      <w:bookmarkEnd w:id="51"/>
    </w:p>
    <w:p w:rsidR="0051222D" w:rsidRPr="0051222D" w:rsidRDefault="0051222D" w:rsidP="0051222D">
      <w:pPr>
        <w:ind w:leftChars="300" w:left="630"/>
        <w:rPr>
          <w:rFonts w:ascii="Times New Roman" w:eastAsia="楷体" w:hAnsi="Times New Roman" w:hint="eastAsia"/>
          <w:color w:val="000000" w:themeColor="text1"/>
          <w:sz w:val="24"/>
          <w:szCs w:val="24"/>
        </w:rPr>
      </w:pPr>
      <w:r w:rsidRPr="0051222D">
        <w:rPr>
          <w:rFonts w:ascii="Times New Roman" w:eastAsia="楷体" w:hAnsi="Times New Roman" w:hint="eastAsia"/>
          <w:color w:val="000000" w:themeColor="text1"/>
          <w:sz w:val="24"/>
          <w:szCs w:val="24"/>
        </w:rPr>
        <w:t>盘面上看，昨日</w:t>
      </w:r>
      <w:r w:rsidRPr="0051222D">
        <w:rPr>
          <w:rFonts w:ascii="Times New Roman" w:eastAsia="楷体" w:hAnsi="Times New Roman" w:hint="eastAsia"/>
          <w:color w:val="000000" w:themeColor="text1"/>
          <w:sz w:val="24"/>
          <w:szCs w:val="24"/>
        </w:rPr>
        <w:t>EC</w:t>
      </w:r>
      <w:r w:rsidRPr="0051222D">
        <w:rPr>
          <w:rFonts w:ascii="Times New Roman" w:eastAsia="楷体" w:hAnsi="Times New Roman" w:hint="eastAsia"/>
          <w:color w:val="000000" w:themeColor="text1"/>
          <w:sz w:val="24"/>
          <w:szCs w:val="24"/>
        </w:rPr>
        <w:t>主力合约在盘中大幅下行一度接近跌停，并于尾盘收窄跌幅。即期运价方面，周一公布</w:t>
      </w:r>
      <w:r w:rsidRPr="0051222D">
        <w:rPr>
          <w:rFonts w:ascii="Times New Roman" w:eastAsia="楷体" w:hAnsi="Times New Roman" w:hint="eastAsia"/>
          <w:color w:val="000000" w:themeColor="text1"/>
          <w:sz w:val="24"/>
          <w:szCs w:val="24"/>
        </w:rPr>
        <w:t>SCFIS</w:t>
      </w:r>
      <w:r w:rsidRPr="0051222D">
        <w:rPr>
          <w:rFonts w:ascii="Times New Roman" w:eastAsia="楷体" w:hAnsi="Times New Roman" w:hint="eastAsia"/>
          <w:color w:val="000000" w:themeColor="text1"/>
          <w:sz w:val="24"/>
          <w:szCs w:val="24"/>
        </w:rPr>
        <w:t>欧线指数下跌</w:t>
      </w:r>
      <w:r w:rsidRPr="0051222D">
        <w:rPr>
          <w:rFonts w:ascii="Times New Roman" w:eastAsia="楷体" w:hAnsi="Times New Roman" w:hint="eastAsia"/>
          <w:color w:val="000000" w:themeColor="text1"/>
          <w:sz w:val="24"/>
          <w:szCs w:val="24"/>
        </w:rPr>
        <w:t>0.2%</w:t>
      </w:r>
      <w:r w:rsidRPr="0051222D">
        <w:rPr>
          <w:rFonts w:ascii="Times New Roman" w:eastAsia="楷体" w:hAnsi="Times New Roman" w:hint="eastAsia"/>
          <w:color w:val="000000" w:themeColor="text1"/>
          <w:sz w:val="24"/>
          <w:szCs w:val="24"/>
        </w:rPr>
        <w:t>，实际数据反映第</w:t>
      </w:r>
      <w:r w:rsidRPr="0051222D">
        <w:rPr>
          <w:rFonts w:ascii="Times New Roman" w:eastAsia="楷体" w:hAnsi="Times New Roman" w:hint="eastAsia"/>
          <w:color w:val="000000" w:themeColor="text1"/>
          <w:sz w:val="24"/>
          <w:szCs w:val="24"/>
        </w:rPr>
        <w:t>48</w:t>
      </w:r>
      <w:r w:rsidRPr="0051222D">
        <w:rPr>
          <w:rFonts w:ascii="Times New Roman" w:eastAsia="楷体" w:hAnsi="Times New Roman" w:hint="eastAsia"/>
          <w:color w:val="000000" w:themeColor="text1"/>
          <w:sz w:val="24"/>
          <w:szCs w:val="24"/>
        </w:rPr>
        <w:t>周的结算运价，稍不如预期。供应端方面，四季度以来市场迎来</w:t>
      </w:r>
      <w:r w:rsidRPr="0051222D">
        <w:rPr>
          <w:rFonts w:ascii="Times New Roman" w:eastAsia="楷体" w:hAnsi="Times New Roman" w:hint="eastAsia"/>
          <w:color w:val="000000" w:themeColor="text1"/>
          <w:sz w:val="24"/>
          <w:szCs w:val="24"/>
        </w:rPr>
        <w:t>3</w:t>
      </w:r>
      <w:r w:rsidRPr="0051222D">
        <w:rPr>
          <w:rFonts w:ascii="Times New Roman" w:eastAsia="楷体" w:hAnsi="Times New Roman" w:hint="eastAsia"/>
          <w:color w:val="000000" w:themeColor="text1"/>
          <w:sz w:val="24"/>
          <w:szCs w:val="24"/>
        </w:rPr>
        <w:t>波密集提价，航运联盟进行了有效的运力控制，马士基将于</w:t>
      </w:r>
      <w:r w:rsidRPr="0051222D">
        <w:rPr>
          <w:rFonts w:ascii="Times New Roman" w:eastAsia="楷体" w:hAnsi="Times New Roman" w:hint="eastAsia"/>
          <w:color w:val="000000" w:themeColor="text1"/>
          <w:sz w:val="24"/>
          <w:szCs w:val="24"/>
        </w:rPr>
        <w:t>12</w:t>
      </w:r>
      <w:r w:rsidRPr="0051222D">
        <w:rPr>
          <w:rFonts w:ascii="Times New Roman" w:eastAsia="楷体" w:hAnsi="Times New Roman" w:hint="eastAsia"/>
          <w:color w:val="000000" w:themeColor="text1"/>
          <w:sz w:val="24"/>
          <w:szCs w:val="24"/>
        </w:rPr>
        <w:t>月</w:t>
      </w:r>
      <w:r w:rsidRPr="0051222D">
        <w:rPr>
          <w:rFonts w:ascii="Times New Roman" w:eastAsia="楷体" w:hAnsi="Times New Roman" w:hint="eastAsia"/>
          <w:color w:val="000000" w:themeColor="text1"/>
          <w:sz w:val="24"/>
          <w:szCs w:val="24"/>
        </w:rPr>
        <w:t>18</w:t>
      </w:r>
      <w:r w:rsidRPr="0051222D">
        <w:rPr>
          <w:rFonts w:ascii="Times New Roman" w:eastAsia="楷体" w:hAnsi="Times New Roman" w:hint="eastAsia"/>
          <w:color w:val="000000" w:themeColor="text1"/>
          <w:sz w:val="24"/>
          <w:szCs w:val="24"/>
        </w:rPr>
        <w:t>日起提涨至</w:t>
      </w:r>
      <w:r w:rsidRPr="0051222D">
        <w:rPr>
          <w:rFonts w:ascii="Times New Roman" w:eastAsia="楷体" w:hAnsi="Times New Roman" w:hint="eastAsia"/>
          <w:color w:val="000000" w:themeColor="text1"/>
          <w:sz w:val="24"/>
          <w:szCs w:val="24"/>
        </w:rPr>
        <w:t>1125</w:t>
      </w:r>
      <w:r w:rsidRPr="0051222D">
        <w:rPr>
          <w:rFonts w:ascii="Times New Roman" w:eastAsia="楷体" w:hAnsi="Times New Roman" w:hint="eastAsia"/>
          <w:color w:val="000000" w:themeColor="text1"/>
          <w:sz w:val="24"/>
          <w:szCs w:val="24"/>
        </w:rPr>
        <w:t>美元</w:t>
      </w:r>
      <w:r w:rsidRPr="0051222D">
        <w:rPr>
          <w:rFonts w:ascii="Times New Roman" w:eastAsia="楷体" w:hAnsi="Times New Roman" w:hint="eastAsia"/>
          <w:color w:val="000000" w:themeColor="text1"/>
          <w:sz w:val="24"/>
          <w:szCs w:val="24"/>
        </w:rPr>
        <w:t>/TEU</w:t>
      </w:r>
      <w:r w:rsidRPr="0051222D">
        <w:rPr>
          <w:rFonts w:ascii="Times New Roman" w:eastAsia="楷体" w:hAnsi="Times New Roman" w:hint="eastAsia"/>
          <w:color w:val="000000" w:themeColor="text1"/>
          <w:sz w:val="24"/>
          <w:szCs w:val="24"/>
        </w:rPr>
        <w:t>和</w:t>
      </w:r>
      <w:r w:rsidRPr="0051222D">
        <w:rPr>
          <w:rFonts w:ascii="Times New Roman" w:eastAsia="楷体" w:hAnsi="Times New Roman" w:hint="eastAsia"/>
          <w:color w:val="000000" w:themeColor="text1"/>
          <w:sz w:val="24"/>
          <w:szCs w:val="24"/>
        </w:rPr>
        <w:t>2100</w:t>
      </w:r>
      <w:r w:rsidRPr="0051222D">
        <w:rPr>
          <w:rFonts w:ascii="Times New Roman" w:eastAsia="楷体" w:hAnsi="Times New Roman" w:hint="eastAsia"/>
          <w:color w:val="000000" w:themeColor="text1"/>
          <w:sz w:val="24"/>
          <w:szCs w:val="24"/>
        </w:rPr>
        <w:t>美元</w:t>
      </w:r>
      <w:r w:rsidRPr="0051222D">
        <w:rPr>
          <w:rFonts w:ascii="Times New Roman" w:eastAsia="楷体" w:hAnsi="Times New Roman" w:hint="eastAsia"/>
          <w:color w:val="000000" w:themeColor="text1"/>
          <w:sz w:val="24"/>
          <w:szCs w:val="24"/>
        </w:rPr>
        <w:t>/FEU</w:t>
      </w:r>
      <w:r w:rsidRPr="0051222D">
        <w:rPr>
          <w:rFonts w:ascii="Times New Roman" w:eastAsia="楷体" w:hAnsi="Times New Roman" w:hint="eastAsia"/>
          <w:color w:val="000000" w:themeColor="text1"/>
          <w:sz w:val="24"/>
          <w:szCs w:val="24"/>
        </w:rPr>
        <w:t>。外需方面，欧洲经济同样出现边际回暖，</w:t>
      </w:r>
      <w:r w:rsidRPr="0051222D">
        <w:rPr>
          <w:rFonts w:ascii="Times New Roman" w:eastAsia="楷体" w:hAnsi="Times New Roman" w:hint="eastAsia"/>
          <w:color w:val="000000" w:themeColor="text1"/>
          <w:sz w:val="24"/>
          <w:szCs w:val="24"/>
        </w:rPr>
        <w:t>11</w:t>
      </w:r>
      <w:r w:rsidRPr="0051222D">
        <w:rPr>
          <w:rFonts w:ascii="Times New Roman" w:eastAsia="楷体" w:hAnsi="Times New Roman" w:hint="eastAsia"/>
          <w:color w:val="000000" w:themeColor="text1"/>
          <w:sz w:val="24"/>
          <w:szCs w:val="24"/>
        </w:rPr>
        <w:t>月欧元区制造业</w:t>
      </w:r>
      <w:r w:rsidRPr="0051222D">
        <w:rPr>
          <w:rFonts w:ascii="Times New Roman" w:eastAsia="楷体" w:hAnsi="Times New Roman" w:hint="eastAsia"/>
          <w:color w:val="000000" w:themeColor="text1"/>
          <w:sz w:val="24"/>
          <w:szCs w:val="24"/>
        </w:rPr>
        <w:t>PMI</w:t>
      </w:r>
      <w:r w:rsidRPr="0051222D">
        <w:rPr>
          <w:rFonts w:ascii="Times New Roman" w:eastAsia="楷体" w:hAnsi="Times New Roman" w:hint="eastAsia"/>
          <w:color w:val="000000" w:themeColor="text1"/>
          <w:sz w:val="24"/>
          <w:szCs w:val="24"/>
        </w:rPr>
        <w:t>数据为</w:t>
      </w:r>
      <w:r w:rsidRPr="0051222D">
        <w:rPr>
          <w:rFonts w:ascii="Times New Roman" w:eastAsia="楷体" w:hAnsi="Times New Roman" w:hint="eastAsia"/>
          <w:color w:val="000000" w:themeColor="text1"/>
          <w:sz w:val="24"/>
          <w:szCs w:val="24"/>
        </w:rPr>
        <w:t>43.8</w:t>
      </w:r>
      <w:r w:rsidRPr="0051222D">
        <w:rPr>
          <w:rFonts w:ascii="Times New Roman" w:eastAsia="楷体" w:hAnsi="Times New Roman" w:hint="eastAsia"/>
          <w:color w:val="000000" w:themeColor="text1"/>
          <w:sz w:val="24"/>
          <w:szCs w:val="24"/>
        </w:rPr>
        <w:t>，超过预期的</w:t>
      </w:r>
      <w:r w:rsidRPr="0051222D">
        <w:rPr>
          <w:rFonts w:ascii="Times New Roman" w:eastAsia="楷体" w:hAnsi="Times New Roman" w:hint="eastAsia"/>
          <w:color w:val="000000" w:themeColor="text1"/>
          <w:sz w:val="24"/>
          <w:szCs w:val="24"/>
        </w:rPr>
        <w:t>43.4</w:t>
      </w:r>
      <w:r w:rsidRPr="0051222D">
        <w:rPr>
          <w:rFonts w:ascii="Times New Roman" w:eastAsia="楷体" w:hAnsi="Times New Roman" w:hint="eastAsia"/>
          <w:color w:val="000000" w:themeColor="text1"/>
          <w:sz w:val="24"/>
          <w:szCs w:val="24"/>
        </w:rPr>
        <w:t>，但依然离荣枯线较远。</w:t>
      </w:r>
    </w:p>
    <w:p w:rsidR="00152664" w:rsidRDefault="0051222D" w:rsidP="0051222D">
      <w:pPr>
        <w:ind w:leftChars="300" w:left="630"/>
        <w:rPr>
          <w:rFonts w:ascii="Times New Roman" w:eastAsia="楷体" w:hAnsi="Times New Roman"/>
          <w:color w:val="000000" w:themeColor="text1"/>
          <w:sz w:val="24"/>
          <w:szCs w:val="24"/>
        </w:rPr>
      </w:pPr>
      <w:r w:rsidRPr="0051222D">
        <w:rPr>
          <w:rFonts w:ascii="Times New Roman" w:eastAsia="楷体" w:hAnsi="Times New Roman" w:hint="eastAsia"/>
          <w:color w:val="000000" w:themeColor="text1"/>
          <w:sz w:val="24"/>
          <w:szCs w:val="24"/>
        </w:rPr>
        <w:t>供需端的短期利好消息提振近期期价致使不断创出近来新高，但今明两年运力供应过剩已成定局。</w:t>
      </w:r>
      <w:r w:rsidRPr="0051222D">
        <w:rPr>
          <w:rFonts w:ascii="Times New Roman" w:eastAsia="楷体" w:hAnsi="Times New Roman" w:hint="eastAsia"/>
          <w:color w:val="000000" w:themeColor="text1"/>
          <w:sz w:val="24"/>
          <w:szCs w:val="24"/>
        </w:rPr>
        <w:t>12</w:t>
      </w:r>
      <w:r w:rsidRPr="0051222D">
        <w:rPr>
          <w:rFonts w:ascii="Times New Roman" w:eastAsia="楷体" w:hAnsi="Times New Roman" w:hint="eastAsia"/>
          <w:color w:val="000000" w:themeColor="text1"/>
          <w:sz w:val="24"/>
          <w:szCs w:val="24"/>
        </w:rPr>
        <w:t>月中为本季度最后一波挺价时间点，长短期的基本面差导致多空博弈激烈，本周五公布</w:t>
      </w:r>
      <w:r w:rsidRPr="0051222D">
        <w:rPr>
          <w:rFonts w:ascii="Times New Roman" w:eastAsia="楷体" w:hAnsi="Times New Roman" w:hint="eastAsia"/>
          <w:color w:val="000000" w:themeColor="text1"/>
          <w:sz w:val="24"/>
          <w:szCs w:val="24"/>
        </w:rPr>
        <w:t>SCFI</w:t>
      </w:r>
      <w:r w:rsidRPr="0051222D">
        <w:rPr>
          <w:rFonts w:ascii="Times New Roman" w:eastAsia="楷体" w:hAnsi="Times New Roman" w:hint="eastAsia"/>
          <w:color w:val="000000" w:themeColor="text1"/>
          <w:sz w:val="24"/>
          <w:szCs w:val="24"/>
        </w:rPr>
        <w:t>欧线数据或因重点反应月中挺价而进一步增长。短期波动剧烈，建议在操作上谨慎等待机会高空为主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42" w:rsidRDefault="00FD7E42">
      <w:r>
        <w:separator/>
      </w:r>
    </w:p>
  </w:endnote>
  <w:endnote w:type="continuationSeparator" w:id="0">
    <w:p w:rsidR="00FD7E42" w:rsidRDefault="00FD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EB8BB3A" wp14:editId="6FF37C4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B56D3">
                            <w:rPr>
                              <w:rFonts w:ascii="Times New Roman" w:eastAsia="楷体" w:hAnsi="Times New Roman" w:cs="Times New Roman"/>
                              <w:b/>
                              <w:noProof/>
                              <w:color w:val="833C0B"/>
                              <w:sz w:val="21"/>
                              <w:lang w:bidi="ar"/>
                            </w:rPr>
                            <w:t>4</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B56D3">
                      <w:rPr>
                        <w:rFonts w:ascii="Times New Roman" w:eastAsia="楷体" w:hAnsi="Times New Roman" w:cs="Times New Roman"/>
                        <w:b/>
                        <w:noProof/>
                        <w:color w:val="833C0B"/>
                        <w:sz w:val="21"/>
                        <w:lang w:bidi="ar"/>
                      </w:rPr>
                      <w:t>4</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42" w:rsidRDefault="00FD7E42">
      <w:r>
        <w:separator/>
      </w:r>
    </w:p>
  </w:footnote>
  <w:footnote w:type="continuationSeparator" w:id="0">
    <w:p w:rsidR="00FD7E42" w:rsidRDefault="00FD7E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59AA1AFB" wp14:editId="6DD9FC80">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AF4AD2D" wp14:editId="47A4867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3F43FB">
      <w:rPr>
        <w:rFonts w:ascii="Times New Roman" w:eastAsia="楷体" w:hAnsi="Times New Roman" w:hint="eastAsia"/>
        <w:b/>
        <w:bCs/>
        <w:noProof/>
        <w:color w:val="833C0B"/>
        <w:sz w:val="21"/>
      </w:rPr>
      <w:t>2023</w:t>
    </w:r>
    <w:r w:rsidR="003F43FB">
      <w:rPr>
        <w:rFonts w:ascii="Times New Roman" w:eastAsia="楷体" w:hAnsi="Times New Roman" w:hint="eastAsia"/>
        <w:b/>
        <w:bCs/>
        <w:noProof/>
        <w:color w:val="833C0B"/>
        <w:sz w:val="21"/>
      </w:rPr>
      <w:t>年</w:t>
    </w:r>
    <w:r w:rsidR="003F43FB">
      <w:rPr>
        <w:rFonts w:ascii="Times New Roman" w:eastAsia="楷体" w:hAnsi="Times New Roman" w:hint="eastAsia"/>
        <w:b/>
        <w:bCs/>
        <w:noProof/>
        <w:color w:val="833C0B"/>
        <w:sz w:val="21"/>
      </w:rPr>
      <w:t>12</w:t>
    </w:r>
    <w:r w:rsidR="003F43FB">
      <w:rPr>
        <w:rFonts w:ascii="Times New Roman" w:eastAsia="楷体" w:hAnsi="Times New Roman" w:hint="eastAsia"/>
        <w:b/>
        <w:bCs/>
        <w:noProof/>
        <w:color w:val="833C0B"/>
        <w:sz w:val="21"/>
      </w:rPr>
      <w:t>月</w:t>
    </w:r>
    <w:r w:rsidR="003F43FB">
      <w:rPr>
        <w:rFonts w:ascii="Times New Roman" w:eastAsia="楷体" w:hAnsi="Times New Roman" w:hint="eastAsia"/>
        <w:b/>
        <w:bCs/>
        <w:noProof/>
        <w:color w:val="833C0B"/>
        <w:sz w:val="21"/>
      </w:rPr>
      <w:t>6</w:t>
    </w:r>
    <w:r w:rsidR="003F43FB">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EB4F8"/>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36397-C586-4EC3-8EC4-2190F7C0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4757</TotalTime>
  <Pages>10</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145</cp:revision>
  <cp:lastPrinted>2023-06-08T02:23:00Z</cp:lastPrinted>
  <dcterms:created xsi:type="dcterms:W3CDTF">2022-11-15T10:06:00Z</dcterms:created>
  <dcterms:modified xsi:type="dcterms:W3CDTF">2023-12-06T02:56:00Z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