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8229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8229A" w:rsidRPr="00AD64CB">
            <w:rPr>
              <w:rStyle w:val="a9"/>
              <w:noProof/>
            </w:rPr>
            <w:fldChar w:fldCharType="begin"/>
          </w:r>
          <w:r w:rsidR="0008229A" w:rsidRPr="00AD64CB">
            <w:rPr>
              <w:rStyle w:val="a9"/>
              <w:noProof/>
            </w:rPr>
            <w:instrText xml:space="preserve"> </w:instrText>
          </w:r>
          <w:r w:rsidR="0008229A">
            <w:rPr>
              <w:noProof/>
            </w:rPr>
            <w:instrText>HYPERLINK \l "_Toc152321325"</w:instrText>
          </w:r>
          <w:r w:rsidR="0008229A" w:rsidRPr="00AD64CB">
            <w:rPr>
              <w:rStyle w:val="a9"/>
              <w:noProof/>
            </w:rPr>
            <w:instrText xml:space="preserve"> </w:instrText>
          </w:r>
          <w:r w:rsidR="0008229A" w:rsidRPr="00AD64CB">
            <w:rPr>
              <w:rStyle w:val="a9"/>
              <w:noProof/>
            </w:rPr>
          </w:r>
          <w:r w:rsidR="0008229A" w:rsidRPr="00AD64CB">
            <w:rPr>
              <w:rStyle w:val="a9"/>
              <w:noProof/>
            </w:rPr>
            <w:fldChar w:fldCharType="separate"/>
          </w:r>
          <w:r w:rsidR="0008229A" w:rsidRPr="00AD64CB">
            <w:rPr>
              <w:rStyle w:val="a9"/>
              <w:rFonts w:ascii="Times New Roman" w:eastAsia="楷体" w:hAnsi="Times New Roman"/>
              <w:b/>
              <w:noProof/>
            </w:rPr>
            <w:t>[</w:t>
          </w:r>
          <w:r w:rsidR="0008229A" w:rsidRPr="00AD64CB">
            <w:rPr>
              <w:rStyle w:val="a9"/>
              <w:rFonts w:ascii="Times New Roman" w:eastAsia="楷体" w:hAnsi="Times New Roman"/>
              <w:b/>
              <w:noProof/>
            </w:rPr>
            <w:t>金融</w:t>
          </w:r>
          <w:r w:rsidR="0008229A" w:rsidRPr="00AD64CB">
            <w:rPr>
              <w:rStyle w:val="a9"/>
              <w:rFonts w:ascii="Times New Roman" w:eastAsia="楷体" w:hAnsi="Times New Roman"/>
              <w:b/>
              <w:noProof/>
            </w:rPr>
            <w:t>]</w:t>
          </w:r>
          <w:r w:rsidR="0008229A" w:rsidRPr="00AD64CB">
            <w:rPr>
              <w:rStyle w:val="a9"/>
              <w:noProof/>
            </w:rPr>
            <w:fldChar w:fldCharType="end"/>
          </w:r>
        </w:p>
        <w:p w:rsidR="0008229A" w:rsidRDefault="0008229A">
          <w:pPr>
            <w:pStyle w:val="23"/>
            <w:tabs>
              <w:tab w:val="right" w:leader="dot" w:pos="8296"/>
            </w:tabs>
            <w:rPr>
              <w:rFonts w:eastAsiaTheme="minorEastAsia"/>
              <w:noProof/>
              <w:szCs w:val="22"/>
            </w:rPr>
          </w:pPr>
          <w:hyperlink w:anchor="_Toc152321326" w:history="1">
            <w:r w:rsidRPr="00AD64CB">
              <w:rPr>
                <w:rStyle w:val="a9"/>
                <w:rFonts w:ascii="Times New Roman" w:eastAsia="楷体" w:hAnsi="Times New Roman"/>
                <w:b/>
                <w:noProof/>
              </w:rPr>
              <w:t>股指：待企稳后，逢低多</w:t>
            </w:r>
          </w:hyperlink>
        </w:p>
        <w:p w:rsidR="0008229A" w:rsidRDefault="0008229A">
          <w:pPr>
            <w:pStyle w:val="11"/>
            <w:tabs>
              <w:tab w:val="right" w:leader="dot" w:pos="8296"/>
            </w:tabs>
            <w:rPr>
              <w:rFonts w:eastAsiaTheme="minorEastAsia"/>
              <w:noProof/>
              <w:szCs w:val="22"/>
            </w:rPr>
          </w:pPr>
          <w:hyperlink w:anchor="_Toc152321327" w:history="1">
            <w:r w:rsidRPr="00AD64CB">
              <w:rPr>
                <w:rStyle w:val="a9"/>
                <w:rFonts w:ascii="Times New Roman" w:eastAsia="楷体" w:hAnsi="Times New Roman"/>
                <w:b/>
                <w:noProof/>
              </w:rPr>
              <w:t>[</w:t>
            </w:r>
            <w:r w:rsidRPr="00AD64CB">
              <w:rPr>
                <w:rStyle w:val="a9"/>
                <w:rFonts w:ascii="Times New Roman" w:eastAsia="楷体" w:hAnsi="Times New Roman"/>
                <w:b/>
                <w:noProof/>
              </w:rPr>
              <w:t>贵金属</w:t>
            </w:r>
            <w:r w:rsidRPr="00AD64CB">
              <w:rPr>
                <w:rStyle w:val="a9"/>
                <w:rFonts w:ascii="Times New Roman" w:eastAsia="楷体" w:hAnsi="Times New Roman"/>
                <w:b/>
                <w:noProof/>
              </w:rPr>
              <w:t>]</w:t>
            </w:r>
          </w:hyperlink>
        </w:p>
        <w:p w:rsidR="0008229A" w:rsidRDefault="0008229A">
          <w:pPr>
            <w:pStyle w:val="23"/>
            <w:tabs>
              <w:tab w:val="right" w:leader="dot" w:pos="8296"/>
            </w:tabs>
            <w:rPr>
              <w:rFonts w:eastAsiaTheme="minorEastAsia"/>
              <w:noProof/>
              <w:szCs w:val="22"/>
            </w:rPr>
          </w:pPr>
          <w:hyperlink w:anchor="_Toc152321328" w:history="1">
            <w:r w:rsidRPr="00AD64CB">
              <w:rPr>
                <w:rStyle w:val="a9"/>
                <w:rFonts w:ascii="Times New Roman" w:eastAsia="楷体" w:hAnsi="Times New Roman"/>
                <w:b/>
                <w:noProof/>
              </w:rPr>
              <w:t>贵金属：美国通胀及劳动力市场降温，贵金属价格震荡偏强</w:t>
            </w:r>
          </w:hyperlink>
        </w:p>
        <w:p w:rsidR="0008229A" w:rsidRDefault="0008229A">
          <w:pPr>
            <w:pStyle w:val="11"/>
            <w:tabs>
              <w:tab w:val="right" w:leader="dot" w:pos="8296"/>
            </w:tabs>
            <w:rPr>
              <w:rFonts w:eastAsiaTheme="minorEastAsia"/>
              <w:noProof/>
              <w:szCs w:val="22"/>
            </w:rPr>
          </w:pPr>
          <w:hyperlink w:anchor="_Toc152321329" w:history="1">
            <w:r w:rsidRPr="00AD64CB">
              <w:rPr>
                <w:rStyle w:val="a9"/>
                <w:rFonts w:ascii="Times New Roman" w:eastAsia="楷体" w:hAnsi="Times New Roman"/>
                <w:b/>
                <w:noProof/>
              </w:rPr>
              <w:t>[</w:t>
            </w:r>
            <w:r w:rsidRPr="00AD64CB">
              <w:rPr>
                <w:rStyle w:val="a9"/>
                <w:rFonts w:ascii="Times New Roman" w:eastAsia="楷体" w:hAnsi="Times New Roman"/>
                <w:b/>
                <w:noProof/>
              </w:rPr>
              <w:t>金属</w:t>
            </w:r>
            <w:r w:rsidRPr="00AD64CB">
              <w:rPr>
                <w:rStyle w:val="a9"/>
                <w:rFonts w:ascii="Times New Roman" w:eastAsia="楷体" w:hAnsi="Times New Roman"/>
                <w:b/>
                <w:noProof/>
              </w:rPr>
              <w:t>]</w:t>
            </w:r>
          </w:hyperlink>
        </w:p>
        <w:p w:rsidR="0008229A" w:rsidRDefault="0008229A">
          <w:pPr>
            <w:pStyle w:val="23"/>
            <w:tabs>
              <w:tab w:val="right" w:leader="dot" w:pos="8296"/>
            </w:tabs>
            <w:rPr>
              <w:rFonts w:eastAsiaTheme="minorEastAsia"/>
              <w:noProof/>
              <w:szCs w:val="22"/>
            </w:rPr>
          </w:pPr>
          <w:hyperlink w:anchor="_Toc152321330" w:history="1">
            <w:r w:rsidRPr="00AD64CB">
              <w:rPr>
                <w:rStyle w:val="a9"/>
                <w:rFonts w:ascii="楷体" w:eastAsia="楷体" w:hAnsi="楷体"/>
                <w:b/>
                <w:noProof/>
              </w:rPr>
              <w:t>碳酸锂：现货价格下行，期价维持跌势</w:t>
            </w:r>
          </w:hyperlink>
        </w:p>
        <w:p w:rsidR="0008229A" w:rsidRDefault="0008229A">
          <w:pPr>
            <w:pStyle w:val="23"/>
            <w:tabs>
              <w:tab w:val="right" w:leader="dot" w:pos="8296"/>
            </w:tabs>
            <w:rPr>
              <w:rFonts w:eastAsiaTheme="minorEastAsia"/>
              <w:noProof/>
              <w:szCs w:val="22"/>
            </w:rPr>
          </w:pPr>
          <w:hyperlink w:anchor="_Toc152321331" w:history="1">
            <w:r w:rsidRPr="00AD64CB">
              <w:rPr>
                <w:rStyle w:val="a9"/>
                <w:rFonts w:ascii="楷体" w:eastAsia="楷体" w:hAnsi="楷体"/>
                <w:b/>
                <w:noProof/>
              </w:rPr>
              <w:t>螺纹钢：季节性累库，高位震荡</w:t>
            </w:r>
          </w:hyperlink>
        </w:p>
        <w:p w:rsidR="0008229A" w:rsidRDefault="0008229A">
          <w:pPr>
            <w:pStyle w:val="23"/>
            <w:tabs>
              <w:tab w:val="right" w:leader="dot" w:pos="8296"/>
            </w:tabs>
            <w:rPr>
              <w:rFonts w:eastAsiaTheme="minorEastAsia"/>
              <w:noProof/>
              <w:szCs w:val="22"/>
            </w:rPr>
          </w:pPr>
          <w:hyperlink w:anchor="_Toc152321332" w:history="1">
            <w:r w:rsidRPr="00AD64CB">
              <w:rPr>
                <w:rStyle w:val="a9"/>
                <w:rFonts w:ascii="楷体" w:eastAsia="楷体" w:hAnsi="楷体"/>
                <w:b/>
                <w:noProof/>
              </w:rPr>
              <w:t>焦炭：第二轮提涨落地，盘面高位偏强震荡</w:t>
            </w:r>
          </w:hyperlink>
        </w:p>
        <w:p w:rsidR="0008229A" w:rsidRDefault="0008229A">
          <w:pPr>
            <w:pStyle w:val="23"/>
            <w:tabs>
              <w:tab w:val="right" w:leader="dot" w:pos="8296"/>
            </w:tabs>
            <w:rPr>
              <w:rFonts w:eastAsiaTheme="minorEastAsia"/>
              <w:noProof/>
              <w:szCs w:val="22"/>
            </w:rPr>
          </w:pPr>
          <w:hyperlink w:anchor="_Toc152321333" w:history="1">
            <w:r w:rsidRPr="00AD64CB">
              <w:rPr>
                <w:rStyle w:val="a9"/>
                <w:rFonts w:ascii="楷体" w:eastAsia="楷体" w:hAnsi="楷体"/>
                <w:b/>
                <w:noProof/>
              </w:rPr>
              <w:t>焦煤：供应持续低位，补库周期下震荡上行</w:t>
            </w:r>
          </w:hyperlink>
        </w:p>
        <w:p w:rsidR="0008229A" w:rsidRDefault="0008229A">
          <w:pPr>
            <w:pStyle w:val="23"/>
            <w:tabs>
              <w:tab w:val="right" w:leader="dot" w:pos="8296"/>
            </w:tabs>
            <w:rPr>
              <w:rFonts w:eastAsiaTheme="minorEastAsia"/>
              <w:noProof/>
              <w:szCs w:val="22"/>
            </w:rPr>
          </w:pPr>
          <w:hyperlink w:anchor="_Toc152321334" w:history="1">
            <w:r w:rsidRPr="00AD64CB">
              <w:rPr>
                <w:rStyle w:val="a9"/>
                <w:rFonts w:ascii="楷体" w:eastAsia="楷体" w:hAnsi="楷体"/>
                <w:b/>
                <w:noProof/>
              </w:rPr>
              <w:t>铜：美国通胀持续回落，铜价延续高位震荡</w:t>
            </w:r>
          </w:hyperlink>
        </w:p>
        <w:p w:rsidR="0008229A" w:rsidRDefault="0008229A">
          <w:pPr>
            <w:pStyle w:val="23"/>
            <w:tabs>
              <w:tab w:val="right" w:leader="dot" w:pos="8296"/>
            </w:tabs>
            <w:rPr>
              <w:rFonts w:eastAsiaTheme="minorEastAsia"/>
              <w:noProof/>
              <w:szCs w:val="22"/>
            </w:rPr>
          </w:pPr>
          <w:hyperlink w:anchor="_Toc152321335" w:history="1">
            <w:r w:rsidRPr="00AD64CB">
              <w:rPr>
                <w:rStyle w:val="a9"/>
                <w:rFonts w:ascii="楷体" w:eastAsia="楷体" w:hAnsi="楷体"/>
                <w:b/>
                <w:noProof/>
              </w:rPr>
              <w:t>铝：铝：铝价下方有限，关注区间低多机会</w:t>
            </w:r>
          </w:hyperlink>
        </w:p>
        <w:p w:rsidR="0008229A" w:rsidRDefault="0008229A">
          <w:pPr>
            <w:pStyle w:val="23"/>
            <w:tabs>
              <w:tab w:val="right" w:leader="dot" w:pos="8296"/>
            </w:tabs>
            <w:rPr>
              <w:rFonts w:eastAsiaTheme="minorEastAsia"/>
              <w:noProof/>
              <w:szCs w:val="22"/>
            </w:rPr>
          </w:pPr>
          <w:hyperlink w:anchor="_Toc152321336" w:history="1">
            <w:r w:rsidRPr="00AD64CB">
              <w:rPr>
                <w:rStyle w:val="a9"/>
                <w:rFonts w:ascii="楷体" w:eastAsia="楷体" w:hAnsi="楷体"/>
                <w:b/>
                <w:noProof/>
              </w:rPr>
              <w:t>锌：供应过剩预期显化，锌价仍有向弱可能</w:t>
            </w:r>
          </w:hyperlink>
        </w:p>
        <w:p w:rsidR="0008229A" w:rsidRDefault="0008229A">
          <w:pPr>
            <w:pStyle w:val="23"/>
            <w:tabs>
              <w:tab w:val="right" w:leader="dot" w:pos="8296"/>
            </w:tabs>
            <w:rPr>
              <w:rFonts w:eastAsiaTheme="minorEastAsia"/>
              <w:noProof/>
              <w:szCs w:val="22"/>
            </w:rPr>
          </w:pPr>
          <w:hyperlink w:anchor="_Toc152321337" w:history="1">
            <w:r w:rsidRPr="00AD64CB">
              <w:rPr>
                <w:rStyle w:val="a9"/>
                <w:rFonts w:ascii="楷体" w:eastAsia="楷体" w:hAnsi="楷体"/>
                <w:b/>
                <w:noProof/>
              </w:rPr>
              <w:t>镍：供应过剩压力仍持续，镍价反弹空间有限</w:t>
            </w:r>
          </w:hyperlink>
        </w:p>
        <w:p w:rsidR="0008229A" w:rsidRDefault="0008229A">
          <w:pPr>
            <w:pStyle w:val="23"/>
            <w:tabs>
              <w:tab w:val="right" w:leader="dot" w:pos="8296"/>
            </w:tabs>
            <w:rPr>
              <w:rFonts w:eastAsiaTheme="minorEastAsia"/>
              <w:noProof/>
              <w:szCs w:val="22"/>
            </w:rPr>
          </w:pPr>
          <w:hyperlink w:anchor="_Toc152321338" w:history="1">
            <w:r w:rsidRPr="00AD64CB">
              <w:rPr>
                <w:rStyle w:val="a9"/>
                <w:rFonts w:ascii="楷体" w:eastAsia="楷体" w:hAnsi="楷体"/>
                <w:b/>
                <w:noProof/>
              </w:rPr>
              <w:t>铅：铝价上方压力仍存</w:t>
            </w:r>
          </w:hyperlink>
        </w:p>
        <w:p w:rsidR="0008229A" w:rsidRDefault="0008229A">
          <w:pPr>
            <w:pStyle w:val="23"/>
            <w:tabs>
              <w:tab w:val="right" w:leader="dot" w:pos="8296"/>
            </w:tabs>
            <w:rPr>
              <w:rFonts w:eastAsiaTheme="minorEastAsia"/>
              <w:noProof/>
              <w:szCs w:val="22"/>
            </w:rPr>
          </w:pPr>
          <w:hyperlink w:anchor="_Toc152321339" w:history="1">
            <w:r w:rsidRPr="00AD64CB">
              <w:rPr>
                <w:rStyle w:val="a9"/>
                <w:rFonts w:ascii="楷体" w:eastAsia="楷体" w:hAnsi="楷体"/>
                <w:b/>
                <w:noProof/>
              </w:rPr>
              <w:t>不锈钢：镍铁指数消息提振，但暂无明显反弹驱动</w:t>
            </w:r>
          </w:hyperlink>
        </w:p>
        <w:p w:rsidR="0008229A" w:rsidRDefault="0008229A">
          <w:pPr>
            <w:pStyle w:val="23"/>
            <w:tabs>
              <w:tab w:val="right" w:leader="dot" w:pos="8296"/>
            </w:tabs>
            <w:rPr>
              <w:rFonts w:eastAsiaTheme="minorEastAsia"/>
              <w:noProof/>
              <w:szCs w:val="22"/>
            </w:rPr>
          </w:pPr>
          <w:hyperlink w:anchor="_Toc152321340" w:history="1">
            <w:r w:rsidRPr="00AD64CB">
              <w:rPr>
                <w:rStyle w:val="a9"/>
                <w:rFonts w:ascii="楷体" w:eastAsia="楷体" w:hAnsi="楷体"/>
                <w:b/>
                <w:noProof/>
              </w:rPr>
              <w:t>工业硅：西南计划陆续停产，短期下行或有限</w:t>
            </w:r>
          </w:hyperlink>
        </w:p>
        <w:p w:rsidR="0008229A" w:rsidRDefault="0008229A">
          <w:pPr>
            <w:pStyle w:val="11"/>
            <w:tabs>
              <w:tab w:val="right" w:leader="dot" w:pos="8296"/>
            </w:tabs>
            <w:rPr>
              <w:rFonts w:eastAsiaTheme="minorEastAsia"/>
              <w:noProof/>
              <w:szCs w:val="22"/>
            </w:rPr>
          </w:pPr>
          <w:hyperlink w:anchor="_Toc152321341" w:history="1">
            <w:r w:rsidRPr="00AD64CB">
              <w:rPr>
                <w:rStyle w:val="a9"/>
                <w:rFonts w:ascii="Times New Roman" w:eastAsia="楷体" w:hAnsi="Times New Roman"/>
                <w:b/>
                <w:noProof/>
              </w:rPr>
              <w:t>[</w:t>
            </w:r>
            <w:r w:rsidRPr="00AD64CB">
              <w:rPr>
                <w:rStyle w:val="a9"/>
                <w:rFonts w:ascii="Times New Roman" w:eastAsia="楷体" w:hAnsi="Times New Roman"/>
                <w:b/>
                <w:noProof/>
              </w:rPr>
              <w:t>化工</w:t>
            </w:r>
            <w:r w:rsidRPr="00AD64CB">
              <w:rPr>
                <w:rStyle w:val="a9"/>
                <w:rFonts w:ascii="Times New Roman" w:eastAsia="楷体" w:hAnsi="Times New Roman"/>
                <w:b/>
                <w:noProof/>
              </w:rPr>
              <w:t>]</w:t>
            </w:r>
          </w:hyperlink>
        </w:p>
        <w:p w:rsidR="0008229A" w:rsidRDefault="0008229A">
          <w:pPr>
            <w:pStyle w:val="23"/>
            <w:tabs>
              <w:tab w:val="right" w:leader="dot" w:pos="8296"/>
            </w:tabs>
            <w:rPr>
              <w:rFonts w:eastAsiaTheme="minorEastAsia"/>
              <w:noProof/>
              <w:szCs w:val="22"/>
            </w:rPr>
          </w:pPr>
          <w:hyperlink w:anchor="_Toc152321342" w:history="1">
            <w:r w:rsidRPr="00AD64CB">
              <w:rPr>
                <w:rStyle w:val="a9"/>
                <w:rFonts w:ascii="Times New Roman" w:eastAsia="楷体" w:hAnsi="Times New Roman"/>
                <w:b/>
                <w:noProof/>
              </w:rPr>
              <w:t>天然橡胶</w:t>
            </w:r>
            <w:r w:rsidRPr="00AD64CB">
              <w:rPr>
                <w:rStyle w:val="a9"/>
                <w:rFonts w:ascii="Times New Roman" w:eastAsia="楷体" w:hAnsi="Times New Roman"/>
                <w:b/>
                <w:noProof/>
              </w:rPr>
              <w:t>:</w:t>
            </w:r>
            <w:r w:rsidRPr="00AD64CB">
              <w:rPr>
                <w:rStyle w:val="a9"/>
                <w:rFonts w:ascii="楷体" w:eastAsia="楷体" w:hAnsi="楷体"/>
                <w:b/>
                <w:noProof/>
              </w:rPr>
              <w:t xml:space="preserve"> 多空双方在关键支撑位博弈激烈，建议谨慎观望为主</w:t>
            </w:r>
          </w:hyperlink>
        </w:p>
        <w:p w:rsidR="0008229A" w:rsidRDefault="0008229A">
          <w:pPr>
            <w:pStyle w:val="23"/>
            <w:tabs>
              <w:tab w:val="right" w:leader="dot" w:pos="8296"/>
            </w:tabs>
            <w:rPr>
              <w:rFonts w:eastAsiaTheme="minorEastAsia"/>
              <w:noProof/>
              <w:szCs w:val="22"/>
            </w:rPr>
          </w:pPr>
          <w:hyperlink w:anchor="_Toc152321343" w:history="1">
            <w:r w:rsidRPr="00AD64CB">
              <w:rPr>
                <w:rStyle w:val="a9"/>
                <w:rFonts w:ascii="楷体" w:eastAsia="楷体" w:hAnsi="楷体"/>
                <w:b/>
                <w:noProof/>
              </w:rPr>
              <w:t>PTA：</w:t>
            </w:r>
            <w:r w:rsidRPr="00AD64CB">
              <w:rPr>
                <w:rStyle w:val="a9"/>
                <w:rFonts w:ascii="Calibri" w:eastAsia="楷体" w:hAnsi="Calibri" w:cs="Calibri"/>
                <w:b/>
                <w:noProof/>
              </w:rPr>
              <w:t> </w:t>
            </w:r>
            <w:r w:rsidRPr="00AD64CB">
              <w:rPr>
                <w:rStyle w:val="a9"/>
                <w:rFonts w:ascii="Calibri" w:eastAsia="楷体" w:hAnsi="Calibri" w:cs="Calibri"/>
                <w:b/>
                <w:noProof/>
              </w:rPr>
              <w:t>供需矛盾不突出</w:t>
            </w:r>
            <w:r w:rsidRPr="00AD64CB">
              <w:rPr>
                <w:rStyle w:val="a9"/>
                <w:rFonts w:ascii="Calibri" w:eastAsia="楷体" w:hAnsi="Calibri" w:cs="Calibri"/>
                <w:b/>
                <w:noProof/>
              </w:rPr>
              <w:t xml:space="preserve"> </w:t>
            </w:r>
            <w:r w:rsidRPr="00AD64CB">
              <w:rPr>
                <w:rStyle w:val="a9"/>
                <w:rFonts w:ascii="Calibri" w:eastAsia="楷体" w:hAnsi="Calibri" w:cs="Calibri"/>
                <w:b/>
                <w:noProof/>
              </w:rPr>
              <w:t>短期调整</w:t>
            </w:r>
          </w:hyperlink>
        </w:p>
        <w:p w:rsidR="0008229A" w:rsidRDefault="0008229A">
          <w:pPr>
            <w:pStyle w:val="23"/>
            <w:tabs>
              <w:tab w:val="right" w:leader="dot" w:pos="8296"/>
            </w:tabs>
            <w:rPr>
              <w:rFonts w:eastAsiaTheme="minorEastAsia"/>
              <w:noProof/>
              <w:szCs w:val="22"/>
            </w:rPr>
          </w:pPr>
          <w:hyperlink w:anchor="_Toc152321344" w:history="1">
            <w:r w:rsidRPr="00AD64CB">
              <w:rPr>
                <w:rStyle w:val="a9"/>
                <w:rFonts w:ascii="楷体" w:eastAsia="楷体" w:hAnsi="楷体"/>
                <w:b/>
                <w:noProof/>
              </w:rPr>
              <w:t>聚烯烃：需求季节性淡季 聚烯烃建议逢高做空</w:t>
            </w:r>
          </w:hyperlink>
        </w:p>
        <w:p w:rsidR="0008229A" w:rsidRDefault="0008229A">
          <w:pPr>
            <w:pStyle w:val="23"/>
            <w:tabs>
              <w:tab w:val="right" w:leader="dot" w:pos="8296"/>
            </w:tabs>
            <w:rPr>
              <w:rFonts w:eastAsiaTheme="minorEastAsia"/>
              <w:noProof/>
              <w:szCs w:val="22"/>
            </w:rPr>
          </w:pPr>
          <w:hyperlink w:anchor="_Toc152321345" w:history="1">
            <w:r w:rsidRPr="00AD64CB">
              <w:rPr>
                <w:rStyle w:val="a9"/>
                <w:rFonts w:ascii="楷体" w:eastAsia="楷体" w:hAnsi="楷体"/>
                <w:b/>
                <w:noProof/>
              </w:rPr>
              <w:t>MEG：关注低多机会</w:t>
            </w:r>
          </w:hyperlink>
        </w:p>
        <w:p w:rsidR="0008229A" w:rsidRDefault="0008229A">
          <w:pPr>
            <w:pStyle w:val="23"/>
            <w:tabs>
              <w:tab w:val="right" w:leader="dot" w:pos="8296"/>
            </w:tabs>
            <w:rPr>
              <w:rFonts w:eastAsiaTheme="minorEastAsia"/>
              <w:noProof/>
              <w:szCs w:val="22"/>
            </w:rPr>
          </w:pPr>
          <w:hyperlink w:anchor="_Toc152321346" w:history="1">
            <w:r w:rsidRPr="00AD64CB">
              <w:rPr>
                <w:rStyle w:val="a9"/>
                <w:rFonts w:ascii="楷体" w:eastAsia="楷体" w:hAnsi="楷体"/>
                <w:b/>
                <w:noProof/>
              </w:rPr>
              <w:t>玻璃：连续两周去库，库存低位下关注现货是否有挺价情况</w:t>
            </w:r>
          </w:hyperlink>
        </w:p>
        <w:p w:rsidR="0008229A" w:rsidRDefault="0008229A">
          <w:pPr>
            <w:pStyle w:val="23"/>
            <w:tabs>
              <w:tab w:val="right" w:leader="dot" w:pos="8296"/>
            </w:tabs>
            <w:rPr>
              <w:rFonts w:eastAsiaTheme="minorEastAsia"/>
              <w:noProof/>
              <w:szCs w:val="22"/>
            </w:rPr>
          </w:pPr>
          <w:hyperlink w:anchor="_Toc152321347" w:history="1">
            <w:r w:rsidRPr="00AD64CB">
              <w:rPr>
                <w:rStyle w:val="a9"/>
                <w:rFonts w:ascii="楷体" w:eastAsia="楷体" w:hAnsi="楷体"/>
                <w:b/>
                <w:noProof/>
              </w:rPr>
              <w:t>纯碱：现货有价无市，远月补涨</w:t>
            </w:r>
          </w:hyperlink>
        </w:p>
        <w:p w:rsidR="0008229A" w:rsidRDefault="0008229A">
          <w:pPr>
            <w:pStyle w:val="11"/>
            <w:tabs>
              <w:tab w:val="right" w:leader="dot" w:pos="8296"/>
            </w:tabs>
            <w:rPr>
              <w:rFonts w:eastAsiaTheme="minorEastAsia"/>
              <w:noProof/>
              <w:szCs w:val="22"/>
            </w:rPr>
          </w:pPr>
          <w:hyperlink w:anchor="_Toc152321348" w:history="1">
            <w:r w:rsidRPr="00AD64CB">
              <w:rPr>
                <w:rStyle w:val="a9"/>
                <w:rFonts w:ascii="Times New Roman" w:eastAsia="楷体" w:hAnsi="Times New Roman"/>
                <w:b/>
                <w:noProof/>
              </w:rPr>
              <w:t>[</w:t>
            </w:r>
            <w:r w:rsidRPr="00AD64CB">
              <w:rPr>
                <w:rStyle w:val="a9"/>
                <w:rFonts w:ascii="Times New Roman" w:eastAsia="楷体" w:hAnsi="Times New Roman"/>
                <w:b/>
                <w:noProof/>
              </w:rPr>
              <w:t>农产品</w:t>
            </w:r>
            <w:r w:rsidRPr="00AD64CB">
              <w:rPr>
                <w:rStyle w:val="a9"/>
                <w:rFonts w:ascii="Times New Roman" w:eastAsia="楷体" w:hAnsi="Times New Roman"/>
                <w:b/>
                <w:noProof/>
              </w:rPr>
              <w:t>]</w:t>
            </w:r>
          </w:hyperlink>
        </w:p>
        <w:p w:rsidR="0008229A" w:rsidRDefault="0008229A">
          <w:pPr>
            <w:pStyle w:val="23"/>
            <w:tabs>
              <w:tab w:val="right" w:leader="dot" w:pos="8296"/>
            </w:tabs>
            <w:rPr>
              <w:rFonts w:eastAsiaTheme="minorEastAsia"/>
              <w:noProof/>
              <w:szCs w:val="22"/>
            </w:rPr>
          </w:pPr>
          <w:hyperlink w:anchor="_Toc152321349" w:history="1">
            <w:r w:rsidRPr="00AD64CB">
              <w:rPr>
                <w:rStyle w:val="a9"/>
                <w:rFonts w:ascii="楷体" w:eastAsia="楷体" w:hAnsi="楷体"/>
                <w:b/>
                <w:noProof/>
              </w:rPr>
              <w:t>豆粕/菜粕：偏弱震荡</w:t>
            </w:r>
          </w:hyperlink>
        </w:p>
        <w:p w:rsidR="0008229A" w:rsidRDefault="0008229A">
          <w:pPr>
            <w:pStyle w:val="23"/>
            <w:tabs>
              <w:tab w:val="right" w:leader="dot" w:pos="8296"/>
            </w:tabs>
            <w:rPr>
              <w:rFonts w:eastAsiaTheme="minorEastAsia"/>
              <w:noProof/>
              <w:szCs w:val="22"/>
            </w:rPr>
          </w:pPr>
          <w:hyperlink w:anchor="_Toc152321350" w:history="1">
            <w:r w:rsidRPr="00AD64CB">
              <w:rPr>
                <w:rStyle w:val="a9"/>
                <w:rFonts w:ascii="楷体" w:eastAsia="楷体" w:hAnsi="楷体"/>
                <w:b/>
                <w:noProof/>
              </w:rPr>
              <w:t>油脂：维持宽幅震荡，缺乏单边驱动</w:t>
            </w:r>
          </w:hyperlink>
        </w:p>
        <w:p w:rsidR="0008229A" w:rsidRDefault="0008229A">
          <w:pPr>
            <w:pStyle w:val="23"/>
            <w:tabs>
              <w:tab w:val="right" w:leader="dot" w:pos="8296"/>
            </w:tabs>
            <w:rPr>
              <w:rFonts w:eastAsiaTheme="minorEastAsia"/>
              <w:noProof/>
              <w:szCs w:val="22"/>
            </w:rPr>
          </w:pPr>
          <w:hyperlink w:anchor="_Toc152321351" w:history="1">
            <w:r w:rsidRPr="00AD64CB">
              <w:rPr>
                <w:rStyle w:val="a9"/>
                <w:rFonts w:ascii="楷体" w:eastAsia="楷体" w:hAnsi="楷体"/>
                <w:b/>
                <w:bCs/>
                <w:noProof/>
              </w:rPr>
              <w:t>玉米与淀粉：</w:t>
            </w:r>
            <w:r w:rsidRPr="00AD64CB">
              <w:rPr>
                <w:rStyle w:val="a9"/>
                <w:rFonts w:ascii="楷体" w:eastAsia="楷体" w:hAnsi="楷体"/>
                <w:b/>
                <w:noProof/>
              </w:rPr>
              <w:t>现货弱势未改</w:t>
            </w:r>
          </w:hyperlink>
        </w:p>
        <w:p w:rsidR="0008229A" w:rsidRDefault="0008229A">
          <w:pPr>
            <w:pStyle w:val="23"/>
            <w:tabs>
              <w:tab w:val="right" w:leader="dot" w:pos="8296"/>
            </w:tabs>
            <w:rPr>
              <w:rFonts w:eastAsiaTheme="minorEastAsia"/>
              <w:noProof/>
              <w:szCs w:val="22"/>
            </w:rPr>
          </w:pPr>
          <w:hyperlink w:anchor="_Toc152321352" w:history="1">
            <w:r w:rsidRPr="00AD64CB">
              <w:rPr>
                <w:rStyle w:val="a9"/>
                <w:rFonts w:ascii="楷体" w:eastAsia="楷体" w:hAnsi="楷体"/>
                <w:b/>
                <w:bCs/>
                <w:noProof/>
              </w:rPr>
              <w:t>畜禽养殖：生猪基差持续走强</w:t>
            </w:r>
          </w:hyperlink>
        </w:p>
        <w:p w:rsidR="0008229A" w:rsidRDefault="0008229A">
          <w:pPr>
            <w:pStyle w:val="23"/>
            <w:tabs>
              <w:tab w:val="right" w:leader="dot" w:pos="8296"/>
            </w:tabs>
            <w:rPr>
              <w:rFonts w:eastAsiaTheme="minorEastAsia"/>
              <w:noProof/>
              <w:szCs w:val="22"/>
            </w:rPr>
          </w:pPr>
          <w:hyperlink w:anchor="_Toc152321353" w:history="1">
            <w:r w:rsidRPr="00AD64CB">
              <w:rPr>
                <w:rStyle w:val="a9"/>
                <w:rFonts w:ascii="楷体" w:eastAsia="楷体" w:hAnsi="楷体"/>
                <w:b/>
                <w:noProof/>
              </w:rPr>
              <w:t>郑棉：小幅反弹，1.55关口承压</w:t>
            </w:r>
          </w:hyperlink>
        </w:p>
        <w:p w:rsidR="0008229A" w:rsidRDefault="0008229A">
          <w:pPr>
            <w:pStyle w:val="23"/>
            <w:tabs>
              <w:tab w:val="right" w:leader="dot" w:pos="8296"/>
            </w:tabs>
            <w:rPr>
              <w:rFonts w:eastAsiaTheme="minorEastAsia"/>
              <w:noProof/>
              <w:szCs w:val="22"/>
            </w:rPr>
          </w:pPr>
          <w:hyperlink w:anchor="_Toc152321354" w:history="1">
            <w:r w:rsidRPr="00AD64CB">
              <w:rPr>
                <w:rStyle w:val="a9"/>
                <w:rFonts w:ascii="楷体" w:eastAsia="楷体" w:hAnsi="楷体"/>
                <w:b/>
                <w:noProof/>
              </w:rPr>
              <w:t>白糖：震荡偏弱，有向下破位可能</w:t>
            </w:r>
          </w:hyperlink>
        </w:p>
        <w:p w:rsidR="0008229A" w:rsidRDefault="0008229A">
          <w:pPr>
            <w:pStyle w:val="11"/>
            <w:tabs>
              <w:tab w:val="right" w:leader="dot" w:pos="8296"/>
            </w:tabs>
            <w:rPr>
              <w:rFonts w:eastAsiaTheme="minorEastAsia"/>
              <w:noProof/>
              <w:szCs w:val="22"/>
            </w:rPr>
          </w:pPr>
          <w:hyperlink w:anchor="_Toc152321355" w:history="1">
            <w:r w:rsidRPr="00AD64CB">
              <w:rPr>
                <w:rStyle w:val="a9"/>
                <w:rFonts w:ascii="Times New Roman" w:eastAsia="楷体" w:hAnsi="Times New Roman"/>
                <w:b/>
                <w:noProof/>
              </w:rPr>
              <w:t>[</w:t>
            </w:r>
            <w:r w:rsidRPr="00AD64CB">
              <w:rPr>
                <w:rStyle w:val="a9"/>
                <w:rFonts w:ascii="Times New Roman" w:eastAsia="楷体" w:hAnsi="Times New Roman"/>
                <w:b/>
                <w:noProof/>
              </w:rPr>
              <w:t>指数</w:t>
            </w:r>
            <w:r w:rsidRPr="00AD64CB">
              <w:rPr>
                <w:rStyle w:val="a9"/>
                <w:rFonts w:ascii="Times New Roman" w:eastAsia="楷体" w:hAnsi="Times New Roman"/>
                <w:b/>
                <w:noProof/>
              </w:rPr>
              <w:t>]</w:t>
            </w:r>
          </w:hyperlink>
        </w:p>
        <w:p w:rsidR="0008229A" w:rsidRDefault="0008229A">
          <w:pPr>
            <w:pStyle w:val="23"/>
            <w:tabs>
              <w:tab w:val="right" w:leader="dot" w:pos="8296"/>
            </w:tabs>
            <w:rPr>
              <w:rFonts w:eastAsiaTheme="minorEastAsia"/>
              <w:noProof/>
              <w:szCs w:val="22"/>
            </w:rPr>
          </w:pPr>
          <w:hyperlink w:anchor="_Toc152321356" w:history="1">
            <w:r w:rsidRPr="00AD64CB">
              <w:rPr>
                <w:rStyle w:val="a9"/>
                <w:rFonts w:ascii="Times New Roman" w:eastAsia="楷体" w:hAnsi="Times New Roman"/>
                <w:b/>
                <w:noProof/>
              </w:rPr>
              <w:t>集运指数（欧线）：货运量增加支撑</w:t>
            </w:r>
            <w:r w:rsidRPr="00AD64CB">
              <w:rPr>
                <w:rStyle w:val="a9"/>
                <w:rFonts w:ascii="Times New Roman" w:eastAsia="楷体" w:hAnsi="Times New Roman"/>
                <w:b/>
                <w:noProof/>
              </w:rPr>
              <w:t>EC</w:t>
            </w:r>
            <w:r w:rsidRPr="00AD64CB">
              <w:rPr>
                <w:rStyle w:val="a9"/>
                <w:rFonts w:ascii="Times New Roman" w:eastAsia="楷体" w:hAnsi="Times New Roman"/>
                <w:b/>
                <w:noProof/>
              </w:rPr>
              <w:t>价格</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23213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2321326"/>
      <w:bookmarkEnd w:id="4"/>
      <w:r>
        <w:rPr>
          <w:rFonts w:ascii="Times New Roman" w:eastAsia="楷体" w:hAnsi="Times New Roman" w:hint="eastAsia"/>
          <w:b/>
          <w:color w:val="000000" w:themeColor="text1"/>
          <w:sz w:val="24"/>
          <w:szCs w:val="24"/>
        </w:rPr>
        <w:t>股指：</w:t>
      </w:r>
      <w:bookmarkEnd w:id="6"/>
      <w:bookmarkEnd w:id="7"/>
      <w:r w:rsidR="0008229A" w:rsidRPr="0008229A">
        <w:rPr>
          <w:rFonts w:ascii="Times New Roman" w:eastAsia="楷体" w:hAnsi="Times New Roman" w:hint="eastAsia"/>
          <w:b/>
          <w:color w:val="000000" w:themeColor="text1"/>
          <w:sz w:val="24"/>
          <w:szCs w:val="24"/>
        </w:rPr>
        <w:t>待企稳后，逢低多</w:t>
      </w:r>
      <w:bookmarkEnd w:id="8"/>
    </w:p>
    <w:p w:rsidR="003F56A5" w:rsidRDefault="0008229A" w:rsidP="002B294F">
      <w:pPr>
        <w:ind w:leftChars="300" w:left="630"/>
        <w:rPr>
          <w:rFonts w:ascii="Times New Roman" w:eastAsia="楷体" w:hAnsi="Times New Roman"/>
          <w:color w:val="000000" w:themeColor="text1"/>
          <w:sz w:val="24"/>
          <w:szCs w:val="24"/>
        </w:rPr>
      </w:pPr>
      <w:r w:rsidRPr="0008229A">
        <w:rPr>
          <w:rFonts w:ascii="Times New Roman" w:eastAsia="楷体" w:hAnsi="Times New Roman" w:hint="eastAsia"/>
          <w:color w:val="000000" w:themeColor="text1"/>
          <w:sz w:val="24"/>
          <w:szCs w:val="24"/>
        </w:rPr>
        <w:t>昨日盘中</w:t>
      </w:r>
      <w:r w:rsidRPr="0008229A">
        <w:rPr>
          <w:rFonts w:ascii="Times New Roman" w:eastAsia="楷体" w:hAnsi="Times New Roman" w:hint="eastAsia"/>
          <w:color w:val="000000" w:themeColor="text1"/>
          <w:sz w:val="24"/>
          <w:szCs w:val="24"/>
        </w:rPr>
        <w:t>PMI</w:t>
      </w:r>
      <w:r w:rsidRPr="0008229A">
        <w:rPr>
          <w:rFonts w:ascii="Times New Roman" w:eastAsia="楷体" w:hAnsi="Times New Roman" w:hint="eastAsia"/>
          <w:color w:val="000000" w:themeColor="text1"/>
          <w:sz w:val="24"/>
          <w:szCs w:val="24"/>
        </w:rPr>
        <w:t>披露，数据释放积极信号有限</w:t>
      </w:r>
      <w:r w:rsidRPr="0008229A">
        <w:rPr>
          <w:rFonts w:ascii="Times New Roman" w:eastAsia="楷体" w:hAnsi="Times New Roman" w:hint="eastAsia"/>
          <w:color w:val="000000" w:themeColor="text1"/>
          <w:sz w:val="24"/>
          <w:szCs w:val="24"/>
        </w:rPr>
        <w:t>,</w:t>
      </w:r>
      <w:r w:rsidRPr="0008229A">
        <w:rPr>
          <w:rFonts w:ascii="Times New Roman" w:eastAsia="楷体" w:hAnsi="Times New Roman" w:hint="eastAsia"/>
          <w:color w:val="000000" w:themeColor="text1"/>
          <w:sz w:val="24"/>
          <w:szCs w:val="24"/>
        </w:rPr>
        <w:t>成本高企叠加内需乏力，制造业利润承压。美国</w:t>
      </w:r>
      <w:r w:rsidRPr="0008229A">
        <w:rPr>
          <w:rFonts w:ascii="Times New Roman" w:eastAsia="楷体" w:hAnsi="Times New Roman" w:hint="eastAsia"/>
          <w:color w:val="000000" w:themeColor="text1"/>
          <w:sz w:val="24"/>
          <w:szCs w:val="24"/>
        </w:rPr>
        <w:t>PCE</w:t>
      </w:r>
      <w:r w:rsidRPr="0008229A">
        <w:rPr>
          <w:rFonts w:ascii="Times New Roman" w:eastAsia="楷体" w:hAnsi="Times New Roman" w:hint="eastAsia"/>
          <w:color w:val="000000" w:themeColor="text1"/>
          <w:sz w:val="24"/>
          <w:szCs w:val="24"/>
        </w:rPr>
        <w:t>核心通胀数据符合预期，延续回落态势。资金面上，险资设立基金布局</w:t>
      </w:r>
      <w:r w:rsidRPr="0008229A">
        <w:rPr>
          <w:rFonts w:ascii="Times New Roman" w:eastAsia="楷体" w:hAnsi="Times New Roman" w:hint="eastAsia"/>
          <w:color w:val="000000" w:themeColor="text1"/>
          <w:sz w:val="24"/>
          <w:szCs w:val="24"/>
        </w:rPr>
        <w:t>A</w:t>
      </w:r>
      <w:r w:rsidRPr="0008229A">
        <w:rPr>
          <w:rFonts w:ascii="Times New Roman" w:eastAsia="楷体" w:hAnsi="Times New Roman" w:hint="eastAsia"/>
          <w:color w:val="000000" w:themeColor="text1"/>
          <w:sz w:val="24"/>
          <w:szCs w:val="24"/>
        </w:rPr>
        <w:t>股，险资入市或代表估值接近底部位置，权益配置性价比提升。但基本面与资金面缺少共振，暂难出现趋势性反弹行情，短线待企稳后可试多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23213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2321328"/>
      <w:r>
        <w:rPr>
          <w:rFonts w:ascii="Times New Roman" w:eastAsia="楷体" w:hAnsi="Times New Roman" w:hint="eastAsia"/>
          <w:b/>
          <w:color w:val="000000" w:themeColor="text1"/>
          <w:sz w:val="24"/>
          <w:szCs w:val="24"/>
        </w:rPr>
        <w:t>贵金属：</w:t>
      </w:r>
      <w:r w:rsidR="0008229A" w:rsidRPr="0008229A">
        <w:rPr>
          <w:rFonts w:ascii="Times New Roman" w:eastAsia="楷体" w:hAnsi="Times New Roman" w:hint="eastAsia"/>
          <w:b/>
          <w:color w:val="000000" w:themeColor="text1"/>
          <w:sz w:val="24"/>
          <w:szCs w:val="24"/>
        </w:rPr>
        <w:t>美国通胀及劳动力市场降温，贵金属价格震荡偏强</w:t>
      </w:r>
      <w:bookmarkEnd w:id="10"/>
    </w:p>
    <w:p w:rsidR="003F56A5" w:rsidRDefault="0008229A">
      <w:pPr>
        <w:ind w:leftChars="300" w:left="630"/>
        <w:rPr>
          <w:rFonts w:ascii="Times New Roman" w:eastAsia="楷体" w:hAnsi="Times New Roman"/>
          <w:sz w:val="24"/>
          <w:szCs w:val="24"/>
        </w:rPr>
      </w:pPr>
      <w:r w:rsidRPr="0008229A">
        <w:rPr>
          <w:rFonts w:ascii="Times New Roman" w:eastAsia="楷体" w:hAnsi="Times New Roman" w:hint="eastAsia"/>
          <w:color w:val="000000" w:themeColor="text1"/>
          <w:sz w:val="24"/>
          <w:szCs w:val="24"/>
        </w:rPr>
        <w:t>美元指数涨</w:t>
      </w:r>
      <w:r w:rsidRPr="0008229A">
        <w:rPr>
          <w:rFonts w:ascii="Times New Roman" w:eastAsia="楷体" w:hAnsi="Times New Roman" w:hint="eastAsia"/>
          <w:color w:val="000000" w:themeColor="text1"/>
          <w:sz w:val="24"/>
          <w:szCs w:val="24"/>
        </w:rPr>
        <w:t>0.63%</w:t>
      </w:r>
      <w:r w:rsidRPr="0008229A">
        <w:rPr>
          <w:rFonts w:ascii="Times New Roman" w:eastAsia="楷体" w:hAnsi="Times New Roman" w:hint="eastAsia"/>
          <w:color w:val="000000" w:themeColor="text1"/>
          <w:sz w:val="24"/>
          <w:szCs w:val="24"/>
        </w:rPr>
        <w:t>至</w:t>
      </w:r>
      <w:r w:rsidRPr="0008229A">
        <w:rPr>
          <w:rFonts w:ascii="Times New Roman" w:eastAsia="楷体" w:hAnsi="Times New Roman" w:hint="eastAsia"/>
          <w:color w:val="000000" w:themeColor="text1"/>
          <w:sz w:val="24"/>
          <w:szCs w:val="24"/>
        </w:rPr>
        <w:t>103.51</w:t>
      </w:r>
      <w:r w:rsidRPr="0008229A">
        <w:rPr>
          <w:rFonts w:ascii="Times New Roman" w:eastAsia="楷体" w:hAnsi="Times New Roman" w:hint="eastAsia"/>
          <w:color w:val="000000" w:themeColor="text1"/>
          <w:sz w:val="24"/>
          <w:szCs w:val="24"/>
        </w:rPr>
        <w:t>，美十债收益率涨</w:t>
      </w:r>
      <w:r w:rsidRPr="0008229A">
        <w:rPr>
          <w:rFonts w:ascii="Times New Roman" w:eastAsia="楷体" w:hAnsi="Times New Roman" w:hint="eastAsia"/>
          <w:color w:val="000000" w:themeColor="text1"/>
          <w:sz w:val="24"/>
          <w:szCs w:val="24"/>
        </w:rPr>
        <w:t>6.9bp</w:t>
      </w:r>
      <w:r w:rsidRPr="0008229A">
        <w:rPr>
          <w:rFonts w:ascii="Times New Roman" w:eastAsia="楷体" w:hAnsi="Times New Roman" w:hint="eastAsia"/>
          <w:color w:val="000000" w:themeColor="text1"/>
          <w:sz w:val="24"/>
          <w:szCs w:val="24"/>
        </w:rPr>
        <w:t>至</w:t>
      </w:r>
      <w:r w:rsidRPr="0008229A">
        <w:rPr>
          <w:rFonts w:ascii="Times New Roman" w:eastAsia="楷体" w:hAnsi="Times New Roman" w:hint="eastAsia"/>
          <w:color w:val="000000" w:themeColor="text1"/>
          <w:sz w:val="24"/>
          <w:szCs w:val="24"/>
        </w:rPr>
        <w:t>4.331%</w:t>
      </w:r>
      <w:r w:rsidRPr="0008229A">
        <w:rPr>
          <w:rFonts w:ascii="Times New Roman" w:eastAsia="楷体" w:hAnsi="Times New Roman" w:hint="eastAsia"/>
          <w:color w:val="000000" w:themeColor="text1"/>
          <w:sz w:val="24"/>
          <w:szCs w:val="24"/>
        </w:rPr>
        <w:t>，外盘</w:t>
      </w:r>
      <w:r w:rsidRPr="0008229A">
        <w:rPr>
          <w:rFonts w:ascii="Times New Roman" w:eastAsia="楷体" w:hAnsi="Times New Roman" w:hint="eastAsia"/>
          <w:color w:val="000000" w:themeColor="text1"/>
          <w:sz w:val="24"/>
          <w:szCs w:val="24"/>
        </w:rPr>
        <w:t>COMEX</w:t>
      </w:r>
      <w:r w:rsidRPr="0008229A">
        <w:rPr>
          <w:rFonts w:ascii="Times New Roman" w:eastAsia="楷体" w:hAnsi="Times New Roman" w:hint="eastAsia"/>
          <w:color w:val="000000" w:themeColor="text1"/>
          <w:sz w:val="24"/>
          <w:szCs w:val="24"/>
        </w:rPr>
        <w:t>金价涨</w:t>
      </w:r>
      <w:r w:rsidRPr="0008229A">
        <w:rPr>
          <w:rFonts w:ascii="Times New Roman" w:eastAsia="楷体" w:hAnsi="Times New Roman" w:hint="eastAsia"/>
          <w:color w:val="000000" w:themeColor="text1"/>
          <w:sz w:val="24"/>
          <w:szCs w:val="24"/>
        </w:rPr>
        <w:t>0.18%</w:t>
      </w:r>
      <w:r w:rsidRPr="0008229A">
        <w:rPr>
          <w:rFonts w:ascii="Times New Roman" w:eastAsia="楷体" w:hAnsi="Times New Roman" w:hint="eastAsia"/>
          <w:color w:val="000000" w:themeColor="text1"/>
          <w:sz w:val="24"/>
          <w:szCs w:val="24"/>
        </w:rPr>
        <w:t>至</w:t>
      </w:r>
      <w:r w:rsidRPr="0008229A">
        <w:rPr>
          <w:rFonts w:ascii="Times New Roman" w:eastAsia="楷体" w:hAnsi="Times New Roman" w:hint="eastAsia"/>
          <w:color w:val="000000" w:themeColor="text1"/>
          <w:sz w:val="24"/>
          <w:szCs w:val="24"/>
        </w:rPr>
        <w:t>2060</w:t>
      </w:r>
      <w:r w:rsidRPr="0008229A">
        <w:rPr>
          <w:rFonts w:ascii="Times New Roman" w:eastAsia="楷体" w:hAnsi="Times New Roman" w:hint="eastAsia"/>
          <w:color w:val="000000" w:themeColor="text1"/>
          <w:sz w:val="24"/>
          <w:szCs w:val="24"/>
        </w:rPr>
        <w:t>美元</w:t>
      </w:r>
      <w:r w:rsidRPr="0008229A">
        <w:rPr>
          <w:rFonts w:ascii="Times New Roman" w:eastAsia="楷体" w:hAnsi="Times New Roman" w:hint="eastAsia"/>
          <w:color w:val="000000" w:themeColor="text1"/>
          <w:sz w:val="24"/>
          <w:szCs w:val="24"/>
        </w:rPr>
        <w:t>/</w:t>
      </w:r>
      <w:r w:rsidRPr="0008229A">
        <w:rPr>
          <w:rFonts w:ascii="Times New Roman" w:eastAsia="楷体" w:hAnsi="Times New Roman" w:hint="eastAsia"/>
          <w:color w:val="000000" w:themeColor="text1"/>
          <w:sz w:val="24"/>
          <w:szCs w:val="24"/>
        </w:rPr>
        <w:t>盎司，</w:t>
      </w:r>
      <w:r w:rsidRPr="0008229A">
        <w:rPr>
          <w:rFonts w:ascii="Times New Roman" w:eastAsia="楷体" w:hAnsi="Times New Roman" w:hint="eastAsia"/>
          <w:color w:val="000000" w:themeColor="text1"/>
          <w:sz w:val="24"/>
          <w:szCs w:val="24"/>
        </w:rPr>
        <w:t>COMEX</w:t>
      </w:r>
      <w:r w:rsidRPr="0008229A">
        <w:rPr>
          <w:rFonts w:ascii="Times New Roman" w:eastAsia="楷体" w:hAnsi="Times New Roman" w:hint="eastAsia"/>
          <w:color w:val="000000" w:themeColor="text1"/>
          <w:sz w:val="24"/>
          <w:szCs w:val="24"/>
        </w:rPr>
        <w:t>银价涨</w:t>
      </w:r>
      <w:r w:rsidRPr="0008229A">
        <w:rPr>
          <w:rFonts w:ascii="Times New Roman" w:eastAsia="楷体" w:hAnsi="Times New Roman" w:hint="eastAsia"/>
          <w:color w:val="000000" w:themeColor="text1"/>
          <w:sz w:val="24"/>
          <w:szCs w:val="24"/>
        </w:rPr>
        <w:t>0.43%</w:t>
      </w:r>
      <w:r w:rsidRPr="0008229A">
        <w:rPr>
          <w:rFonts w:ascii="Times New Roman" w:eastAsia="楷体" w:hAnsi="Times New Roman" w:hint="eastAsia"/>
          <w:color w:val="000000" w:themeColor="text1"/>
          <w:sz w:val="24"/>
          <w:szCs w:val="24"/>
        </w:rPr>
        <w:t>至</w:t>
      </w:r>
      <w:r w:rsidRPr="0008229A">
        <w:rPr>
          <w:rFonts w:ascii="Times New Roman" w:eastAsia="楷体" w:hAnsi="Times New Roman" w:hint="eastAsia"/>
          <w:color w:val="000000" w:themeColor="text1"/>
          <w:sz w:val="24"/>
          <w:szCs w:val="24"/>
        </w:rPr>
        <w:t>25.77</w:t>
      </w:r>
      <w:r w:rsidRPr="0008229A">
        <w:rPr>
          <w:rFonts w:ascii="Times New Roman" w:eastAsia="楷体" w:hAnsi="Times New Roman" w:hint="eastAsia"/>
          <w:color w:val="000000" w:themeColor="text1"/>
          <w:sz w:val="24"/>
          <w:szCs w:val="24"/>
        </w:rPr>
        <w:t>美元</w:t>
      </w:r>
      <w:r w:rsidRPr="0008229A">
        <w:rPr>
          <w:rFonts w:ascii="Times New Roman" w:eastAsia="楷体" w:hAnsi="Times New Roman" w:hint="eastAsia"/>
          <w:color w:val="000000" w:themeColor="text1"/>
          <w:sz w:val="24"/>
          <w:szCs w:val="24"/>
        </w:rPr>
        <w:t>/</w:t>
      </w:r>
      <w:r w:rsidRPr="0008229A">
        <w:rPr>
          <w:rFonts w:ascii="Times New Roman" w:eastAsia="楷体" w:hAnsi="Times New Roman" w:hint="eastAsia"/>
          <w:color w:val="000000" w:themeColor="text1"/>
          <w:sz w:val="24"/>
          <w:szCs w:val="24"/>
        </w:rPr>
        <w:t>盎司。昨夜沪金微跌</w:t>
      </w:r>
      <w:r w:rsidRPr="0008229A">
        <w:rPr>
          <w:rFonts w:ascii="Times New Roman" w:eastAsia="楷体" w:hAnsi="Times New Roman" w:hint="eastAsia"/>
          <w:color w:val="000000" w:themeColor="text1"/>
          <w:sz w:val="24"/>
          <w:szCs w:val="24"/>
        </w:rPr>
        <w:t>0.17%</w:t>
      </w:r>
      <w:r w:rsidRPr="0008229A">
        <w:rPr>
          <w:rFonts w:ascii="Times New Roman" w:eastAsia="楷体" w:hAnsi="Times New Roman" w:hint="eastAsia"/>
          <w:color w:val="000000" w:themeColor="text1"/>
          <w:sz w:val="24"/>
          <w:szCs w:val="24"/>
        </w:rPr>
        <w:t>，沪银涨</w:t>
      </w:r>
      <w:r w:rsidRPr="0008229A">
        <w:rPr>
          <w:rFonts w:ascii="Times New Roman" w:eastAsia="楷体" w:hAnsi="Times New Roman" w:hint="eastAsia"/>
          <w:color w:val="000000" w:themeColor="text1"/>
          <w:sz w:val="24"/>
          <w:szCs w:val="24"/>
        </w:rPr>
        <w:t>0.72%</w:t>
      </w:r>
      <w:r w:rsidRPr="0008229A">
        <w:rPr>
          <w:rFonts w:ascii="Times New Roman" w:eastAsia="楷体" w:hAnsi="Times New Roman" w:hint="eastAsia"/>
          <w:color w:val="000000" w:themeColor="text1"/>
          <w:sz w:val="24"/>
          <w:szCs w:val="24"/>
        </w:rPr>
        <w:t>。美国通胀持续降温，</w:t>
      </w:r>
      <w:r w:rsidRPr="0008229A">
        <w:rPr>
          <w:rFonts w:ascii="Times New Roman" w:eastAsia="楷体" w:hAnsi="Times New Roman" w:hint="eastAsia"/>
          <w:color w:val="000000" w:themeColor="text1"/>
          <w:sz w:val="24"/>
          <w:szCs w:val="24"/>
        </w:rPr>
        <w:t>10</w:t>
      </w:r>
      <w:r w:rsidRPr="0008229A">
        <w:rPr>
          <w:rFonts w:ascii="Times New Roman" w:eastAsia="楷体" w:hAnsi="Times New Roman" w:hint="eastAsia"/>
          <w:color w:val="000000" w:themeColor="text1"/>
          <w:sz w:val="24"/>
          <w:szCs w:val="24"/>
        </w:rPr>
        <w:t>月核心</w:t>
      </w:r>
      <w:r w:rsidRPr="0008229A">
        <w:rPr>
          <w:rFonts w:ascii="Times New Roman" w:eastAsia="楷体" w:hAnsi="Times New Roman" w:hint="eastAsia"/>
          <w:color w:val="000000" w:themeColor="text1"/>
          <w:sz w:val="24"/>
          <w:szCs w:val="24"/>
        </w:rPr>
        <w:t>PCE</w:t>
      </w:r>
      <w:r w:rsidRPr="0008229A">
        <w:rPr>
          <w:rFonts w:ascii="Times New Roman" w:eastAsia="楷体" w:hAnsi="Times New Roman" w:hint="eastAsia"/>
          <w:color w:val="000000" w:themeColor="text1"/>
          <w:sz w:val="24"/>
          <w:szCs w:val="24"/>
        </w:rPr>
        <w:t>物价指数同比增速放缓至两年来新低的</w:t>
      </w:r>
      <w:r w:rsidRPr="0008229A">
        <w:rPr>
          <w:rFonts w:ascii="Times New Roman" w:eastAsia="楷体" w:hAnsi="Times New Roman" w:hint="eastAsia"/>
          <w:color w:val="000000" w:themeColor="text1"/>
          <w:sz w:val="24"/>
          <w:szCs w:val="24"/>
        </w:rPr>
        <w:t>3.5%</w:t>
      </w:r>
      <w:r w:rsidRPr="0008229A">
        <w:rPr>
          <w:rFonts w:ascii="Times New Roman" w:eastAsia="楷体" w:hAnsi="Times New Roman" w:hint="eastAsia"/>
          <w:color w:val="000000" w:themeColor="text1"/>
          <w:sz w:val="24"/>
          <w:szCs w:val="24"/>
        </w:rPr>
        <w:t>，符合市场预期，前值为</w:t>
      </w:r>
      <w:r w:rsidRPr="0008229A">
        <w:rPr>
          <w:rFonts w:ascii="Times New Roman" w:eastAsia="楷体" w:hAnsi="Times New Roman" w:hint="eastAsia"/>
          <w:color w:val="000000" w:themeColor="text1"/>
          <w:sz w:val="24"/>
          <w:szCs w:val="24"/>
        </w:rPr>
        <w:t>3.7%</w:t>
      </w:r>
      <w:r w:rsidRPr="0008229A">
        <w:rPr>
          <w:rFonts w:ascii="Times New Roman" w:eastAsia="楷体" w:hAnsi="Times New Roman" w:hint="eastAsia"/>
          <w:color w:val="000000" w:themeColor="text1"/>
          <w:sz w:val="24"/>
          <w:szCs w:val="24"/>
        </w:rPr>
        <w:t>。个人收入同比录得一年来新低的增</w:t>
      </w:r>
      <w:r w:rsidRPr="0008229A">
        <w:rPr>
          <w:rFonts w:ascii="Times New Roman" w:eastAsia="楷体" w:hAnsi="Times New Roman" w:hint="eastAsia"/>
          <w:color w:val="000000" w:themeColor="text1"/>
          <w:sz w:val="24"/>
          <w:szCs w:val="24"/>
        </w:rPr>
        <w:t>4.5%</w:t>
      </w:r>
      <w:r w:rsidRPr="0008229A">
        <w:rPr>
          <w:rFonts w:ascii="Times New Roman" w:eastAsia="楷体" w:hAnsi="Times New Roman" w:hint="eastAsia"/>
          <w:color w:val="000000" w:themeColor="text1"/>
          <w:sz w:val="24"/>
          <w:szCs w:val="24"/>
        </w:rPr>
        <w:t>；支出同比增</w:t>
      </w:r>
      <w:r w:rsidRPr="0008229A">
        <w:rPr>
          <w:rFonts w:ascii="Times New Roman" w:eastAsia="楷体" w:hAnsi="Times New Roman" w:hint="eastAsia"/>
          <w:color w:val="000000" w:themeColor="text1"/>
          <w:sz w:val="24"/>
          <w:szCs w:val="24"/>
        </w:rPr>
        <w:t>5.3%</w:t>
      </w:r>
      <w:r w:rsidRPr="0008229A">
        <w:rPr>
          <w:rFonts w:ascii="Times New Roman" w:eastAsia="楷体" w:hAnsi="Times New Roman" w:hint="eastAsia"/>
          <w:color w:val="000000" w:themeColor="text1"/>
          <w:sz w:val="24"/>
          <w:szCs w:val="24"/>
        </w:rPr>
        <w:t>，创</w:t>
      </w:r>
      <w:r w:rsidRPr="0008229A">
        <w:rPr>
          <w:rFonts w:ascii="Times New Roman" w:eastAsia="楷体" w:hAnsi="Times New Roman" w:hint="eastAsia"/>
          <w:color w:val="000000" w:themeColor="text1"/>
          <w:sz w:val="24"/>
          <w:szCs w:val="24"/>
        </w:rPr>
        <w:t>2021</w:t>
      </w:r>
      <w:r w:rsidRPr="0008229A">
        <w:rPr>
          <w:rFonts w:ascii="Times New Roman" w:eastAsia="楷体" w:hAnsi="Times New Roman" w:hint="eastAsia"/>
          <w:color w:val="000000" w:themeColor="text1"/>
          <w:sz w:val="24"/>
          <w:szCs w:val="24"/>
        </w:rPr>
        <w:t>年</w:t>
      </w:r>
      <w:r w:rsidRPr="0008229A">
        <w:rPr>
          <w:rFonts w:ascii="Times New Roman" w:eastAsia="楷体" w:hAnsi="Times New Roman" w:hint="eastAsia"/>
          <w:color w:val="000000" w:themeColor="text1"/>
          <w:sz w:val="24"/>
          <w:szCs w:val="24"/>
        </w:rPr>
        <w:t>2</w:t>
      </w:r>
      <w:r w:rsidRPr="0008229A">
        <w:rPr>
          <w:rFonts w:ascii="Times New Roman" w:eastAsia="楷体" w:hAnsi="Times New Roman" w:hint="eastAsia"/>
          <w:color w:val="000000" w:themeColor="text1"/>
          <w:sz w:val="24"/>
          <w:szCs w:val="24"/>
        </w:rPr>
        <w:t>月以来新低。美国劳动力市场降温，最新当周初请失业金人数升至</w:t>
      </w:r>
      <w:r w:rsidRPr="0008229A">
        <w:rPr>
          <w:rFonts w:ascii="Times New Roman" w:eastAsia="楷体" w:hAnsi="Times New Roman" w:hint="eastAsia"/>
          <w:color w:val="000000" w:themeColor="text1"/>
          <w:sz w:val="24"/>
          <w:szCs w:val="24"/>
        </w:rPr>
        <w:t>21.8</w:t>
      </w:r>
      <w:r w:rsidRPr="0008229A">
        <w:rPr>
          <w:rFonts w:ascii="Times New Roman" w:eastAsia="楷体" w:hAnsi="Times New Roman" w:hint="eastAsia"/>
          <w:color w:val="000000" w:themeColor="text1"/>
          <w:sz w:val="24"/>
          <w:szCs w:val="24"/>
        </w:rPr>
        <w:t>万人；至</w:t>
      </w:r>
      <w:r w:rsidRPr="0008229A">
        <w:rPr>
          <w:rFonts w:ascii="Times New Roman" w:eastAsia="楷体" w:hAnsi="Times New Roman" w:hint="eastAsia"/>
          <w:color w:val="000000" w:themeColor="text1"/>
          <w:sz w:val="24"/>
          <w:szCs w:val="24"/>
        </w:rPr>
        <w:t>11</w:t>
      </w:r>
      <w:r w:rsidRPr="0008229A">
        <w:rPr>
          <w:rFonts w:ascii="Times New Roman" w:eastAsia="楷体" w:hAnsi="Times New Roman" w:hint="eastAsia"/>
          <w:color w:val="000000" w:themeColor="text1"/>
          <w:sz w:val="24"/>
          <w:szCs w:val="24"/>
        </w:rPr>
        <w:t>月</w:t>
      </w:r>
      <w:r w:rsidRPr="0008229A">
        <w:rPr>
          <w:rFonts w:ascii="Times New Roman" w:eastAsia="楷体" w:hAnsi="Times New Roman" w:hint="eastAsia"/>
          <w:color w:val="000000" w:themeColor="text1"/>
          <w:sz w:val="24"/>
          <w:szCs w:val="24"/>
        </w:rPr>
        <w:t>18</w:t>
      </w:r>
      <w:r w:rsidRPr="0008229A">
        <w:rPr>
          <w:rFonts w:ascii="Times New Roman" w:eastAsia="楷体" w:hAnsi="Times New Roman" w:hint="eastAsia"/>
          <w:color w:val="000000" w:themeColor="text1"/>
          <w:sz w:val="24"/>
          <w:szCs w:val="24"/>
        </w:rPr>
        <w:t>日当周续请失业金人数升至</w:t>
      </w:r>
      <w:r w:rsidRPr="0008229A">
        <w:rPr>
          <w:rFonts w:ascii="Times New Roman" w:eastAsia="楷体" w:hAnsi="Times New Roman" w:hint="eastAsia"/>
          <w:color w:val="000000" w:themeColor="text1"/>
          <w:sz w:val="24"/>
          <w:szCs w:val="24"/>
        </w:rPr>
        <w:t>192.7</w:t>
      </w:r>
      <w:r w:rsidRPr="0008229A">
        <w:rPr>
          <w:rFonts w:ascii="Times New Roman" w:eastAsia="楷体" w:hAnsi="Times New Roman" w:hint="eastAsia"/>
          <w:color w:val="000000" w:themeColor="text1"/>
          <w:sz w:val="24"/>
          <w:szCs w:val="24"/>
        </w:rPr>
        <w:t>万人，为近两年来新高。美联储政策利率接近终值，美国经济增长趋弱、景气度下滑，中长线角度看好贵金属价格表现，建议沪金、沪银逢低做多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23213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232133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8229A" w:rsidRPr="0008229A">
        <w:rPr>
          <w:rFonts w:ascii="楷体" w:eastAsia="楷体" w:hAnsi="楷体" w:hint="eastAsia"/>
          <w:b/>
          <w:color w:val="000000" w:themeColor="text1"/>
          <w:sz w:val="24"/>
          <w:szCs w:val="24"/>
        </w:rPr>
        <w:t>现货价格下行，期价维持跌势</w:t>
      </w:r>
      <w:bookmarkEnd w:id="18"/>
    </w:p>
    <w:p w:rsidR="00F50569" w:rsidRDefault="0008229A" w:rsidP="00F50569">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近期现货价格持续下行，部分企业因长期亏损，资金周转压力增大。昨日期价低开约2%后偏弱震荡，尾盘加速下行，01合约收跌5.81%至106200元/吨，目前已低于07合约的107650元/吨以及10合约的107000元/吨，近远月差暂转为“两头高中间低”的singular contango结构，当前远月合约价格或隐含了在可见未来部分产能破产出清、供需恢复到正常水平的预期。须留意当前01合约持仓进一步增长到14.5万手，占总持仓比例仍有约45%，此部分持仓后续一个月内仍将面临移仓换月压力，后市期价波动或加剧。留意10万元/吨附近整数关口支撑，锂价大幅下跌后，下游需求虽维持疲弱但询价积极性增强，后市期价震荡中枢或进一步下行但跌势或相对趋缓，建议思路维持逢高空</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2321331"/>
      <w:r>
        <w:rPr>
          <w:rFonts w:ascii="楷体" w:eastAsia="楷体" w:hAnsi="楷体" w:hint="eastAsia"/>
          <w:b/>
          <w:color w:val="000000" w:themeColor="text1"/>
          <w:sz w:val="24"/>
          <w:szCs w:val="24"/>
        </w:rPr>
        <w:t>螺纹钢：</w:t>
      </w:r>
      <w:bookmarkEnd w:id="16"/>
      <w:bookmarkEnd w:id="17"/>
      <w:r w:rsidR="0008229A" w:rsidRPr="0008229A">
        <w:rPr>
          <w:rFonts w:ascii="楷体" w:eastAsia="楷体" w:hAnsi="楷体" w:hint="eastAsia"/>
          <w:b/>
          <w:color w:val="000000" w:themeColor="text1"/>
          <w:sz w:val="24"/>
          <w:szCs w:val="24"/>
        </w:rPr>
        <w:t>季节性累库，高位震荡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08229A" w:rsidP="00201944">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当前供需矛盾不大，季节性累库，幅度在合理范围内。成本支撑力度较强，但下游补库意愿不强，宏观空窗期下或突破驱动不强。短期或围绕现货重心波动，等待新变量。短期价格偏低下或逢低短多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2321332"/>
      <w:r>
        <w:rPr>
          <w:rFonts w:ascii="楷体" w:eastAsia="楷体" w:hAnsi="楷体" w:hint="eastAsia"/>
          <w:b/>
          <w:color w:val="000000" w:themeColor="text1"/>
          <w:sz w:val="24"/>
          <w:szCs w:val="24"/>
        </w:rPr>
        <w:lastRenderedPageBreak/>
        <w:t>焦炭：</w:t>
      </w:r>
      <w:bookmarkEnd w:id="20"/>
      <w:bookmarkEnd w:id="21"/>
      <w:r w:rsidR="0008229A" w:rsidRPr="0008229A">
        <w:rPr>
          <w:rFonts w:ascii="楷体" w:eastAsia="楷体" w:hAnsi="楷体" w:hint="eastAsia"/>
          <w:b/>
          <w:color w:val="000000" w:themeColor="text1"/>
          <w:sz w:val="24"/>
          <w:szCs w:val="24"/>
        </w:rPr>
        <w:t>第二轮提涨落地，盘面高位偏强震荡</w:t>
      </w:r>
      <w:bookmarkEnd w:id="22"/>
    </w:p>
    <w:p w:rsidR="003F56A5" w:rsidRDefault="0008229A" w:rsidP="00572E35">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焦煤推动成本大幅度上行，成材矛盾不突出，现货第二轮落地后，有望近期提出第三轮提涨。盘面估值在合理范围内，短期或偏强震荡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2321333"/>
      <w:r>
        <w:rPr>
          <w:rFonts w:ascii="楷体" w:eastAsia="楷体" w:hAnsi="楷体" w:hint="eastAsia"/>
          <w:b/>
          <w:color w:val="000000" w:themeColor="text1"/>
          <w:sz w:val="24"/>
          <w:szCs w:val="24"/>
        </w:rPr>
        <w:t>焦煤：</w:t>
      </w:r>
      <w:r w:rsidR="0008229A" w:rsidRPr="0008229A">
        <w:rPr>
          <w:rFonts w:ascii="楷体" w:eastAsia="楷体" w:hAnsi="楷体" w:hint="eastAsia"/>
          <w:b/>
          <w:sz w:val="24"/>
          <w:szCs w:val="24"/>
        </w:rPr>
        <w:t>供应持续低位，补库周期下震荡上行</w:t>
      </w:r>
      <w:bookmarkEnd w:id="23"/>
    </w:p>
    <w:p w:rsidR="003F56A5" w:rsidRDefault="0008229A">
      <w:pPr>
        <w:ind w:leftChars="300" w:left="630"/>
        <w:rPr>
          <w:rFonts w:ascii="楷体" w:eastAsia="楷体" w:hAnsi="楷体"/>
          <w:bCs/>
          <w:sz w:val="24"/>
          <w:szCs w:val="24"/>
        </w:rPr>
      </w:pPr>
      <w:r w:rsidRPr="0008229A">
        <w:rPr>
          <w:rFonts w:ascii="楷体" w:eastAsia="楷体" w:hAnsi="楷体" w:hint="eastAsia"/>
          <w:sz w:val="24"/>
          <w:szCs w:val="24"/>
        </w:rPr>
        <w:t>安全事故导致产量持续偏低，主焦煤结构性问题支撑价格下限。高位进一步突破或需下游主动补库，短期或随提涨节奏震荡上行，高位下对利空较为敏感，震幅偏大</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2321334"/>
      <w:r>
        <w:rPr>
          <w:rFonts w:ascii="楷体" w:eastAsia="楷体" w:hAnsi="楷体" w:hint="eastAsia"/>
          <w:b/>
          <w:color w:val="000000" w:themeColor="text1"/>
          <w:sz w:val="24"/>
          <w:szCs w:val="24"/>
        </w:rPr>
        <w:t>铜：</w:t>
      </w:r>
      <w:bookmarkEnd w:id="24"/>
      <w:bookmarkEnd w:id="25"/>
      <w:r w:rsidR="0008229A" w:rsidRPr="0008229A">
        <w:rPr>
          <w:rFonts w:ascii="楷体" w:eastAsia="楷体" w:hAnsi="楷体" w:hint="eastAsia"/>
          <w:b/>
          <w:color w:val="000000" w:themeColor="text1"/>
          <w:sz w:val="24"/>
          <w:szCs w:val="24"/>
        </w:rPr>
        <w:t>美国通胀持续回落，铜价延续高位震荡</w:t>
      </w:r>
      <w:bookmarkEnd w:id="26"/>
    </w:p>
    <w:p w:rsidR="0008229A" w:rsidRPr="0008229A" w:rsidRDefault="0008229A" w:rsidP="0008229A">
      <w:pPr>
        <w:ind w:leftChars="300" w:left="630"/>
        <w:rPr>
          <w:rFonts w:ascii="楷体" w:eastAsia="楷体" w:hAnsi="楷体" w:hint="eastAsia"/>
          <w:color w:val="000000" w:themeColor="text1"/>
          <w:sz w:val="24"/>
          <w:szCs w:val="24"/>
        </w:rPr>
      </w:pPr>
      <w:r w:rsidRPr="0008229A">
        <w:rPr>
          <w:rFonts w:ascii="楷体" w:eastAsia="楷体" w:hAnsi="楷体" w:hint="eastAsia"/>
          <w:color w:val="000000" w:themeColor="text1"/>
          <w:sz w:val="24"/>
          <w:szCs w:val="24"/>
        </w:rPr>
        <w:t>(1)宏观：11月30日周四，美国商务部最新数据显示，10月份剔除食物和能源后的核心PCE物价指数同比增速从9月的3.7%回落至3.5%，符合市场预期；环比增长0.2%，较前值0.3%放缓，与市场预期一致。</w:t>
      </w:r>
    </w:p>
    <w:p w:rsidR="0008229A" w:rsidRPr="0008229A" w:rsidRDefault="0008229A" w:rsidP="0008229A">
      <w:pPr>
        <w:ind w:leftChars="300" w:left="630"/>
        <w:rPr>
          <w:rFonts w:ascii="楷体" w:eastAsia="楷体" w:hAnsi="楷体" w:hint="eastAsia"/>
          <w:color w:val="000000" w:themeColor="text1"/>
          <w:sz w:val="24"/>
          <w:szCs w:val="24"/>
        </w:rPr>
      </w:pPr>
      <w:r w:rsidRPr="0008229A">
        <w:rPr>
          <w:rFonts w:ascii="楷体" w:eastAsia="楷体" w:hAnsi="楷体" w:hint="eastAsia"/>
          <w:color w:val="000000" w:themeColor="text1"/>
          <w:sz w:val="24"/>
          <w:szCs w:val="24"/>
        </w:rPr>
        <w:t>(2)库存：11月30日，SHFE仓单库存1530吨，减925吨；LME仓单库存175250吨，增300吨。</w:t>
      </w:r>
    </w:p>
    <w:p w:rsidR="0008229A" w:rsidRPr="0008229A" w:rsidRDefault="0008229A" w:rsidP="0008229A">
      <w:pPr>
        <w:ind w:leftChars="300" w:left="630"/>
        <w:rPr>
          <w:rFonts w:ascii="楷体" w:eastAsia="楷体" w:hAnsi="楷体" w:hint="eastAsia"/>
          <w:color w:val="000000" w:themeColor="text1"/>
          <w:sz w:val="24"/>
          <w:szCs w:val="24"/>
        </w:rPr>
      </w:pPr>
      <w:r w:rsidRPr="0008229A">
        <w:rPr>
          <w:rFonts w:ascii="楷体" w:eastAsia="楷体" w:hAnsi="楷体" w:hint="eastAsia"/>
          <w:color w:val="000000" w:themeColor="text1"/>
          <w:sz w:val="24"/>
          <w:szCs w:val="24"/>
        </w:rPr>
        <w:t>(3)精废价差：11月30日，Mysteel精废价差1960，扩张144。目前价差在合理价差1387之上。</w:t>
      </w:r>
    </w:p>
    <w:p w:rsidR="0008229A" w:rsidRPr="0008229A" w:rsidRDefault="0008229A" w:rsidP="0008229A">
      <w:pPr>
        <w:ind w:leftChars="300" w:left="630"/>
        <w:rPr>
          <w:rFonts w:ascii="楷体" w:eastAsia="楷体" w:hAnsi="楷体"/>
          <w:color w:val="000000" w:themeColor="text1"/>
          <w:sz w:val="24"/>
          <w:szCs w:val="24"/>
        </w:rPr>
      </w:pPr>
    </w:p>
    <w:p w:rsidR="00127803" w:rsidRPr="00127803" w:rsidRDefault="0008229A" w:rsidP="0008229A">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综述：宏观面，GDP数据超预期上修，美国通胀持续降温，货币紧缩预期仍有反复，限制短期美元指数的上下空间。国内制造业PMI数据表现处于收缩区间内且不及预期，拖累市场信心。基本面，国内库存低位运行，现货升水坚挺，淡季累库预期仍未兑现，支撑价格，预计短期铜价仍难有趋势性行情，2401合约参考67000-69000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2321335"/>
      <w:r>
        <w:rPr>
          <w:rFonts w:ascii="楷体" w:eastAsia="楷体" w:hAnsi="楷体" w:hint="eastAsia"/>
          <w:b/>
          <w:color w:val="000000" w:themeColor="text1"/>
          <w:sz w:val="24"/>
          <w:szCs w:val="24"/>
        </w:rPr>
        <w:t>铝：</w:t>
      </w:r>
      <w:bookmarkEnd w:id="27"/>
      <w:bookmarkEnd w:id="28"/>
      <w:r w:rsidR="0008229A" w:rsidRPr="0008229A">
        <w:rPr>
          <w:rFonts w:ascii="楷体" w:eastAsia="楷体" w:hAnsi="楷体" w:hint="eastAsia"/>
          <w:b/>
          <w:color w:val="000000" w:themeColor="text1"/>
          <w:sz w:val="24"/>
          <w:szCs w:val="24"/>
        </w:rPr>
        <w:t>铝：铝价下方有限，关注区间低多机会</w:t>
      </w:r>
      <w:bookmarkEnd w:id="29"/>
    </w:p>
    <w:p w:rsidR="003F56A5" w:rsidRDefault="0008229A" w:rsidP="00127803">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美国经济表现强韧，加息尾声但降息短期难以期待，国内制造业PMI数据表现偏弱。铝价快速走跌，站稳18500一线，基本面供需双减，云南已完成减产目标，需求向弱影响明显，价格趋弱震荡，库存前期累积又再出拐点，价格下方有限，关注主震荡区间18500-19300的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2321336"/>
      <w:r>
        <w:rPr>
          <w:rFonts w:ascii="楷体" w:eastAsia="楷体" w:hAnsi="楷体" w:hint="eastAsia"/>
          <w:b/>
          <w:color w:val="000000" w:themeColor="text1"/>
          <w:sz w:val="24"/>
          <w:szCs w:val="24"/>
        </w:rPr>
        <w:t>锌：</w:t>
      </w:r>
      <w:r w:rsidR="002B2B4E" w:rsidRPr="002B2B4E">
        <w:rPr>
          <w:rFonts w:ascii="楷体" w:eastAsia="楷体" w:hAnsi="楷体" w:hint="eastAsia"/>
          <w:b/>
          <w:color w:val="000000" w:themeColor="text1"/>
          <w:sz w:val="24"/>
          <w:szCs w:val="24"/>
        </w:rPr>
        <w:t>供应过剩预期显化，锌价仍有向弱可能</w:t>
      </w:r>
      <w:bookmarkEnd w:id="30"/>
    </w:p>
    <w:p w:rsidR="003F56A5" w:rsidRDefault="002B2B4E" w:rsidP="000B0648">
      <w:pPr>
        <w:ind w:leftChars="300" w:left="630"/>
        <w:rPr>
          <w:rFonts w:ascii="楷体" w:eastAsia="楷体" w:hAnsi="楷体"/>
          <w:color w:val="000000" w:themeColor="text1"/>
          <w:sz w:val="24"/>
          <w:szCs w:val="24"/>
        </w:rPr>
      </w:pPr>
      <w:r w:rsidRPr="002B2B4E">
        <w:rPr>
          <w:rFonts w:ascii="楷体" w:eastAsia="楷体" w:hAnsi="楷体" w:hint="eastAsia"/>
          <w:color w:val="000000" w:themeColor="text1"/>
          <w:sz w:val="24"/>
          <w:szCs w:val="24"/>
        </w:rPr>
        <w:t>LME库存前期累积但拐点出现，库存水平在近两年高位，海外隐性库存显性化，进口盈利窗口关闭，但前期海外订单陆续到货仍有补充，在国内供应高位的背景下，供应过剩预期增加，需求无明显改善但维持基础消费，价格趋弱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2321337"/>
      <w:r>
        <w:rPr>
          <w:rFonts w:ascii="楷体" w:eastAsia="楷体" w:hAnsi="楷体" w:hint="eastAsia"/>
          <w:b/>
          <w:color w:val="000000" w:themeColor="text1"/>
          <w:sz w:val="24"/>
          <w:szCs w:val="24"/>
        </w:rPr>
        <w:t>镍：</w:t>
      </w:r>
      <w:r w:rsidR="0008229A" w:rsidRPr="0008229A">
        <w:rPr>
          <w:rFonts w:ascii="楷体" w:eastAsia="楷体" w:hAnsi="楷体" w:hint="eastAsia"/>
          <w:b/>
          <w:color w:val="000000" w:themeColor="text1"/>
          <w:sz w:val="24"/>
          <w:szCs w:val="24"/>
        </w:rPr>
        <w:t>供应过剩压力仍持续，镍价反弹空间有限</w:t>
      </w:r>
      <w:bookmarkEnd w:id="31"/>
    </w:p>
    <w:p w:rsidR="003F56A5" w:rsidRDefault="0008229A">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近期镍价反弹的原因在于：在精炼镍利润被严重压缩后，高冰镍一体化生产成本带来支撑；此外，印尼将试行镍铁价格指数、美联储降息预期升温，对盘面有一定提振。然而，基本面仍维持弱势，精炼镍产量仍持续增加，需求整体上偏弱，库存延续累库趋势，上期所仓单自2021年3月后首次重回1万吨以上，供应过剩压力叠加印尼MHP产能持续释放给电积镍成本打开下跌空间，镍价反弹空间有限</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2321338"/>
      <w:r>
        <w:rPr>
          <w:rFonts w:ascii="楷体" w:eastAsia="楷体" w:hAnsi="楷体" w:hint="eastAsia"/>
          <w:b/>
          <w:color w:val="000000" w:themeColor="text1"/>
          <w:sz w:val="24"/>
          <w:szCs w:val="24"/>
        </w:rPr>
        <w:lastRenderedPageBreak/>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2321339"/>
      <w:r>
        <w:rPr>
          <w:rFonts w:ascii="楷体" w:eastAsia="楷体" w:hAnsi="楷体" w:hint="eastAsia"/>
          <w:b/>
          <w:color w:val="000000" w:themeColor="text1"/>
          <w:sz w:val="24"/>
          <w:szCs w:val="24"/>
        </w:rPr>
        <w:t>不锈钢：</w:t>
      </w:r>
      <w:r w:rsidR="0008229A" w:rsidRPr="0008229A">
        <w:rPr>
          <w:rFonts w:ascii="楷体" w:eastAsia="楷体" w:hAnsi="楷体" w:hint="eastAsia"/>
          <w:b/>
          <w:color w:val="000000" w:themeColor="text1"/>
          <w:sz w:val="24"/>
          <w:szCs w:val="24"/>
        </w:rPr>
        <w:t>镍铁指数消息提振，但暂无明显反弹驱动</w:t>
      </w:r>
      <w:bookmarkEnd w:id="33"/>
    </w:p>
    <w:p w:rsidR="003F56A5" w:rsidRDefault="0008229A" w:rsidP="001529BB">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印尼镍铁价格指数将于今天推出，有利于印尼镍产业链合理公允地定价，提振不锈钢价。成本端，镍矿让利空间有限，镍铁厂在严重亏损情况下挺价意愿较强，加上市场情绪好转，镍铁价格逐渐企稳。供应端，不锈钢利润在成本持续下跌后有所修复，部分钢厂开始复产。需求端，受镍和不锈钢期价反弹影响，下游交投氛围有所好转，本周社库下降4.8万吨，但现在处于不锈钢传统消费淡季，且国内经济处于弱复苏状态，需求难有明显起色。综合而言，虽有提振，但在供需压力下不锈钢价暂无持续性反弹驱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2321340"/>
      <w:r>
        <w:rPr>
          <w:rFonts w:ascii="楷体" w:eastAsia="楷体" w:hAnsi="楷体" w:hint="eastAsia"/>
          <w:b/>
          <w:color w:val="000000" w:themeColor="text1"/>
          <w:sz w:val="24"/>
          <w:szCs w:val="24"/>
        </w:rPr>
        <w:t>工业硅：</w:t>
      </w:r>
      <w:r w:rsidR="0008229A" w:rsidRPr="0008229A">
        <w:rPr>
          <w:rFonts w:ascii="楷体" w:eastAsia="楷体" w:hAnsi="楷体" w:hint="eastAsia"/>
          <w:b/>
          <w:sz w:val="24"/>
          <w:szCs w:val="24"/>
        </w:rPr>
        <w:t>西南计划陆续停产，短期下行或有限</w:t>
      </w:r>
      <w:bookmarkEnd w:id="34"/>
    </w:p>
    <w:p w:rsidR="003F56A5" w:rsidRDefault="0008229A" w:rsidP="00827E8A">
      <w:pPr>
        <w:ind w:leftChars="300" w:left="630"/>
        <w:rPr>
          <w:rFonts w:ascii="楷体" w:eastAsia="楷体" w:hAnsi="楷体"/>
          <w:sz w:val="24"/>
          <w:szCs w:val="24"/>
        </w:rPr>
      </w:pPr>
      <w:r w:rsidRPr="0008229A">
        <w:rPr>
          <w:rFonts w:ascii="楷体" w:eastAsia="楷体" w:hAnsi="楷体" w:hint="eastAsia"/>
          <w:sz w:val="24"/>
          <w:szCs w:val="24"/>
        </w:rPr>
        <w:t>11月30日，Si2401主力合约呈V形走势，收盘价14005元/吨，较上一收盘价涨跌幅＋0.25%。据云南硅厂反馈，近期洗精煤、木炭、电费均出现一定程度上涨。其中，在缅甸木炭进口较为困难，目前多以消耗库存木炭为主，叠加综合成本抬升情况下，当地较多工厂将继续陆续停产，供应存在收缩预期，预计短期盘面下行空间有限。策略上，谨慎资金可暂时观望，激进资金可尝试逢低试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23213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620BEB" w:rsidRDefault="00CC3FFA" w:rsidP="00620BEB">
      <w:pPr>
        <w:ind w:firstLineChars="200" w:firstLine="482"/>
        <w:outlineLvl w:val="1"/>
        <w:rPr>
          <w:rFonts w:ascii="楷体" w:eastAsia="楷体" w:hAnsi="楷体"/>
          <w:b/>
          <w:sz w:val="24"/>
          <w:szCs w:val="24"/>
        </w:rPr>
      </w:pPr>
      <w:bookmarkStart w:id="37" w:name="_Toc15232134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8229A" w:rsidRPr="0008229A">
        <w:rPr>
          <w:rFonts w:ascii="楷体" w:eastAsia="楷体" w:hAnsi="楷体" w:hint="eastAsia"/>
          <w:b/>
          <w:sz w:val="24"/>
          <w:szCs w:val="24"/>
        </w:rPr>
        <w:t>多空双方在关键支撑位博弈激烈，建议谨慎观望为主</w:t>
      </w:r>
      <w:bookmarkEnd w:id="37"/>
    </w:p>
    <w:p w:rsidR="003F56A5" w:rsidRDefault="0008229A">
      <w:pPr>
        <w:ind w:leftChars="300" w:left="630"/>
        <w:rPr>
          <w:rFonts w:ascii="楷体" w:eastAsia="楷体" w:hAnsi="楷体"/>
          <w:sz w:val="24"/>
          <w:szCs w:val="24"/>
        </w:rPr>
      </w:pPr>
      <w:r w:rsidRPr="0008229A">
        <w:rPr>
          <w:rFonts w:ascii="楷体" w:eastAsia="楷体" w:hAnsi="楷体" w:hint="eastAsia"/>
          <w:sz w:val="24"/>
          <w:szCs w:val="24"/>
        </w:rPr>
        <w:t>点评：昨日天胶大幅回落，目前多空双方在144日均线位置博弈加剧。供应方面，国内云南产区逐步进入停割期，原料收购价格表现坚挺，叠加上游产区生产利润持续处于亏损状态，胶价下行空间有限。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w:t>
      </w:r>
      <w:r w:rsidRPr="0008229A">
        <w:rPr>
          <w:rFonts w:ascii="楷体" w:eastAsia="楷体" w:hAnsi="楷体" w:hint="eastAsia"/>
          <w:sz w:val="24"/>
          <w:szCs w:val="24"/>
        </w:rPr>
        <w:lastRenderedPageBreak/>
        <w:t>数据同环比继续走强，汽车消费旺季来临市场景气度高。整体看，在新的强利好支撑出现前，橡胶建议先观望为主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232134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B32FF" w:rsidRPr="002B32FF">
        <w:rPr>
          <w:rFonts w:ascii="Calibri" w:eastAsia="楷体" w:hAnsi="Calibri" w:cs="Calibri" w:hint="eastAsia"/>
          <w:b/>
          <w:color w:val="000000" w:themeColor="text1"/>
          <w:sz w:val="24"/>
          <w:szCs w:val="24"/>
        </w:rPr>
        <w:t> </w:t>
      </w:r>
      <w:r w:rsidR="002B2B4E" w:rsidRPr="002B2B4E">
        <w:rPr>
          <w:rFonts w:ascii="Calibri" w:eastAsia="楷体" w:hAnsi="Calibri" w:cs="Calibri" w:hint="eastAsia"/>
          <w:b/>
          <w:color w:val="000000" w:themeColor="text1"/>
          <w:sz w:val="24"/>
          <w:szCs w:val="24"/>
        </w:rPr>
        <w:t>供需矛盾不突出</w:t>
      </w:r>
      <w:r w:rsidR="002B2B4E" w:rsidRPr="002B2B4E">
        <w:rPr>
          <w:rFonts w:ascii="Calibri" w:eastAsia="楷体" w:hAnsi="Calibri" w:cs="Calibri" w:hint="eastAsia"/>
          <w:b/>
          <w:color w:val="000000" w:themeColor="text1"/>
          <w:sz w:val="24"/>
          <w:szCs w:val="24"/>
        </w:rPr>
        <w:t xml:space="preserve"> </w:t>
      </w:r>
      <w:r w:rsidR="002B2B4E" w:rsidRPr="002B2B4E">
        <w:rPr>
          <w:rFonts w:ascii="Calibri" w:eastAsia="楷体" w:hAnsi="Calibri" w:cs="Calibri" w:hint="eastAsia"/>
          <w:b/>
          <w:color w:val="000000" w:themeColor="text1"/>
          <w:sz w:val="24"/>
          <w:szCs w:val="24"/>
        </w:rPr>
        <w:t>短期调整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2B2B4E" w:rsidP="002C73FE">
      <w:pPr>
        <w:ind w:leftChars="300" w:left="630"/>
        <w:rPr>
          <w:rFonts w:ascii="楷体" w:eastAsia="楷体" w:hAnsi="楷体"/>
          <w:color w:val="000000" w:themeColor="text1"/>
          <w:sz w:val="24"/>
          <w:szCs w:val="24"/>
        </w:rPr>
      </w:pPr>
      <w:r w:rsidRPr="002B2B4E">
        <w:rPr>
          <w:rFonts w:ascii="楷体" w:eastAsia="楷体" w:hAnsi="楷体" w:hint="eastAsia"/>
          <w:color w:val="000000" w:themeColor="text1"/>
          <w:sz w:val="24"/>
          <w:szCs w:val="24"/>
        </w:rPr>
        <w:t>OPEC+会议深化减产依然可期，减产预期持续升温 原油短线强势以待。PX方面，近期供应大幅增加，PTA供应方面，仪征64万吨以及逸盛宁波4线装置重启，恒力石化装置负荷调整，PTA装置负荷上涨至79.4%。截止11.24逸盛海南250万吨PTA新装置一条线正常运行。本周有一套短纤装置检修，一套瓶片装置开启，此外其他装置负荷也有调整，截至11.24，初步核算国内大陆地区聚酯负荷在89.8%。应季品种销售放量，江浙终端开工率明显提升且效益改善。综合来看，前期高加工费下PTA供给端装置重启与新产能投产后，近期聚酯链品种开工相对稳定，产业链矛盾不突出，关注5600附近支撑位。后市来看，进入12月份后节前补库预期及宏观氛围提振，PTA期价仍具备看多价值。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2321344"/>
      <w:r>
        <w:rPr>
          <w:rFonts w:ascii="楷体" w:eastAsia="楷体" w:hAnsi="楷体" w:hint="eastAsia"/>
          <w:b/>
          <w:color w:val="000000" w:themeColor="text1"/>
          <w:sz w:val="24"/>
          <w:szCs w:val="24"/>
        </w:rPr>
        <w:t>聚烯烃：</w:t>
      </w:r>
      <w:r w:rsidR="0008229A" w:rsidRPr="0008229A">
        <w:rPr>
          <w:rFonts w:ascii="楷体" w:eastAsia="楷体" w:hAnsi="楷体" w:hint="eastAsia"/>
          <w:b/>
          <w:color w:val="000000" w:themeColor="text1"/>
          <w:sz w:val="24"/>
          <w:szCs w:val="24"/>
        </w:rPr>
        <w:t>需求季节性淡季 聚烯烃建议逢高做空</w:t>
      </w:r>
      <w:bookmarkEnd w:id="39"/>
    </w:p>
    <w:p w:rsidR="003F56A5" w:rsidRDefault="0008229A">
      <w:pPr>
        <w:ind w:leftChars="300" w:left="630"/>
        <w:rPr>
          <w:rFonts w:ascii="楷体" w:eastAsia="楷体" w:hAnsi="楷体"/>
          <w:bCs/>
          <w:sz w:val="24"/>
          <w:szCs w:val="24"/>
        </w:rPr>
      </w:pPr>
      <w:r w:rsidRPr="0008229A">
        <w:rPr>
          <w:rFonts w:ascii="楷体" w:eastAsia="楷体" w:hAnsi="楷体" w:hint="eastAsia"/>
          <w:color w:val="000000" w:themeColor="text1"/>
          <w:sz w:val="24"/>
          <w:szCs w:val="24"/>
        </w:rPr>
        <w:t>库存方面，因风暴而受阻，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OPEC+会议多个产油国宣布将在明年第一季度进行新一轮自愿减产，合计规模约220万桶/日，但市场担忧实际执行力度缺乏官方约束性， 国际油价大涨后收跌。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2321345"/>
      <w:r>
        <w:rPr>
          <w:rFonts w:ascii="楷体" w:eastAsia="楷体" w:hAnsi="楷体" w:hint="eastAsia"/>
          <w:b/>
          <w:color w:val="000000" w:themeColor="text1"/>
          <w:sz w:val="24"/>
          <w:szCs w:val="24"/>
        </w:rPr>
        <w:t>MEG：</w:t>
      </w:r>
      <w:r w:rsidR="002B2B4E" w:rsidRPr="002B2B4E">
        <w:rPr>
          <w:rFonts w:ascii="楷体" w:eastAsia="楷体" w:hAnsi="楷体" w:hint="eastAsia"/>
          <w:b/>
          <w:color w:val="000000" w:themeColor="text1"/>
          <w:sz w:val="24"/>
          <w:szCs w:val="24"/>
        </w:rPr>
        <w:t>关注低多机会</w:t>
      </w:r>
      <w:bookmarkEnd w:id="40"/>
    </w:p>
    <w:p w:rsidR="003F56A5" w:rsidRDefault="002B2B4E" w:rsidP="00152664">
      <w:pPr>
        <w:ind w:leftChars="300" w:left="630"/>
        <w:rPr>
          <w:rFonts w:ascii="楷体" w:eastAsia="楷体" w:hAnsi="楷体"/>
          <w:color w:val="000000" w:themeColor="text1"/>
          <w:sz w:val="24"/>
          <w:szCs w:val="24"/>
        </w:rPr>
      </w:pPr>
      <w:r w:rsidRPr="002B2B4E">
        <w:rPr>
          <w:rFonts w:ascii="楷体" w:eastAsia="楷体" w:hAnsi="楷体" w:hint="eastAsia"/>
          <w:color w:val="000000" w:themeColor="text1"/>
          <w:sz w:val="24"/>
          <w:szCs w:val="24"/>
        </w:rPr>
        <w:t>供需情况，11.27华东主港地区MEG港口库存约124.2万吨附近，环比上期-2.6万吨。截至11月23日，中国大陆地区乙二醇整体开工负荷在62.5%（+0.9%），其中煤制乙二醇开工负荷在63.84%（-0.21%）。截至11月24日，国内大陆地区聚酯负荷在89.8%，开工高位维持。终端来看，江浙终端开工率明显抬升。江浙加弹综合开工91%（+2%）维持，江浙织机综合开工小幅提升至85%（+3%），江浙印染综合开工83%（+4%），本周局部织造产品订单放量，伴随聚酯原料降价让利，涤丝、瓶片等产品效益改善。综合来看，巴拿马运河扰动减弱及供给维持高位，但进口到港减少预期及聚酯高开工维持驱动仍存，关注乙二醇低多机会，下方支撑4050-4080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2321346"/>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8229A" w:rsidRPr="0008229A">
        <w:rPr>
          <w:rFonts w:ascii="楷体" w:eastAsia="楷体" w:hAnsi="楷体" w:hint="eastAsia"/>
          <w:b/>
          <w:color w:val="000000" w:themeColor="text1"/>
          <w:sz w:val="24"/>
          <w:szCs w:val="24"/>
        </w:rPr>
        <w:t>连续两周去库，库存低位下关注现货是否有挺价情况</w:t>
      </w:r>
      <w:bookmarkEnd w:id="41"/>
    </w:p>
    <w:p w:rsidR="00A71A7E" w:rsidRDefault="0008229A" w:rsidP="002B2B4E">
      <w:pPr>
        <w:ind w:leftChars="300" w:left="630"/>
        <w:rPr>
          <w:rFonts w:ascii="楷体" w:eastAsia="楷体" w:hAnsi="楷体"/>
          <w:color w:val="000000" w:themeColor="text1"/>
          <w:sz w:val="24"/>
          <w:szCs w:val="24"/>
        </w:rPr>
      </w:pPr>
      <w:r w:rsidRPr="0008229A">
        <w:rPr>
          <w:rFonts w:ascii="楷体" w:eastAsia="楷体" w:hAnsi="楷体" w:hint="eastAsia"/>
          <w:color w:val="000000" w:themeColor="text1"/>
          <w:sz w:val="24"/>
          <w:szCs w:val="24"/>
        </w:rPr>
        <w:t>隆众资讯11月30日报道：今日浮法玻璃现货价格1960元/吨，较上一交</w:t>
      </w:r>
      <w:r w:rsidRPr="0008229A">
        <w:rPr>
          <w:rFonts w:ascii="楷体" w:eastAsia="楷体" w:hAnsi="楷体" w:hint="eastAsia"/>
          <w:color w:val="000000" w:themeColor="text1"/>
          <w:sz w:val="24"/>
          <w:szCs w:val="24"/>
        </w:rPr>
        <w:lastRenderedPageBreak/>
        <w:t>易日持平。截至2023年11月30日，全国浮法玻璃日产量为17.28万吨，比23日+0.23%。库存上，周内全国浮法玻璃样本企业总库存3770.1万重箱，环比下滑128.9万重箱，环比-3.31%。需求上，产销较上周略有下降，但整体日均产销仍处于超百去库阶段。周内东北和华北地区降价去库明显，南方地区年底赶工相对产销较好，下游深加工企业订单天数20.6天，较11月中旬-1.1天。盘面玻璃期价较为坚挺，厂库和社库双低位下，期价主要由预期驱动，短期01合约在（1750，1800）区间震荡，但在宏观较好+低库存情况下，期货狠可能率先上涨带动现货涨价补库情况出现。重点关注现货情况。操作上，建议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2321347"/>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8229A" w:rsidRPr="0008229A">
        <w:rPr>
          <w:rFonts w:ascii="楷体" w:eastAsia="楷体" w:hAnsi="楷体" w:hint="eastAsia"/>
          <w:b/>
          <w:color w:val="000000" w:themeColor="text1"/>
          <w:sz w:val="24"/>
          <w:szCs w:val="24"/>
        </w:rPr>
        <w:t>现货有价无市，远月补涨</w:t>
      </w:r>
      <w:bookmarkEnd w:id="42"/>
    </w:p>
    <w:p w:rsidR="00A71A7E" w:rsidRDefault="0008229A" w:rsidP="002B2B4E">
      <w:pPr>
        <w:ind w:leftChars="300" w:left="630"/>
        <w:rPr>
          <w:rFonts w:ascii="楷体" w:eastAsia="楷体" w:hAnsi="楷体"/>
          <w:bCs/>
          <w:sz w:val="24"/>
          <w:szCs w:val="24"/>
        </w:rPr>
      </w:pPr>
      <w:r w:rsidRPr="0008229A">
        <w:rPr>
          <w:rFonts w:ascii="楷体" w:eastAsia="楷体" w:hAnsi="楷体" w:hint="eastAsia"/>
          <w:color w:val="000000" w:themeColor="text1"/>
          <w:sz w:val="24"/>
          <w:szCs w:val="24"/>
        </w:rPr>
        <w:t>纯碱现货价格继续上涨。华中和华北重碱现货价格稳价报价在2750-2850元/吨，轻碱价格报价2650-2750元/吨。供给方面，截至20231130，周内纯碱产量65.96万吨，跌幅4.61%。周纯碱厂家库存38.05万吨，环比-2.54万吨，跌幅6.26%，轻降重增，新订单排单到月中，尤其是轻碱，贸易商找货困难，有价无市。周内供给端装置扰动较多，远兴3线投产但出品不稳定，青海五彩限产，徐州丰城12月1号检修，金山三期160万吨年产能短停10天检修，产量较上周下降近4万吨。从库存结构上来看，厂库库存仍处于低位，碱厂封单情况下市场乱价，高报价无法成交。盘面上，远兴三线投产兑现后，现货上涨再次带动01合约收基差，短线以低多收基差思路为主，05合约移仓+被近月带动上涨，但时间上扩产累库预期足够兑现，等待反弹结束</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232134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2321349"/>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8229A" w:rsidRPr="0008229A">
        <w:rPr>
          <w:rFonts w:ascii="楷体" w:eastAsia="楷体" w:hAnsi="楷体" w:hint="eastAsia"/>
          <w:b/>
          <w:sz w:val="24"/>
          <w:szCs w:val="24"/>
        </w:rPr>
        <w:t>偏弱震荡</w:t>
      </w:r>
      <w:bookmarkEnd w:id="44"/>
    </w:p>
    <w:p w:rsidR="003F56A5" w:rsidRDefault="0008229A">
      <w:pPr>
        <w:ind w:leftChars="300" w:left="630"/>
        <w:rPr>
          <w:rFonts w:ascii="楷体" w:eastAsia="楷体" w:hAnsi="楷体"/>
          <w:sz w:val="24"/>
          <w:szCs w:val="24"/>
        </w:rPr>
      </w:pPr>
      <w:r w:rsidRPr="0008229A">
        <w:rPr>
          <w:rFonts w:ascii="楷体" w:eastAsia="楷体" w:hAnsi="楷体" w:hint="eastAsia"/>
          <w:sz w:val="24"/>
          <w:szCs w:val="24"/>
        </w:rPr>
        <w:t>因巴西大豆产区大范围降水预告，施压CBOT大豆价格，但在当前播种明显落后下，北部种植能否有效改善仍待观望。随着美豆定产后，市场定价重心逐步转向南美，巴西当前天气不确定性较大，目前种植进度落后于去年同期及五年均值水平为75.2%，虽美农报告对南美仍维持丰产预期，但中长期南美丰产预期能否兑现仍是后续价格走势的关键，关注巴西天气情况。国内现货基差延续偏弱，供应端进入11月份后，随着进口大豆到港增加，油厂大豆库存开始回升，油厂开机陆续恢复，豆粕产出缓增，但因下游成交疲软，压榨水平偏低，豆粕库存较前一周增至62.2万吨，当前沿海主流油厂豆粕现货报价下调至3880-3960元/吨。但在11-12月进口到港预期宽松下，豆粕存累库预期，关注大豆实际到港能否符合预估。需求，下游生猪养殖利润不佳，但在能繁存栏高位下，下游随采随用，保持安全库存。菜粕供应存宽松预期，但当前库存偏低。由于三季度菜籽到港减少，油厂压榨也在逐步下滑，菜粕供应下滑。但四季度随着菜籽进口增加，菜粕供应预计转宽。而需求方面，随着水产消费旺季的结束，菜粕刚需减少，但在豆菜粕价差较大下提振菜粕的替代需求。策略方面，短期跟随外盘波动，建议豆粕短线顺势操作，暂看波动区间2850-4100，可关注1-5反套机会，菜粕波动区间2800-3000，建议顺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2321350"/>
      <w:r>
        <w:rPr>
          <w:rFonts w:ascii="楷体" w:eastAsia="楷体" w:hAnsi="楷体" w:hint="eastAsia"/>
          <w:b/>
          <w:color w:val="000000" w:themeColor="text1"/>
          <w:sz w:val="24"/>
          <w:szCs w:val="24"/>
        </w:rPr>
        <w:t>油脂：</w:t>
      </w:r>
      <w:r w:rsidR="0008229A" w:rsidRPr="0008229A">
        <w:rPr>
          <w:rFonts w:ascii="楷体" w:eastAsia="楷体" w:hAnsi="楷体" w:hint="eastAsia"/>
          <w:b/>
          <w:sz w:val="24"/>
          <w:szCs w:val="24"/>
        </w:rPr>
        <w:t>维持宽幅震荡，缺乏单边驱动</w:t>
      </w:r>
      <w:bookmarkEnd w:id="45"/>
    </w:p>
    <w:p w:rsidR="003F56A5" w:rsidRDefault="0008229A" w:rsidP="00792D31">
      <w:pPr>
        <w:ind w:leftChars="300" w:left="630"/>
        <w:rPr>
          <w:rFonts w:ascii="楷体" w:eastAsia="楷体" w:hAnsi="楷体"/>
          <w:sz w:val="24"/>
          <w:szCs w:val="24"/>
        </w:rPr>
      </w:pPr>
      <w:r w:rsidRPr="0008229A">
        <w:rPr>
          <w:rFonts w:ascii="楷体" w:eastAsia="楷体" w:hAnsi="楷体" w:hint="eastAsia"/>
          <w:sz w:val="24"/>
          <w:szCs w:val="24"/>
        </w:rPr>
        <w:t>隔夜国际原油价格在opec+达成协议后冲高回落，盘中跌幅超3%，或拖累油脂走势。棕榈油，产地11月份进入季节性减产周期，库存压力逐步释放，且在厄尔尼诺现象扰动下，价格下方存支撑。印尼棕榈油9月份产需双增，但产量增幅不及需求，库存环比下降。而马棕10月份在产需双增下，库存增幅不及市场预期。四季度主要关注厄尔尼诺对产量的扰动，为中长期潜在利多因素。国内棕榈油9-10月份进口到港维持高位，但在国内高库存抑制下后续进口预计减少，最新商业库存减至96.22万吨。需求端，随着各地气温转凉，棕榈油逐步进入消费淡季，掺混需求预计减少。豆油存供需双增预期。国内随着11月后进口大豆到港增加，油厂开机有所回升，豆油供应预计将得到补充，但受豆粕下游需求疲软影响油厂压榨水平偏低，豆油增量有限。需求端，虽四季度为豆油消费旺季，部分掺混需求预计转向豆油，但当前价格优势并不明显，限制替代需求，近期成交及提货情况不佳，库存有所增加。菜油预计供需双旺。当前主产地菜籽新作处于出口阶段，集中上市压力也抑制期价走势。虽8-9月份进口加籽到港量减少，菜籽开机及压榨水平偏低，10月菜籽进口3.4万吨，环比减89%，但四季度菜籽进口预期宽松。需求方面，与豆油价差持续收窄，部分地区出现与豆油价格平水情况，提振其替代需求。短期油脂维持宽幅震荡，上方压力仍存，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2321351"/>
      <w:r>
        <w:rPr>
          <w:rFonts w:ascii="楷体" w:eastAsia="楷体" w:hAnsi="楷体" w:hint="eastAsia"/>
          <w:b/>
          <w:bCs/>
          <w:color w:val="000000" w:themeColor="text1"/>
        </w:rPr>
        <w:t>玉米与淀粉：</w:t>
      </w:r>
      <w:r w:rsidR="0008229A" w:rsidRPr="0008229A">
        <w:rPr>
          <w:rFonts w:ascii="楷体" w:eastAsia="楷体" w:hAnsi="楷体" w:hint="eastAsia"/>
          <w:b/>
        </w:rPr>
        <w:t>现货弱势未改</w:t>
      </w:r>
      <w:bookmarkEnd w:id="46"/>
    </w:p>
    <w:p w:rsidR="0008229A" w:rsidRPr="0008229A" w:rsidRDefault="0008229A" w:rsidP="0008229A">
      <w:pPr>
        <w:pStyle w:val="paragraph"/>
        <w:spacing w:after="60"/>
        <w:ind w:leftChars="300" w:left="630"/>
        <w:rPr>
          <w:rFonts w:ascii="楷体" w:eastAsia="楷体" w:hAnsi="楷体" w:hint="eastAsia"/>
        </w:rPr>
      </w:pPr>
      <w:r w:rsidRPr="0008229A">
        <w:rPr>
          <w:rFonts w:ascii="楷体" w:eastAsia="楷体" w:hAnsi="楷体" w:hint="eastAsia"/>
        </w:rPr>
        <w:t>对于玉米而言，市场延续供需博弈，空方基于农户余粮仍在八成左右，而中下游补库意愿较低，倾向于认为接下来仍有新作上市压力。而多方则更多倾向于东北和华北产区新作压力最大的时候或已经过去，且国产玉米性价比在持续回落之后有显著提升，目前已优于小麦和陈稻，仅次于进口谷物，中下游包括贸易商和需求企业或逐步转变心态，有望基于年度产需缺口而进入补库阶段。在这种情况下，接下来市场走势在很大程度上取决于供需双方的博弈，突出体现在上游农户的惜售心理和中下游补库意愿上。考虑到远月技术破位叠加现货转为弱势，虽存在基差支撑，但我们转为中性观点，建议暂以观望为宜。</w:t>
      </w:r>
    </w:p>
    <w:p w:rsidR="003F56A5" w:rsidRDefault="0008229A" w:rsidP="0008229A">
      <w:pPr>
        <w:pStyle w:val="paragraph"/>
        <w:spacing w:before="0" w:beforeAutospacing="0" w:after="60" w:afterAutospacing="0"/>
        <w:ind w:leftChars="300" w:left="630"/>
        <w:rPr>
          <w:rFonts w:ascii="楷体" w:eastAsia="楷体" w:hAnsi="楷体"/>
        </w:rPr>
      </w:pPr>
      <w:r w:rsidRPr="0008229A">
        <w:rPr>
          <w:rFonts w:ascii="楷体" w:eastAsia="楷体" w:hAnsi="楷体" w:hint="eastAsia"/>
        </w:rPr>
        <w:t>对于淀粉而言，影响淀粉-玉米价差的三个方面因素已经发生变化，原料端转向利多，供需端则有望从利多转向利空，副产品端则存在较大变数。在这种情况下，我们倾向于认为淀粉-玉米价差不排除在原料玉米和现货基差的带动下继续走扩的可能性，但受制于供需端的变化其上方空间或相对有限，除非蛋白粕带动副产品价格继续下跌。考虑到原料端的不确定性，观点转为中性，单边建议观望，套利方面则建议前期淀粉-玉米价差走扩套利组合可考虑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2321352"/>
      <w:r>
        <w:rPr>
          <w:rFonts w:ascii="楷体" w:eastAsia="楷体" w:hAnsi="楷体" w:hint="eastAsia"/>
          <w:b/>
          <w:bCs/>
          <w:color w:val="000000" w:themeColor="text1"/>
        </w:rPr>
        <w:t>畜禽养殖：</w:t>
      </w:r>
      <w:r w:rsidR="0008229A" w:rsidRPr="0008229A">
        <w:rPr>
          <w:rFonts w:ascii="楷体" w:eastAsia="楷体" w:hAnsi="楷体" w:hint="eastAsia"/>
          <w:b/>
          <w:bCs/>
          <w:color w:val="000000" w:themeColor="text1"/>
        </w:rPr>
        <w:t>生猪基差持续走强</w:t>
      </w:r>
      <w:bookmarkEnd w:id="47"/>
    </w:p>
    <w:p w:rsidR="0008229A" w:rsidRPr="0008229A" w:rsidRDefault="0008229A" w:rsidP="0008229A">
      <w:pPr>
        <w:pStyle w:val="paragraph"/>
        <w:spacing w:after="60"/>
        <w:ind w:leftChars="300" w:left="630"/>
        <w:rPr>
          <w:rFonts w:ascii="楷体" w:eastAsia="楷体" w:hAnsi="楷体" w:hint="eastAsia"/>
        </w:rPr>
      </w:pPr>
      <w:r w:rsidRPr="0008229A">
        <w:rPr>
          <w:rFonts w:ascii="楷体" w:eastAsia="楷体" w:hAnsi="楷体" w:hint="eastAsia"/>
        </w:rPr>
        <w:lastRenderedPageBreak/>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近期现货持续弱势，或源于两个方面因素，其一是疫情带动供应冲击，其二是季节性需求尚未启动，在这种情况下，需要等待供需改善带动现货转势。综上所述，我们维持中性观点，建议投资者转为观望为宜。</w:t>
      </w:r>
    </w:p>
    <w:p w:rsidR="003F56A5" w:rsidRDefault="0008229A" w:rsidP="0008229A">
      <w:pPr>
        <w:pStyle w:val="paragraph"/>
        <w:spacing w:before="0" w:beforeAutospacing="0" w:after="60" w:afterAutospacing="0"/>
        <w:ind w:leftChars="300" w:left="630"/>
        <w:rPr>
          <w:rFonts w:ascii="楷体" w:eastAsia="楷体" w:hAnsi="楷体"/>
        </w:rPr>
      </w:pPr>
      <w:r w:rsidRPr="0008229A">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2321353"/>
      <w:r>
        <w:rPr>
          <w:rFonts w:ascii="楷体" w:eastAsia="楷体" w:hAnsi="楷体" w:hint="eastAsia"/>
          <w:b/>
          <w:sz w:val="24"/>
          <w:szCs w:val="24"/>
        </w:rPr>
        <w:t>郑棉：</w:t>
      </w:r>
      <w:r w:rsidR="0008229A" w:rsidRPr="0008229A">
        <w:rPr>
          <w:rFonts w:ascii="楷体" w:eastAsia="楷体" w:hAnsi="楷体" w:hint="eastAsia"/>
          <w:b/>
          <w:sz w:val="24"/>
          <w:szCs w:val="24"/>
        </w:rPr>
        <w:t>小幅反弹，1.55关口承压</w:t>
      </w:r>
      <w:bookmarkEnd w:id="48"/>
    </w:p>
    <w:p w:rsidR="003F56A5" w:rsidRDefault="0008229A" w:rsidP="007B3290">
      <w:pPr>
        <w:ind w:leftChars="300" w:left="630"/>
        <w:rPr>
          <w:rFonts w:ascii="楷体" w:eastAsia="楷体" w:hAnsi="楷体"/>
          <w:sz w:val="24"/>
          <w:szCs w:val="24"/>
        </w:rPr>
      </w:pPr>
      <w:r w:rsidRPr="0008229A">
        <w:rPr>
          <w:rFonts w:ascii="楷体" w:eastAsia="楷体" w:hAnsi="楷体" w:hint="eastAsia"/>
          <w:sz w:val="24"/>
          <w:szCs w:val="24"/>
        </w:rPr>
        <w:t>国内新棉加工速度极快，价格持续走弱，现货价格指数已跌至1.63万元/吨。棉花棉纱进口如期大增。供应端维持宽松，而下游负反馈情况显著。社会棉纱库存和纺织厂棉纱库存皆处于历史性高位，需用时间或者空间来清理。纺织厂开机率也在持续降低中。但经过长期下跌后棉花价格已至相对低位，空头和多头资金双方意愿此消彼长。随着01合约移仓换月时间临近，空头资金大量离场，01合约小幅反弹。1-5价差持续扩大，已升至近400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2321354"/>
      <w:r>
        <w:rPr>
          <w:rFonts w:ascii="楷体" w:eastAsia="楷体" w:hAnsi="楷体" w:hint="eastAsia"/>
          <w:b/>
          <w:sz w:val="24"/>
          <w:szCs w:val="24"/>
        </w:rPr>
        <w:t>白糖：</w:t>
      </w:r>
      <w:r w:rsidR="0008229A" w:rsidRPr="0008229A">
        <w:rPr>
          <w:rFonts w:ascii="楷体" w:eastAsia="楷体" w:hAnsi="楷体" w:hint="eastAsia"/>
          <w:b/>
          <w:sz w:val="24"/>
          <w:szCs w:val="24"/>
        </w:rPr>
        <w:t>震荡偏弱，有向下破位可能</w:t>
      </w:r>
      <w:bookmarkEnd w:id="49"/>
    </w:p>
    <w:p w:rsidR="00296325" w:rsidRDefault="0008229A" w:rsidP="00296325">
      <w:pPr>
        <w:ind w:leftChars="300" w:left="630"/>
        <w:rPr>
          <w:rFonts w:ascii="楷体" w:eastAsia="楷体" w:hAnsi="楷体"/>
          <w:sz w:val="24"/>
          <w:szCs w:val="24"/>
        </w:rPr>
      </w:pPr>
      <w:r w:rsidRPr="0008229A">
        <w:rPr>
          <w:rFonts w:ascii="楷体" w:eastAsia="楷体" w:hAnsi="楷体" w:hint="eastAsia"/>
          <w:sz w:val="24"/>
          <w:szCs w:val="24"/>
        </w:rPr>
        <w:t>巴西产量再创新高，11月上半月产量同比增加31%，但港口拥堵问题限制了巴西白糖外运，原糖保持强势。除巴西外，厄尔尼诺天气影响下，市场对新季白糖的供应依然存在忧虑。主要产糖大国印度的乙醇燃料计划使其甘蔗使用量大增，出口限制政策延续。泰国的产糖前景也不乐观，泰国发布限制出口政策，市场对此感到担忧。泰国内阁批准国内糖价上调10%。对于国内糖价来说，新榨季开始，传闻本榨季广西有望增产15%—20%。10月进口量大增至92.5万吨。供应短期内趋向宽松，现货价格持续走弱，基差已收敛</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2321355"/>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2321356"/>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08229A" w:rsidRPr="0008229A">
        <w:rPr>
          <w:rFonts w:ascii="Times New Roman" w:eastAsia="楷体" w:hAnsi="Times New Roman" w:hint="eastAsia"/>
          <w:b/>
          <w:color w:val="000000" w:themeColor="text1"/>
          <w:sz w:val="24"/>
          <w:szCs w:val="24"/>
        </w:rPr>
        <w:t>货运量增加支撑</w:t>
      </w:r>
      <w:r w:rsidR="0008229A" w:rsidRPr="0008229A">
        <w:rPr>
          <w:rFonts w:ascii="Times New Roman" w:eastAsia="楷体" w:hAnsi="Times New Roman" w:hint="eastAsia"/>
          <w:b/>
          <w:color w:val="000000" w:themeColor="text1"/>
          <w:sz w:val="24"/>
          <w:szCs w:val="24"/>
        </w:rPr>
        <w:t>EC</w:t>
      </w:r>
      <w:r w:rsidR="0008229A" w:rsidRPr="0008229A">
        <w:rPr>
          <w:rFonts w:ascii="Times New Roman" w:eastAsia="楷体" w:hAnsi="Times New Roman" w:hint="eastAsia"/>
          <w:b/>
          <w:color w:val="000000" w:themeColor="text1"/>
          <w:sz w:val="24"/>
          <w:szCs w:val="24"/>
        </w:rPr>
        <w:t>价格</w:t>
      </w:r>
      <w:bookmarkEnd w:id="51"/>
    </w:p>
    <w:p w:rsidR="0008229A" w:rsidRPr="0008229A" w:rsidRDefault="0008229A" w:rsidP="0008229A">
      <w:pPr>
        <w:ind w:leftChars="300" w:left="630"/>
        <w:rPr>
          <w:rFonts w:ascii="Times New Roman" w:eastAsia="楷体" w:hAnsi="Times New Roman" w:hint="eastAsia"/>
          <w:color w:val="000000" w:themeColor="text1"/>
          <w:sz w:val="24"/>
          <w:szCs w:val="24"/>
        </w:rPr>
      </w:pPr>
      <w:r w:rsidRPr="0008229A">
        <w:rPr>
          <w:rFonts w:ascii="Times New Roman" w:eastAsia="楷体" w:hAnsi="Times New Roman" w:hint="eastAsia"/>
          <w:color w:val="000000" w:themeColor="text1"/>
          <w:sz w:val="24"/>
          <w:szCs w:val="24"/>
        </w:rPr>
        <w:t>创两月新高，关注今日盘后</w:t>
      </w:r>
      <w:r w:rsidRPr="0008229A">
        <w:rPr>
          <w:rFonts w:ascii="Times New Roman" w:eastAsia="楷体" w:hAnsi="Times New Roman" w:hint="eastAsia"/>
          <w:color w:val="000000" w:themeColor="text1"/>
          <w:sz w:val="24"/>
          <w:szCs w:val="24"/>
        </w:rPr>
        <w:t>SCFI</w:t>
      </w:r>
      <w:r w:rsidRPr="0008229A">
        <w:rPr>
          <w:rFonts w:ascii="Times New Roman" w:eastAsia="楷体" w:hAnsi="Times New Roman" w:hint="eastAsia"/>
          <w:color w:val="000000" w:themeColor="text1"/>
          <w:sz w:val="24"/>
          <w:szCs w:val="24"/>
        </w:rPr>
        <w:t>数据公布</w:t>
      </w:r>
    </w:p>
    <w:p w:rsidR="0008229A" w:rsidRPr="0008229A" w:rsidRDefault="0008229A" w:rsidP="0008229A">
      <w:pPr>
        <w:ind w:leftChars="300" w:left="630"/>
        <w:rPr>
          <w:rFonts w:ascii="Times New Roman" w:eastAsia="楷体" w:hAnsi="Times New Roman" w:hint="eastAsia"/>
          <w:color w:val="000000" w:themeColor="text1"/>
          <w:sz w:val="24"/>
          <w:szCs w:val="24"/>
        </w:rPr>
      </w:pPr>
      <w:r w:rsidRPr="0008229A">
        <w:rPr>
          <w:rFonts w:ascii="Times New Roman" w:eastAsia="楷体" w:hAnsi="Times New Roman" w:hint="eastAsia"/>
          <w:color w:val="000000" w:themeColor="text1"/>
          <w:sz w:val="24"/>
          <w:szCs w:val="24"/>
        </w:rPr>
        <w:t>供应端方面，船公司通过削减航线等方式启动其挺价计划，实施效果良好。并且各大船司于</w:t>
      </w:r>
      <w:r w:rsidRPr="0008229A">
        <w:rPr>
          <w:rFonts w:ascii="Times New Roman" w:eastAsia="楷体" w:hAnsi="Times New Roman" w:hint="eastAsia"/>
          <w:color w:val="000000" w:themeColor="text1"/>
          <w:sz w:val="24"/>
          <w:szCs w:val="24"/>
        </w:rPr>
        <w:t>12</w:t>
      </w:r>
      <w:r w:rsidRPr="0008229A">
        <w:rPr>
          <w:rFonts w:ascii="Times New Roman" w:eastAsia="楷体" w:hAnsi="Times New Roman" w:hint="eastAsia"/>
          <w:color w:val="000000" w:themeColor="text1"/>
          <w:sz w:val="24"/>
          <w:szCs w:val="24"/>
        </w:rPr>
        <w:t>月初开始上调运价，供应端出现短期改善。外需方面，随着圣诞假期来临，欧亚海运货柜量显著增加。另外欧洲经济同样出现边际回暖，</w:t>
      </w:r>
      <w:r w:rsidRPr="0008229A">
        <w:rPr>
          <w:rFonts w:ascii="Times New Roman" w:eastAsia="楷体" w:hAnsi="Times New Roman" w:hint="eastAsia"/>
          <w:color w:val="000000" w:themeColor="text1"/>
          <w:sz w:val="24"/>
          <w:szCs w:val="24"/>
        </w:rPr>
        <w:t>11</w:t>
      </w:r>
      <w:r w:rsidRPr="0008229A">
        <w:rPr>
          <w:rFonts w:ascii="Times New Roman" w:eastAsia="楷体" w:hAnsi="Times New Roman" w:hint="eastAsia"/>
          <w:color w:val="000000" w:themeColor="text1"/>
          <w:sz w:val="24"/>
          <w:szCs w:val="24"/>
        </w:rPr>
        <w:t>月欧元区制造业</w:t>
      </w:r>
      <w:r w:rsidRPr="0008229A">
        <w:rPr>
          <w:rFonts w:ascii="Times New Roman" w:eastAsia="楷体" w:hAnsi="Times New Roman" w:hint="eastAsia"/>
          <w:color w:val="000000" w:themeColor="text1"/>
          <w:sz w:val="24"/>
          <w:szCs w:val="24"/>
        </w:rPr>
        <w:t>PMI</w:t>
      </w:r>
      <w:r w:rsidRPr="0008229A">
        <w:rPr>
          <w:rFonts w:ascii="Times New Roman" w:eastAsia="楷体" w:hAnsi="Times New Roman" w:hint="eastAsia"/>
          <w:color w:val="000000" w:themeColor="text1"/>
          <w:sz w:val="24"/>
          <w:szCs w:val="24"/>
        </w:rPr>
        <w:t>数据为</w:t>
      </w:r>
      <w:r w:rsidRPr="0008229A">
        <w:rPr>
          <w:rFonts w:ascii="Times New Roman" w:eastAsia="楷体" w:hAnsi="Times New Roman" w:hint="eastAsia"/>
          <w:color w:val="000000" w:themeColor="text1"/>
          <w:sz w:val="24"/>
          <w:szCs w:val="24"/>
        </w:rPr>
        <w:t>43.8</w:t>
      </w:r>
      <w:r w:rsidRPr="0008229A">
        <w:rPr>
          <w:rFonts w:ascii="Times New Roman" w:eastAsia="楷体" w:hAnsi="Times New Roman" w:hint="eastAsia"/>
          <w:color w:val="000000" w:themeColor="text1"/>
          <w:sz w:val="24"/>
          <w:szCs w:val="24"/>
        </w:rPr>
        <w:t>，超过预期的</w:t>
      </w:r>
      <w:r w:rsidRPr="0008229A">
        <w:rPr>
          <w:rFonts w:ascii="Times New Roman" w:eastAsia="楷体" w:hAnsi="Times New Roman" w:hint="eastAsia"/>
          <w:color w:val="000000" w:themeColor="text1"/>
          <w:sz w:val="24"/>
          <w:szCs w:val="24"/>
        </w:rPr>
        <w:t>43.4</w:t>
      </w:r>
      <w:r w:rsidRPr="0008229A">
        <w:rPr>
          <w:rFonts w:ascii="Times New Roman" w:eastAsia="楷体" w:hAnsi="Times New Roman" w:hint="eastAsia"/>
          <w:color w:val="000000" w:themeColor="text1"/>
          <w:sz w:val="24"/>
          <w:szCs w:val="24"/>
        </w:rPr>
        <w:t>，但依然离荣枯线较远。</w:t>
      </w:r>
    </w:p>
    <w:p w:rsidR="00152664" w:rsidRDefault="0008229A" w:rsidP="0008229A">
      <w:pPr>
        <w:ind w:leftChars="300" w:left="630"/>
        <w:rPr>
          <w:rFonts w:ascii="Times New Roman" w:eastAsia="楷体" w:hAnsi="Times New Roman"/>
          <w:color w:val="000000" w:themeColor="text1"/>
          <w:sz w:val="24"/>
          <w:szCs w:val="24"/>
        </w:rPr>
      </w:pPr>
      <w:r w:rsidRPr="0008229A">
        <w:rPr>
          <w:rFonts w:ascii="Times New Roman" w:eastAsia="楷体" w:hAnsi="Times New Roman" w:hint="eastAsia"/>
          <w:color w:val="000000" w:themeColor="text1"/>
          <w:sz w:val="24"/>
          <w:szCs w:val="24"/>
        </w:rPr>
        <w:t>昨日期货主力合约价格突破</w:t>
      </w:r>
      <w:r w:rsidRPr="0008229A">
        <w:rPr>
          <w:rFonts w:ascii="Times New Roman" w:eastAsia="楷体" w:hAnsi="Times New Roman" w:hint="eastAsia"/>
          <w:color w:val="000000" w:themeColor="text1"/>
          <w:sz w:val="24"/>
          <w:szCs w:val="24"/>
        </w:rPr>
        <w:t>800</w:t>
      </w:r>
      <w:r w:rsidRPr="0008229A">
        <w:rPr>
          <w:rFonts w:ascii="Times New Roman" w:eastAsia="楷体" w:hAnsi="Times New Roman" w:hint="eastAsia"/>
          <w:color w:val="000000" w:themeColor="text1"/>
          <w:sz w:val="24"/>
          <w:szCs w:val="24"/>
        </w:rPr>
        <w:t>点压力，兑现即期运价有所反弹，月初以来经历了一轮涨势。主要因供需端的短期利好消息提振，因此市场情绪有所回暖。但需留意长期供强需弱格局已定，短期扰动后或将回归长期逻辑，建议操作上不宜最高，关注今日盘后新一期</w:t>
      </w:r>
      <w:r w:rsidRPr="0008229A">
        <w:rPr>
          <w:rFonts w:ascii="Times New Roman" w:eastAsia="楷体" w:hAnsi="Times New Roman" w:hint="eastAsia"/>
          <w:color w:val="000000" w:themeColor="text1"/>
          <w:sz w:val="24"/>
          <w:szCs w:val="24"/>
        </w:rPr>
        <w:t>SCFI</w:t>
      </w:r>
      <w:r w:rsidRPr="0008229A">
        <w:rPr>
          <w:rFonts w:ascii="Times New Roman" w:eastAsia="楷体" w:hAnsi="Times New Roman" w:hint="eastAsia"/>
          <w:color w:val="000000" w:themeColor="text1"/>
          <w:sz w:val="24"/>
          <w:szCs w:val="24"/>
        </w:rPr>
        <w:t>数据公布</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9E" w:rsidRDefault="00AF299E">
      <w:r>
        <w:separator/>
      </w:r>
    </w:p>
  </w:endnote>
  <w:endnote w:type="continuationSeparator" w:id="0">
    <w:p w:rsidR="00AF299E" w:rsidRDefault="00AF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0534E93" wp14:editId="26FA2B6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8229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8229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9E" w:rsidRDefault="00AF299E">
      <w:r>
        <w:separator/>
      </w:r>
    </w:p>
  </w:footnote>
  <w:footnote w:type="continuationSeparator" w:id="0">
    <w:p w:rsidR="00AF299E" w:rsidRDefault="00AF29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01A5BC2" wp14:editId="7E3EF53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65FEBA0" wp14:editId="08DF57D5">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8229A">
      <w:rPr>
        <w:rFonts w:ascii="Times New Roman" w:eastAsia="楷体" w:hAnsi="Times New Roman" w:hint="eastAsia"/>
        <w:b/>
        <w:bCs/>
        <w:noProof/>
        <w:color w:val="833C0B"/>
        <w:sz w:val="21"/>
      </w:rPr>
      <w:t>2023</w:t>
    </w:r>
    <w:r w:rsidR="0008229A">
      <w:rPr>
        <w:rFonts w:ascii="Times New Roman" w:eastAsia="楷体" w:hAnsi="Times New Roman" w:hint="eastAsia"/>
        <w:b/>
        <w:bCs/>
        <w:noProof/>
        <w:color w:val="833C0B"/>
        <w:sz w:val="21"/>
      </w:rPr>
      <w:t>年</w:t>
    </w:r>
    <w:r w:rsidR="0008229A">
      <w:rPr>
        <w:rFonts w:ascii="Times New Roman" w:eastAsia="楷体" w:hAnsi="Times New Roman" w:hint="eastAsia"/>
        <w:b/>
        <w:bCs/>
        <w:noProof/>
        <w:color w:val="833C0B"/>
        <w:sz w:val="21"/>
      </w:rPr>
      <w:t>12</w:t>
    </w:r>
    <w:r w:rsidR="0008229A">
      <w:rPr>
        <w:rFonts w:ascii="Times New Roman" w:eastAsia="楷体" w:hAnsi="Times New Roman" w:hint="eastAsia"/>
        <w:b/>
        <w:bCs/>
        <w:noProof/>
        <w:color w:val="833C0B"/>
        <w:sz w:val="21"/>
      </w:rPr>
      <w:t>月</w:t>
    </w:r>
    <w:r w:rsidR="0008229A">
      <w:rPr>
        <w:rFonts w:ascii="Times New Roman" w:eastAsia="楷体" w:hAnsi="Times New Roman" w:hint="eastAsia"/>
        <w:b/>
        <w:bCs/>
        <w:noProof/>
        <w:color w:val="833C0B"/>
        <w:sz w:val="21"/>
      </w:rPr>
      <w:t>1</w:t>
    </w:r>
    <w:r w:rsidR="0008229A">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E5B3A-37C5-4550-B6DE-A4C1F1E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10</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142</cp:revision>
  <cp:lastPrinted>2023-06-08T02:23:00Z</cp:lastPrinted>
  <dcterms:created xsi:type="dcterms:W3CDTF">2022-11-15T10:06:00Z</dcterms:created>
  <dcterms:modified xsi:type="dcterms:W3CDTF">2023-12-01T03:08:00Z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