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1E3813"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1E3813" w:rsidRPr="00A403CD">
            <w:rPr>
              <w:rStyle w:val="a9"/>
              <w:noProof/>
            </w:rPr>
            <w:fldChar w:fldCharType="begin"/>
          </w:r>
          <w:r w:rsidR="001E3813" w:rsidRPr="00A403CD">
            <w:rPr>
              <w:rStyle w:val="a9"/>
              <w:noProof/>
            </w:rPr>
            <w:instrText xml:space="preserve"> </w:instrText>
          </w:r>
          <w:r w:rsidR="001E3813">
            <w:rPr>
              <w:noProof/>
            </w:rPr>
            <w:instrText>HYPERLINK \l "_Toc151559986"</w:instrText>
          </w:r>
          <w:r w:rsidR="001E3813" w:rsidRPr="00A403CD">
            <w:rPr>
              <w:rStyle w:val="a9"/>
              <w:noProof/>
            </w:rPr>
            <w:instrText xml:space="preserve"> </w:instrText>
          </w:r>
          <w:r w:rsidR="001E3813" w:rsidRPr="00A403CD">
            <w:rPr>
              <w:rStyle w:val="a9"/>
              <w:noProof/>
            </w:rPr>
          </w:r>
          <w:r w:rsidR="001E3813" w:rsidRPr="00A403CD">
            <w:rPr>
              <w:rStyle w:val="a9"/>
              <w:noProof/>
            </w:rPr>
            <w:fldChar w:fldCharType="separate"/>
          </w:r>
          <w:r w:rsidR="001E3813" w:rsidRPr="00A403CD">
            <w:rPr>
              <w:rStyle w:val="a9"/>
              <w:rFonts w:ascii="Times New Roman" w:eastAsia="楷体" w:hAnsi="Times New Roman"/>
              <w:b/>
              <w:noProof/>
            </w:rPr>
            <w:t>[</w:t>
          </w:r>
          <w:r w:rsidR="001E3813" w:rsidRPr="00A403CD">
            <w:rPr>
              <w:rStyle w:val="a9"/>
              <w:rFonts w:ascii="Times New Roman" w:eastAsia="楷体" w:hAnsi="Times New Roman"/>
              <w:b/>
              <w:noProof/>
            </w:rPr>
            <w:t>金融</w:t>
          </w:r>
          <w:r w:rsidR="001E3813" w:rsidRPr="00A403CD">
            <w:rPr>
              <w:rStyle w:val="a9"/>
              <w:rFonts w:ascii="Times New Roman" w:eastAsia="楷体" w:hAnsi="Times New Roman"/>
              <w:b/>
              <w:noProof/>
            </w:rPr>
            <w:t>]</w:t>
          </w:r>
          <w:r w:rsidR="001E3813" w:rsidRPr="00A403CD">
            <w:rPr>
              <w:rStyle w:val="a9"/>
              <w:noProof/>
            </w:rPr>
            <w:fldChar w:fldCharType="end"/>
          </w:r>
        </w:p>
        <w:p w:rsidR="001E3813" w:rsidRDefault="001E3813">
          <w:pPr>
            <w:pStyle w:val="23"/>
            <w:tabs>
              <w:tab w:val="right" w:leader="dot" w:pos="8296"/>
            </w:tabs>
            <w:rPr>
              <w:rFonts w:eastAsiaTheme="minorEastAsia"/>
              <w:noProof/>
              <w:szCs w:val="22"/>
            </w:rPr>
          </w:pPr>
          <w:hyperlink w:anchor="_Toc151559987" w:history="1">
            <w:r w:rsidRPr="00A403CD">
              <w:rPr>
                <w:rStyle w:val="a9"/>
                <w:rFonts w:ascii="Times New Roman" w:eastAsia="楷体" w:hAnsi="Times New Roman"/>
                <w:b/>
                <w:noProof/>
              </w:rPr>
              <w:t>股指：中线仓位继续持有，适当进行波段操作。短线切勿追高，若有可观回踩，可逢低布局多单</w:t>
            </w:r>
          </w:hyperlink>
        </w:p>
        <w:p w:rsidR="001E3813" w:rsidRDefault="001E3813">
          <w:pPr>
            <w:pStyle w:val="11"/>
            <w:tabs>
              <w:tab w:val="right" w:leader="dot" w:pos="8296"/>
            </w:tabs>
            <w:rPr>
              <w:rFonts w:eastAsiaTheme="minorEastAsia"/>
              <w:noProof/>
              <w:szCs w:val="22"/>
            </w:rPr>
          </w:pPr>
          <w:hyperlink w:anchor="_Toc151559988" w:history="1">
            <w:r w:rsidRPr="00A403CD">
              <w:rPr>
                <w:rStyle w:val="a9"/>
                <w:rFonts w:ascii="Times New Roman" w:eastAsia="楷体" w:hAnsi="Times New Roman"/>
                <w:b/>
                <w:noProof/>
              </w:rPr>
              <w:t>[</w:t>
            </w:r>
            <w:r w:rsidRPr="00A403CD">
              <w:rPr>
                <w:rStyle w:val="a9"/>
                <w:rFonts w:ascii="Times New Roman" w:eastAsia="楷体" w:hAnsi="Times New Roman"/>
                <w:b/>
                <w:noProof/>
              </w:rPr>
              <w:t>贵金属</w:t>
            </w:r>
            <w:r w:rsidRPr="00A403CD">
              <w:rPr>
                <w:rStyle w:val="a9"/>
                <w:rFonts w:ascii="Times New Roman" w:eastAsia="楷体" w:hAnsi="Times New Roman"/>
                <w:b/>
                <w:noProof/>
              </w:rPr>
              <w:t>]</w:t>
            </w:r>
          </w:hyperlink>
        </w:p>
        <w:p w:rsidR="001E3813" w:rsidRDefault="001E3813">
          <w:pPr>
            <w:pStyle w:val="23"/>
            <w:tabs>
              <w:tab w:val="right" w:leader="dot" w:pos="8296"/>
            </w:tabs>
            <w:rPr>
              <w:rFonts w:eastAsiaTheme="minorEastAsia"/>
              <w:noProof/>
              <w:szCs w:val="22"/>
            </w:rPr>
          </w:pPr>
          <w:hyperlink w:anchor="_Toc151559989" w:history="1">
            <w:r w:rsidRPr="00A403CD">
              <w:rPr>
                <w:rStyle w:val="a9"/>
                <w:rFonts w:ascii="Times New Roman" w:eastAsia="楷体" w:hAnsi="Times New Roman"/>
                <w:b/>
                <w:noProof/>
              </w:rPr>
              <w:t>贵金属：美联储议息纪要提示经济走弱风险，贵金属价格小幅反弹</w:t>
            </w:r>
          </w:hyperlink>
        </w:p>
        <w:p w:rsidR="001E3813" w:rsidRDefault="001E3813">
          <w:pPr>
            <w:pStyle w:val="11"/>
            <w:tabs>
              <w:tab w:val="right" w:leader="dot" w:pos="8296"/>
            </w:tabs>
            <w:rPr>
              <w:rFonts w:eastAsiaTheme="minorEastAsia"/>
              <w:noProof/>
              <w:szCs w:val="22"/>
            </w:rPr>
          </w:pPr>
          <w:hyperlink w:anchor="_Toc151559990" w:history="1">
            <w:r w:rsidRPr="00A403CD">
              <w:rPr>
                <w:rStyle w:val="a9"/>
                <w:rFonts w:ascii="Times New Roman" w:eastAsia="楷体" w:hAnsi="Times New Roman"/>
                <w:b/>
                <w:noProof/>
              </w:rPr>
              <w:t>[</w:t>
            </w:r>
            <w:r w:rsidRPr="00A403CD">
              <w:rPr>
                <w:rStyle w:val="a9"/>
                <w:rFonts w:ascii="Times New Roman" w:eastAsia="楷体" w:hAnsi="Times New Roman"/>
                <w:b/>
                <w:noProof/>
              </w:rPr>
              <w:t>金属</w:t>
            </w:r>
            <w:r w:rsidRPr="00A403CD">
              <w:rPr>
                <w:rStyle w:val="a9"/>
                <w:rFonts w:ascii="Times New Roman" w:eastAsia="楷体" w:hAnsi="Times New Roman"/>
                <w:b/>
                <w:noProof/>
              </w:rPr>
              <w:t>]</w:t>
            </w:r>
          </w:hyperlink>
        </w:p>
        <w:p w:rsidR="001E3813" w:rsidRDefault="001E3813">
          <w:pPr>
            <w:pStyle w:val="23"/>
            <w:tabs>
              <w:tab w:val="right" w:leader="dot" w:pos="8296"/>
            </w:tabs>
            <w:rPr>
              <w:rFonts w:eastAsiaTheme="minorEastAsia"/>
              <w:noProof/>
              <w:szCs w:val="22"/>
            </w:rPr>
          </w:pPr>
          <w:hyperlink w:anchor="_Toc151559991" w:history="1">
            <w:r w:rsidRPr="00A403CD">
              <w:rPr>
                <w:rStyle w:val="a9"/>
                <w:rFonts w:ascii="楷体" w:eastAsia="楷体" w:hAnsi="楷体"/>
                <w:b/>
                <w:noProof/>
              </w:rPr>
              <w:t>碳酸锂：四季度锂盐进口存在增量预期，期价大幅下跌</w:t>
            </w:r>
          </w:hyperlink>
        </w:p>
        <w:p w:rsidR="001E3813" w:rsidRDefault="001E3813">
          <w:pPr>
            <w:pStyle w:val="23"/>
            <w:tabs>
              <w:tab w:val="right" w:leader="dot" w:pos="8296"/>
            </w:tabs>
            <w:rPr>
              <w:rFonts w:eastAsiaTheme="minorEastAsia"/>
              <w:noProof/>
              <w:szCs w:val="22"/>
            </w:rPr>
          </w:pPr>
          <w:hyperlink w:anchor="_Toc151559992" w:history="1">
            <w:r w:rsidRPr="00A403CD">
              <w:rPr>
                <w:rStyle w:val="a9"/>
                <w:rFonts w:ascii="楷体" w:eastAsia="楷体" w:hAnsi="楷体"/>
                <w:b/>
                <w:noProof/>
              </w:rPr>
              <w:t>螺纹钢：低库存强预期，偏强震荡</w:t>
            </w:r>
          </w:hyperlink>
        </w:p>
        <w:p w:rsidR="001E3813" w:rsidRDefault="001E3813">
          <w:pPr>
            <w:pStyle w:val="23"/>
            <w:tabs>
              <w:tab w:val="right" w:leader="dot" w:pos="8296"/>
            </w:tabs>
            <w:rPr>
              <w:rFonts w:eastAsiaTheme="minorEastAsia"/>
              <w:noProof/>
              <w:szCs w:val="22"/>
            </w:rPr>
          </w:pPr>
          <w:hyperlink w:anchor="_Toc151559993" w:history="1">
            <w:r w:rsidRPr="00A403CD">
              <w:rPr>
                <w:rStyle w:val="a9"/>
                <w:rFonts w:ascii="楷体" w:eastAsia="楷体" w:hAnsi="楷体"/>
                <w:b/>
                <w:noProof/>
              </w:rPr>
              <w:t>焦炭：第一轮提涨落地，高位震荡</w:t>
            </w:r>
          </w:hyperlink>
        </w:p>
        <w:p w:rsidR="001E3813" w:rsidRDefault="001E3813">
          <w:pPr>
            <w:pStyle w:val="23"/>
            <w:tabs>
              <w:tab w:val="right" w:leader="dot" w:pos="8296"/>
            </w:tabs>
            <w:rPr>
              <w:rFonts w:eastAsiaTheme="minorEastAsia"/>
              <w:noProof/>
              <w:szCs w:val="22"/>
            </w:rPr>
          </w:pPr>
          <w:hyperlink w:anchor="_Toc151559994" w:history="1">
            <w:r w:rsidRPr="00A403CD">
              <w:rPr>
                <w:rStyle w:val="a9"/>
                <w:rFonts w:ascii="楷体" w:eastAsia="楷体" w:hAnsi="楷体"/>
                <w:b/>
                <w:noProof/>
              </w:rPr>
              <w:t>焦煤：供应低位，高位震荡</w:t>
            </w:r>
          </w:hyperlink>
        </w:p>
        <w:p w:rsidR="001E3813" w:rsidRDefault="001E3813">
          <w:pPr>
            <w:pStyle w:val="23"/>
            <w:tabs>
              <w:tab w:val="right" w:leader="dot" w:pos="8296"/>
            </w:tabs>
            <w:rPr>
              <w:rFonts w:eastAsiaTheme="minorEastAsia"/>
              <w:noProof/>
              <w:szCs w:val="22"/>
            </w:rPr>
          </w:pPr>
          <w:hyperlink w:anchor="_Toc151559995" w:history="1">
            <w:r w:rsidRPr="00A403CD">
              <w:rPr>
                <w:rStyle w:val="a9"/>
                <w:rFonts w:ascii="楷体" w:eastAsia="楷体" w:hAnsi="楷体"/>
                <w:b/>
                <w:noProof/>
              </w:rPr>
              <w:t>铜：短期宏观中性，基本面支撑减弱，铜价进一步上行空间有限</w:t>
            </w:r>
          </w:hyperlink>
        </w:p>
        <w:p w:rsidR="001E3813" w:rsidRDefault="001E3813">
          <w:pPr>
            <w:pStyle w:val="23"/>
            <w:tabs>
              <w:tab w:val="right" w:leader="dot" w:pos="8296"/>
            </w:tabs>
            <w:rPr>
              <w:rFonts w:eastAsiaTheme="minorEastAsia"/>
              <w:noProof/>
              <w:szCs w:val="22"/>
            </w:rPr>
          </w:pPr>
          <w:hyperlink w:anchor="_Toc151559996" w:history="1">
            <w:r w:rsidRPr="00A403CD">
              <w:rPr>
                <w:rStyle w:val="a9"/>
                <w:rFonts w:ascii="楷体" w:eastAsia="楷体" w:hAnsi="楷体"/>
                <w:b/>
                <w:noProof/>
              </w:rPr>
              <w:t>铝：基本面支撑偏弱，价格上下有限宽度震荡运行</w:t>
            </w:r>
          </w:hyperlink>
        </w:p>
        <w:p w:rsidR="001E3813" w:rsidRDefault="001E3813">
          <w:pPr>
            <w:pStyle w:val="23"/>
            <w:tabs>
              <w:tab w:val="right" w:leader="dot" w:pos="8296"/>
            </w:tabs>
            <w:rPr>
              <w:rFonts w:eastAsiaTheme="minorEastAsia"/>
              <w:noProof/>
              <w:szCs w:val="22"/>
            </w:rPr>
          </w:pPr>
          <w:hyperlink w:anchor="_Toc151559997" w:history="1">
            <w:r w:rsidRPr="00A403CD">
              <w:rPr>
                <w:rStyle w:val="a9"/>
                <w:rFonts w:ascii="楷体" w:eastAsia="楷体" w:hAnsi="楷体"/>
                <w:b/>
                <w:noProof/>
              </w:rPr>
              <w:t>锌：上下空间有限，锌价震荡为主</w:t>
            </w:r>
          </w:hyperlink>
        </w:p>
        <w:p w:rsidR="001E3813" w:rsidRDefault="001E3813">
          <w:pPr>
            <w:pStyle w:val="23"/>
            <w:tabs>
              <w:tab w:val="right" w:leader="dot" w:pos="8296"/>
            </w:tabs>
            <w:rPr>
              <w:rFonts w:eastAsiaTheme="minorEastAsia"/>
              <w:noProof/>
              <w:szCs w:val="22"/>
            </w:rPr>
          </w:pPr>
          <w:hyperlink w:anchor="_Toc151559998" w:history="1">
            <w:r w:rsidRPr="00A403CD">
              <w:rPr>
                <w:rStyle w:val="a9"/>
                <w:rFonts w:ascii="楷体" w:eastAsia="楷体" w:hAnsi="楷体"/>
                <w:b/>
                <w:noProof/>
              </w:rPr>
              <w:t>镍：供增需弱叠加成本支撑减弱，镍价持续承压</w:t>
            </w:r>
          </w:hyperlink>
        </w:p>
        <w:p w:rsidR="001E3813" w:rsidRDefault="001E3813">
          <w:pPr>
            <w:pStyle w:val="23"/>
            <w:tabs>
              <w:tab w:val="right" w:leader="dot" w:pos="8296"/>
            </w:tabs>
            <w:rPr>
              <w:rFonts w:eastAsiaTheme="minorEastAsia"/>
              <w:noProof/>
              <w:szCs w:val="22"/>
            </w:rPr>
          </w:pPr>
          <w:hyperlink w:anchor="_Toc151559999" w:history="1">
            <w:r w:rsidRPr="00A403CD">
              <w:rPr>
                <w:rStyle w:val="a9"/>
                <w:rFonts w:ascii="楷体" w:eastAsia="楷体" w:hAnsi="楷体"/>
                <w:b/>
                <w:noProof/>
              </w:rPr>
              <w:t>铅：铝价上方压力仍存</w:t>
            </w:r>
          </w:hyperlink>
        </w:p>
        <w:p w:rsidR="001E3813" w:rsidRDefault="001E3813">
          <w:pPr>
            <w:pStyle w:val="23"/>
            <w:tabs>
              <w:tab w:val="right" w:leader="dot" w:pos="8296"/>
            </w:tabs>
            <w:rPr>
              <w:rFonts w:eastAsiaTheme="minorEastAsia"/>
              <w:noProof/>
              <w:szCs w:val="22"/>
            </w:rPr>
          </w:pPr>
          <w:hyperlink w:anchor="_Toc151560000" w:history="1">
            <w:r w:rsidRPr="00A403CD">
              <w:rPr>
                <w:rStyle w:val="a9"/>
                <w:rFonts w:ascii="楷体" w:eastAsia="楷体" w:hAnsi="楷体"/>
                <w:b/>
                <w:noProof/>
              </w:rPr>
              <w:t>不锈钢：成本塌陷仍在持续，预计震荡偏弱运行</w:t>
            </w:r>
          </w:hyperlink>
        </w:p>
        <w:p w:rsidR="001E3813" w:rsidRDefault="001E3813">
          <w:pPr>
            <w:pStyle w:val="23"/>
            <w:tabs>
              <w:tab w:val="right" w:leader="dot" w:pos="8296"/>
            </w:tabs>
            <w:rPr>
              <w:rFonts w:eastAsiaTheme="minorEastAsia"/>
              <w:noProof/>
              <w:szCs w:val="22"/>
            </w:rPr>
          </w:pPr>
          <w:hyperlink w:anchor="_Toc151560001" w:history="1">
            <w:r w:rsidRPr="00A403CD">
              <w:rPr>
                <w:rStyle w:val="a9"/>
                <w:rFonts w:ascii="楷体" w:eastAsia="楷体" w:hAnsi="楷体"/>
                <w:b/>
                <w:noProof/>
              </w:rPr>
              <w:t>工业硅：供应存在减产预期，预计盘面下行空间有限</w:t>
            </w:r>
          </w:hyperlink>
        </w:p>
        <w:p w:rsidR="001E3813" w:rsidRDefault="001E3813">
          <w:pPr>
            <w:pStyle w:val="11"/>
            <w:tabs>
              <w:tab w:val="right" w:leader="dot" w:pos="8296"/>
            </w:tabs>
            <w:rPr>
              <w:rFonts w:eastAsiaTheme="minorEastAsia"/>
              <w:noProof/>
              <w:szCs w:val="22"/>
            </w:rPr>
          </w:pPr>
          <w:hyperlink w:anchor="_Toc151560002" w:history="1">
            <w:r w:rsidRPr="00A403CD">
              <w:rPr>
                <w:rStyle w:val="a9"/>
                <w:rFonts w:ascii="Times New Roman" w:eastAsia="楷体" w:hAnsi="Times New Roman"/>
                <w:b/>
                <w:noProof/>
              </w:rPr>
              <w:t>[</w:t>
            </w:r>
            <w:r w:rsidRPr="00A403CD">
              <w:rPr>
                <w:rStyle w:val="a9"/>
                <w:rFonts w:ascii="Times New Roman" w:eastAsia="楷体" w:hAnsi="Times New Roman"/>
                <w:b/>
                <w:noProof/>
              </w:rPr>
              <w:t>化工</w:t>
            </w:r>
            <w:r w:rsidRPr="00A403CD">
              <w:rPr>
                <w:rStyle w:val="a9"/>
                <w:rFonts w:ascii="Times New Roman" w:eastAsia="楷体" w:hAnsi="Times New Roman"/>
                <w:b/>
                <w:noProof/>
              </w:rPr>
              <w:t>]</w:t>
            </w:r>
          </w:hyperlink>
        </w:p>
        <w:p w:rsidR="001E3813" w:rsidRDefault="001E3813">
          <w:pPr>
            <w:pStyle w:val="23"/>
            <w:tabs>
              <w:tab w:val="right" w:leader="dot" w:pos="8296"/>
            </w:tabs>
            <w:rPr>
              <w:rFonts w:eastAsiaTheme="minorEastAsia"/>
              <w:noProof/>
              <w:szCs w:val="22"/>
            </w:rPr>
          </w:pPr>
          <w:hyperlink w:anchor="_Toc151560003" w:history="1">
            <w:r w:rsidRPr="00A403CD">
              <w:rPr>
                <w:rStyle w:val="a9"/>
                <w:rFonts w:ascii="Times New Roman" w:eastAsia="楷体" w:hAnsi="Times New Roman"/>
                <w:b/>
                <w:noProof/>
              </w:rPr>
              <w:t>天然橡胶</w:t>
            </w:r>
            <w:r w:rsidRPr="00A403CD">
              <w:rPr>
                <w:rStyle w:val="a9"/>
                <w:rFonts w:ascii="Times New Roman" w:eastAsia="楷体" w:hAnsi="Times New Roman"/>
                <w:b/>
                <w:noProof/>
              </w:rPr>
              <w:t>:</w:t>
            </w:r>
            <w:r w:rsidRPr="00A403CD">
              <w:rPr>
                <w:rStyle w:val="a9"/>
                <w:rFonts w:ascii="楷体" w:eastAsia="楷体" w:hAnsi="楷体"/>
                <w:b/>
                <w:noProof/>
              </w:rPr>
              <w:t xml:space="preserve"> 逼近下方支撑位，RU在下游成品库存高企下或震荡为主</w:t>
            </w:r>
          </w:hyperlink>
        </w:p>
        <w:p w:rsidR="001E3813" w:rsidRDefault="001E3813">
          <w:pPr>
            <w:pStyle w:val="23"/>
            <w:tabs>
              <w:tab w:val="right" w:leader="dot" w:pos="8296"/>
            </w:tabs>
            <w:rPr>
              <w:rFonts w:eastAsiaTheme="minorEastAsia"/>
              <w:noProof/>
              <w:szCs w:val="22"/>
            </w:rPr>
          </w:pPr>
          <w:hyperlink w:anchor="_Toc151560004" w:history="1">
            <w:r w:rsidRPr="00A403CD">
              <w:rPr>
                <w:rStyle w:val="a9"/>
                <w:rFonts w:ascii="楷体" w:eastAsia="楷体" w:hAnsi="楷体"/>
                <w:b/>
                <w:noProof/>
              </w:rPr>
              <w:t>PTA：</w:t>
            </w:r>
            <w:r w:rsidRPr="00A403CD">
              <w:rPr>
                <w:rStyle w:val="a9"/>
                <w:rFonts w:ascii="Calibri" w:eastAsia="楷体" w:hAnsi="Calibri" w:cs="Calibri"/>
                <w:b/>
                <w:noProof/>
              </w:rPr>
              <w:t>供应偏宽松预期</w:t>
            </w:r>
            <w:r w:rsidRPr="00A403CD">
              <w:rPr>
                <w:rStyle w:val="a9"/>
                <w:rFonts w:ascii="Calibri" w:eastAsia="楷体" w:hAnsi="Calibri" w:cs="Calibri"/>
                <w:b/>
                <w:noProof/>
              </w:rPr>
              <w:t xml:space="preserve"> </w:t>
            </w:r>
            <w:r w:rsidRPr="00A403CD">
              <w:rPr>
                <w:rStyle w:val="a9"/>
                <w:rFonts w:ascii="Calibri" w:eastAsia="楷体" w:hAnsi="Calibri" w:cs="Calibri"/>
                <w:b/>
                <w:noProof/>
              </w:rPr>
              <w:t>关注上方压力位</w:t>
            </w:r>
          </w:hyperlink>
        </w:p>
        <w:p w:rsidR="001E3813" w:rsidRDefault="001E3813">
          <w:pPr>
            <w:pStyle w:val="23"/>
            <w:tabs>
              <w:tab w:val="right" w:leader="dot" w:pos="8296"/>
            </w:tabs>
            <w:rPr>
              <w:rFonts w:eastAsiaTheme="minorEastAsia"/>
              <w:noProof/>
              <w:szCs w:val="22"/>
            </w:rPr>
          </w:pPr>
          <w:hyperlink w:anchor="_Toc151560005" w:history="1">
            <w:r w:rsidRPr="00A403CD">
              <w:rPr>
                <w:rStyle w:val="a9"/>
                <w:rFonts w:ascii="楷体" w:eastAsia="楷体" w:hAnsi="楷体"/>
                <w:b/>
                <w:noProof/>
              </w:rPr>
              <w:t>聚烯烃：需求季节性淡季 聚烯烃建议逢高做空</w:t>
            </w:r>
          </w:hyperlink>
        </w:p>
        <w:p w:rsidR="001E3813" w:rsidRDefault="001E3813">
          <w:pPr>
            <w:pStyle w:val="23"/>
            <w:tabs>
              <w:tab w:val="right" w:leader="dot" w:pos="8296"/>
            </w:tabs>
            <w:rPr>
              <w:rFonts w:eastAsiaTheme="minorEastAsia"/>
              <w:noProof/>
              <w:szCs w:val="22"/>
            </w:rPr>
          </w:pPr>
          <w:hyperlink w:anchor="_Toc151560006" w:history="1">
            <w:r w:rsidRPr="00A403CD">
              <w:rPr>
                <w:rStyle w:val="a9"/>
                <w:rFonts w:ascii="楷体" w:eastAsia="楷体" w:hAnsi="楷体"/>
                <w:b/>
                <w:noProof/>
              </w:rPr>
              <w:t>MEG：成本支撑VS存量高库存 区间操作为主</w:t>
            </w:r>
          </w:hyperlink>
        </w:p>
        <w:p w:rsidR="001E3813" w:rsidRDefault="001E3813">
          <w:pPr>
            <w:pStyle w:val="23"/>
            <w:tabs>
              <w:tab w:val="right" w:leader="dot" w:pos="8296"/>
            </w:tabs>
            <w:rPr>
              <w:rFonts w:eastAsiaTheme="minorEastAsia"/>
              <w:noProof/>
              <w:szCs w:val="22"/>
            </w:rPr>
          </w:pPr>
          <w:hyperlink w:anchor="_Toc151560007" w:history="1">
            <w:r w:rsidRPr="00A403CD">
              <w:rPr>
                <w:rStyle w:val="a9"/>
                <w:rFonts w:ascii="楷体" w:eastAsia="楷体" w:hAnsi="楷体"/>
                <w:b/>
                <w:noProof/>
              </w:rPr>
              <w:t>玻璃：基差收近平水，现货重心下移</w:t>
            </w:r>
          </w:hyperlink>
        </w:p>
        <w:p w:rsidR="001E3813" w:rsidRDefault="001E3813">
          <w:pPr>
            <w:pStyle w:val="23"/>
            <w:tabs>
              <w:tab w:val="right" w:leader="dot" w:pos="8296"/>
            </w:tabs>
            <w:rPr>
              <w:rFonts w:eastAsiaTheme="minorEastAsia"/>
              <w:noProof/>
              <w:szCs w:val="22"/>
            </w:rPr>
          </w:pPr>
          <w:hyperlink w:anchor="_Toc151560008" w:history="1">
            <w:r w:rsidRPr="00A403CD">
              <w:rPr>
                <w:rStyle w:val="a9"/>
                <w:rFonts w:ascii="楷体" w:eastAsia="楷体" w:hAnsi="楷体"/>
                <w:b/>
                <w:noProof/>
              </w:rPr>
              <w:t>纯碱：投机情绪较强，建议观望</w:t>
            </w:r>
          </w:hyperlink>
        </w:p>
        <w:p w:rsidR="001E3813" w:rsidRDefault="001E3813">
          <w:pPr>
            <w:pStyle w:val="11"/>
            <w:tabs>
              <w:tab w:val="right" w:leader="dot" w:pos="8296"/>
            </w:tabs>
            <w:rPr>
              <w:rFonts w:eastAsiaTheme="minorEastAsia"/>
              <w:noProof/>
              <w:szCs w:val="22"/>
            </w:rPr>
          </w:pPr>
          <w:hyperlink w:anchor="_Toc151560009" w:history="1">
            <w:r w:rsidRPr="00A403CD">
              <w:rPr>
                <w:rStyle w:val="a9"/>
                <w:rFonts w:ascii="Times New Roman" w:eastAsia="楷体" w:hAnsi="Times New Roman"/>
                <w:b/>
                <w:noProof/>
              </w:rPr>
              <w:t>[</w:t>
            </w:r>
            <w:r w:rsidRPr="00A403CD">
              <w:rPr>
                <w:rStyle w:val="a9"/>
                <w:rFonts w:ascii="Times New Roman" w:eastAsia="楷体" w:hAnsi="Times New Roman"/>
                <w:b/>
                <w:noProof/>
              </w:rPr>
              <w:t>农产品</w:t>
            </w:r>
            <w:r w:rsidRPr="00A403CD">
              <w:rPr>
                <w:rStyle w:val="a9"/>
                <w:rFonts w:ascii="Times New Roman" w:eastAsia="楷体" w:hAnsi="Times New Roman"/>
                <w:b/>
                <w:noProof/>
              </w:rPr>
              <w:t>]</w:t>
            </w:r>
          </w:hyperlink>
        </w:p>
        <w:p w:rsidR="001E3813" w:rsidRDefault="001E3813">
          <w:pPr>
            <w:pStyle w:val="23"/>
            <w:tabs>
              <w:tab w:val="right" w:leader="dot" w:pos="8296"/>
            </w:tabs>
            <w:rPr>
              <w:rFonts w:eastAsiaTheme="minorEastAsia"/>
              <w:noProof/>
              <w:szCs w:val="22"/>
            </w:rPr>
          </w:pPr>
          <w:hyperlink w:anchor="_Toc151560010" w:history="1">
            <w:r w:rsidRPr="00A403CD">
              <w:rPr>
                <w:rStyle w:val="a9"/>
                <w:rFonts w:ascii="楷体" w:eastAsia="楷体" w:hAnsi="楷体"/>
                <w:b/>
                <w:noProof/>
              </w:rPr>
              <w:t>豆粕/菜粕：天气担忧仍存，期价高位震荡</w:t>
            </w:r>
          </w:hyperlink>
        </w:p>
        <w:p w:rsidR="001E3813" w:rsidRDefault="001E3813">
          <w:pPr>
            <w:pStyle w:val="23"/>
            <w:tabs>
              <w:tab w:val="right" w:leader="dot" w:pos="8296"/>
            </w:tabs>
            <w:rPr>
              <w:rFonts w:eastAsiaTheme="minorEastAsia"/>
              <w:noProof/>
              <w:szCs w:val="22"/>
            </w:rPr>
          </w:pPr>
          <w:hyperlink w:anchor="_Toc151560011" w:history="1">
            <w:r w:rsidRPr="00A403CD">
              <w:rPr>
                <w:rStyle w:val="a9"/>
                <w:rFonts w:ascii="楷体" w:eastAsia="楷体" w:hAnsi="楷体"/>
                <w:b/>
                <w:noProof/>
              </w:rPr>
              <w:t>油脂：震荡区间预计上移，上方仍存压</w:t>
            </w:r>
          </w:hyperlink>
        </w:p>
        <w:p w:rsidR="001E3813" w:rsidRDefault="001E3813">
          <w:pPr>
            <w:pStyle w:val="23"/>
            <w:tabs>
              <w:tab w:val="right" w:leader="dot" w:pos="8296"/>
            </w:tabs>
            <w:rPr>
              <w:rFonts w:eastAsiaTheme="minorEastAsia"/>
              <w:noProof/>
              <w:szCs w:val="22"/>
            </w:rPr>
          </w:pPr>
          <w:hyperlink w:anchor="_Toc151560012" w:history="1">
            <w:r w:rsidRPr="00A403CD">
              <w:rPr>
                <w:rStyle w:val="a9"/>
                <w:rFonts w:ascii="楷体" w:eastAsia="楷体" w:hAnsi="楷体"/>
                <w:b/>
                <w:bCs/>
                <w:noProof/>
              </w:rPr>
              <w:t>玉米与淀粉：</w:t>
            </w:r>
            <w:r w:rsidRPr="00A403CD">
              <w:rPr>
                <w:rStyle w:val="a9"/>
                <w:rFonts w:ascii="楷体" w:eastAsia="楷体" w:hAnsi="楷体"/>
                <w:b/>
                <w:noProof/>
              </w:rPr>
              <w:t>华北现货拖累盘面期价</w:t>
            </w:r>
          </w:hyperlink>
        </w:p>
        <w:p w:rsidR="001E3813" w:rsidRDefault="001E3813">
          <w:pPr>
            <w:pStyle w:val="23"/>
            <w:tabs>
              <w:tab w:val="right" w:leader="dot" w:pos="8296"/>
            </w:tabs>
            <w:rPr>
              <w:rFonts w:eastAsiaTheme="minorEastAsia"/>
              <w:noProof/>
              <w:szCs w:val="22"/>
            </w:rPr>
          </w:pPr>
          <w:hyperlink w:anchor="_Toc151560013" w:history="1">
            <w:r w:rsidRPr="00A403CD">
              <w:rPr>
                <w:rStyle w:val="a9"/>
                <w:rFonts w:ascii="楷体" w:eastAsia="楷体" w:hAnsi="楷体"/>
                <w:b/>
                <w:bCs/>
                <w:noProof/>
              </w:rPr>
              <w:t>畜禽养殖：期价震荡运行</w:t>
            </w:r>
          </w:hyperlink>
        </w:p>
        <w:p w:rsidR="001E3813" w:rsidRDefault="001E3813">
          <w:pPr>
            <w:pStyle w:val="23"/>
            <w:tabs>
              <w:tab w:val="right" w:leader="dot" w:pos="8296"/>
            </w:tabs>
            <w:rPr>
              <w:rFonts w:eastAsiaTheme="minorEastAsia"/>
              <w:noProof/>
              <w:szCs w:val="22"/>
            </w:rPr>
          </w:pPr>
          <w:hyperlink w:anchor="_Toc151560014" w:history="1">
            <w:r w:rsidRPr="00A403CD">
              <w:rPr>
                <w:rStyle w:val="a9"/>
                <w:rFonts w:ascii="楷体" w:eastAsia="楷体" w:hAnsi="楷体"/>
                <w:b/>
                <w:noProof/>
              </w:rPr>
              <w:t>郑棉：空单持有</w:t>
            </w:r>
          </w:hyperlink>
        </w:p>
        <w:p w:rsidR="001E3813" w:rsidRDefault="001E3813">
          <w:pPr>
            <w:pStyle w:val="23"/>
            <w:tabs>
              <w:tab w:val="right" w:leader="dot" w:pos="8296"/>
            </w:tabs>
            <w:rPr>
              <w:rFonts w:eastAsiaTheme="minorEastAsia"/>
              <w:noProof/>
              <w:szCs w:val="22"/>
            </w:rPr>
          </w:pPr>
          <w:hyperlink w:anchor="_Toc151560015" w:history="1">
            <w:r w:rsidRPr="00A403CD">
              <w:rPr>
                <w:rStyle w:val="a9"/>
                <w:rFonts w:ascii="楷体" w:eastAsia="楷体" w:hAnsi="楷体"/>
                <w:b/>
                <w:noProof/>
              </w:rPr>
              <w:t>白糖：空单适时止盈</w:t>
            </w:r>
          </w:hyperlink>
        </w:p>
        <w:p w:rsidR="001E3813" w:rsidRDefault="001E3813">
          <w:pPr>
            <w:pStyle w:val="11"/>
            <w:tabs>
              <w:tab w:val="right" w:leader="dot" w:pos="8296"/>
            </w:tabs>
            <w:rPr>
              <w:rFonts w:eastAsiaTheme="minorEastAsia"/>
              <w:noProof/>
              <w:szCs w:val="22"/>
            </w:rPr>
          </w:pPr>
          <w:hyperlink w:anchor="_Toc151560016" w:history="1">
            <w:r w:rsidRPr="00A403CD">
              <w:rPr>
                <w:rStyle w:val="a9"/>
                <w:rFonts w:ascii="Times New Roman" w:eastAsia="楷体" w:hAnsi="Times New Roman"/>
                <w:b/>
                <w:noProof/>
              </w:rPr>
              <w:t>[</w:t>
            </w:r>
            <w:r w:rsidRPr="00A403CD">
              <w:rPr>
                <w:rStyle w:val="a9"/>
                <w:rFonts w:ascii="Times New Roman" w:eastAsia="楷体" w:hAnsi="Times New Roman"/>
                <w:b/>
                <w:noProof/>
              </w:rPr>
              <w:t>指数</w:t>
            </w:r>
            <w:r w:rsidRPr="00A403CD">
              <w:rPr>
                <w:rStyle w:val="a9"/>
                <w:rFonts w:ascii="Times New Roman" w:eastAsia="楷体" w:hAnsi="Times New Roman"/>
                <w:b/>
                <w:noProof/>
              </w:rPr>
              <w:t>]</w:t>
            </w:r>
          </w:hyperlink>
        </w:p>
        <w:p w:rsidR="001E3813" w:rsidRDefault="001E3813">
          <w:pPr>
            <w:pStyle w:val="23"/>
            <w:tabs>
              <w:tab w:val="right" w:leader="dot" w:pos="8296"/>
            </w:tabs>
            <w:rPr>
              <w:rFonts w:eastAsiaTheme="minorEastAsia"/>
              <w:noProof/>
              <w:szCs w:val="22"/>
            </w:rPr>
          </w:pPr>
          <w:hyperlink w:anchor="_Toc151560017" w:history="1">
            <w:r w:rsidRPr="00A403CD">
              <w:rPr>
                <w:rStyle w:val="a9"/>
                <w:rFonts w:ascii="Times New Roman" w:eastAsia="楷体" w:hAnsi="Times New Roman"/>
                <w:b/>
                <w:noProof/>
              </w:rPr>
              <w:t>集运指数（欧线）：现货支撑力度不足，期价再次受压下行</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155998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1559987"/>
      <w:bookmarkEnd w:id="4"/>
      <w:r>
        <w:rPr>
          <w:rFonts w:ascii="Times New Roman" w:eastAsia="楷体" w:hAnsi="Times New Roman" w:hint="eastAsia"/>
          <w:b/>
          <w:color w:val="000000" w:themeColor="text1"/>
          <w:sz w:val="24"/>
          <w:szCs w:val="24"/>
        </w:rPr>
        <w:t>股指：</w:t>
      </w:r>
      <w:bookmarkEnd w:id="6"/>
      <w:bookmarkEnd w:id="7"/>
      <w:r w:rsidR="001E3813" w:rsidRPr="001E3813">
        <w:rPr>
          <w:rFonts w:ascii="Times New Roman" w:eastAsia="楷体" w:hAnsi="Times New Roman" w:hint="eastAsia"/>
          <w:b/>
          <w:color w:val="000000" w:themeColor="text1"/>
          <w:sz w:val="24"/>
          <w:szCs w:val="24"/>
        </w:rPr>
        <w:t>中线仓位继续持有，适当进行波段操作。短线切勿追高，若有可观回踩，可逢低布局多单</w:t>
      </w:r>
      <w:bookmarkEnd w:id="8"/>
    </w:p>
    <w:p w:rsidR="003F56A5" w:rsidRDefault="001E3813" w:rsidP="00CF42F6">
      <w:pPr>
        <w:ind w:leftChars="300" w:left="630"/>
        <w:rPr>
          <w:rFonts w:ascii="Times New Roman" w:eastAsia="楷体" w:hAnsi="Times New Roman"/>
          <w:color w:val="000000" w:themeColor="text1"/>
          <w:sz w:val="24"/>
          <w:szCs w:val="24"/>
        </w:rPr>
      </w:pPr>
      <w:r w:rsidRPr="001E3813">
        <w:rPr>
          <w:rFonts w:ascii="Times New Roman" w:eastAsia="楷体" w:hAnsi="Times New Roman" w:hint="eastAsia"/>
          <w:color w:val="000000" w:themeColor="text1"/>
          <w:sz w:val="24"/>
          <w:szCs w:val="24"/>
        </w:rPr>
        <w:t>昨日沪指冲高回落，放量收平，因人民币汇率回升、茅台特别分红等北向配置盘开盘涌入大盘价值，但午后北向资金流出，持续性仍待观望。内资炒作行情向微盘股和北交所扩散，概念炒作继续轮动，当前筹码密集区，尚有待内资轮动消化，权重企稳。预计指数将在压力区间震荡，消化前期套牢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155998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1559989"/>
      <w:r>
        <w:rPr>
          <w:rFonts w:ascii="Times New Roman" w:eastAsia="楷体" w:hAnsi="Times New Roman" w:hint="eastAsia"/>
          <w:b/>
          <w:color w:val="000000" w:themeColor="text1"/>
          <w:sz w:val="24"/>
          <w:szCs w:val="24"/>
        </w:rPr>
        <w:t>贵金属：</w:t>
      </w:r>
      <w:r w:rsidR="001E3813" w:rsidRPr="001E3813">
        <w:rPr>
          <w:rFonts w:ascii="Times New Roman" w:eastAsia="楷体" w:hAnsi="Times New Roman" w:hint="eastAsia"/>
          <w:b/>
          <w:color w:val="000000" w:themeColor="text1"/>
          <w:sz w:val="24"/>
          <w:szCs w:val="24"/>
        </w:rPr>
        <w:t>美联储议息纪要提示经济走弱风险，贵金属价格小幅反弹</w:t>
      </w:r>
      <w:bookmarkEnd w:id="10"/>
    </w:p>
    <w:p w:rsidR="003F56A5" w:rsidRDefault="001E3813">
      <w:pPr>
        <w:ind w:leftChars="300" w:left="630"/>
        <w:rPr>
          <w:rFonts w:ascii="Times New Roman" w:eastAsia="楷体" w:hAnsi="Times New Roman"/>
          <w:sz w:val="24"/>
          <w:szCs w:val="24"/>
        </w:rPr>
      </w:pPr>
      <w:r w:rsidRPr="001E3813">
        <w:rPr>
          <w:rFonts w:ascii="Times New Roman" w:eastAsia="楷体" w:hAnsi="Times New Roman" w:hint="eastAsia"/>
          <w:color w:val="000000" w:themeColor="text1"/>
          <w:sz w:val="24"/>
          <w:szCs w:val="24"/>
        </w:rPr>
        <w:t>美元指数上涨</w:t>
      </w:r>
      <w:r w:rsidRPr="001E3813">
        <w:rPr>
          <w:rFonts w:ascii="Times New Roman" w:eastAsia="楷体" w:hAnsi="Times New Roman" w:hint="eastAsia"/>
          <w:color w:val="000000" w:themeColor="text1"/>
          <w:sz w:val="24"/>
          <w:szCs w:val="24"/>
        </w:rPr>
        <w:t>0.12%</w:t>
      </w:r>
      <w:r w:rsidRPr="001E3813">
        <w:rPr>
          <w:rFonts w:ascii="Times New Roman" w:eastAsia="楷体" w:hAnsi="Times New Roman" w:hint="eastAsia"/>
          <w:color w:val="000000" w:themeColor="text1"/>
          <w:sz w:val="24"/>
          <w:szCs w:val="24"/>
        </w:rPr>
        <w:t>至</w:t>
      </w:r>
      <w:r w:rsidRPr="001E3813">
        <w:rPr>
          <w:rFonts w:ascii="Times New Roman" w:eastAsia="楷体" w:hAnsi="Times New Roman" w:hint="eastAsia"/>
          <w:color w:val="000000" w:themeColor="text1"/>
          <w:sz w:val="24"/>
          <w:szCs w:val="24"/>
        </w:rPr>
        <w:t>103.61</w:t>
      </w:r>
      <w:r w:rsidRPr="001E3813">
        <w:rPr>
          <w:rFonts w:ascii="Times New Roman" w:eastAsia="楷体" w:hAnsi="Times New Roman" w:hint="eastAsia"/>
          <w:color w:val="000000" w:themeColor="text1"/>
          <w:sz w:val="24"/>
          <w:szCs w:val="24"/>
        </w:rPr>
        <w:t>，美十债收益率下跌</w:t>
      </w:r>
      <w:r w:rsidRPr="001E3813">
        <w:rPr>
          <w:rFonts w:ascii="Times New Roman" w:eastAsia="楷体" w:hAnsi="Times New Roman" w:hint="eastAsia"/>
          <w:color w:val="000000" w:themeColor="text1"/>
          <w:sz w:val="24"/>
          <w:szCs w:val="24"/>
        </w:rPr>
        <w:t>2.8bp</w:t>
      </w:r>
      <w:r w:rsidRPr="001E3813">
        <w:rPr>
          <w:rFonts w:ascii="Times New Roman" w:eastAsia="楷体" w:hAnsi="Times New Roman" w:hint="eastAsia"/>
          <w:color w:val="000000" w:themeColor="text1"/>
          <w:sz w:val="24"/>
          <w:szCs w:val="24"/>
        </w:rPr>
        <w:t>至</w:t>
      </w:r>
      <w:r w:rsidRPr="001E3813">
        <w:rPr>
          <w:rFonts w:ascii="Times New Roman" w:eastAsia="楷体" w:hAnsi="Times New Roman" w:hint="eastAsia"/>
          <w:color w:val="000000" w:themeColor="text1"/>
          <w:sz w:val="24"/>
          <w:szCs w:val="24"/>
        </w:rPr>
        <w:t>4.395%</w:t>
      </w:r>
      <w:r w:rsidRPr="001E3813">
        <w:rPr>
          <w:rFonts w:ascii="Times New Roman" w:eastAsia="楷体" w:hAnsi="Times New Roman" w:hint="eastAsia"/>
          <w:color w:val="000000" w:themeColor="text1"/>
          <w:sz w:val="24"/>
          <w:szCs w:val="24"/>
        </w:rPr>
        <w:t>，外盘</w:t>
      </w:r>
      <w:r w:rsidRPr="001E3813">
        <w:rPr>
          <w:rFonts w:ascii="Times New Roman" w:eastAsia="楷体" w:hAnsi="Times New Roman" w:hint="eastAsia"/>
          <w:color w:val="000000" w:themeColor="text1"/>
          <w:sz w:val="24"/>
          <w:szCs w:val="24"/>
        </w:rPr>
        <w:t>COMEX</w:t>
      </w:r>
      <w:r w:rsidRPr="001E3813">
        <w:rPr>
          <w:rFonts w:ascii="Times New Roman" w:eastAsia="楷体" w:hAnsi="Times New Roman" w:hint="eastAsia"/>
          <w:color w:val="000000" w:themeColor="text1"/>
          <w:sz w:val="24"/>
          <w:szCs w:val="24"/>
        </w:rPr>
        <w:t>金价收复</w:t>
      </w:r>
      <w:r w:rsidRPr="001E3813">
        <w:rPr>
          <w:rFonts w:ascii="Times New Roman" w:eastAsia="楷体" w:hAnsi="Times New Roman" w:hint="eastAsia"/>
          <w:color w:val="000000" w:themeColor="text1"/>
          <w:sz w:val="24"/>
          <w:szCs w:val="24"/>
        </w:rPr>
        <w:t>2000</w:t>
      </w:r>
      <w:r w:rsidRPr="001E3813">
        <w:rPr>
          <w:rFonts w:ascii="Times New Roman" w:eastAsia="楷体" w:hAnsi="Times New Roman" w:hint="eastAsia"/>
          <w:color w:val="000000" w:themeColor="text1"/>
          <w:sz w:val="24"/>
          <w:szCs w:val="24"/>
        </w:rPr>
        <w:t>美元</w:t>
      </w:r>
      <w:r w:rsidRPr="001E3813">
        <w:rPr>
          <w:rFonts w:ascii="Times New Roman" w:eastAsia="楷体" w:hAnsi="Times New Roman" w:hint="eastAsia"/>
          <w:color w:val="000000" w:themeColor="text1"/>
          <w:sz w:val="24"/>
          <w:szCs w:val="24"/>
        </w:rPr>
        <w:t>/</w:t>
      </w:r>
      <w:r w:rsidRPr="001E3813">
        <w:rPr>
          <w:rFonts w:ascii="Times New Roman" w:eastAsia="楷体" w:hAnsi="Times New Roman" w:hint="eastAsia"/>
          <w:color w:val="000000" w:themeColor="text1"/>
          <w:sz w:val="24"/>
          <w:szCs w:val="24"/>
        </w:rPr>
        <w:t>盎司整数关口，沪金、沪银涨近</w:t>
      </w:r>
      <w:r w:rsidRPr="001E3813">
        <w:rPr>
          <w:rFonts w:ascii="Times New Roman" w:eastAsia="楷体" w:hAnsi="Times New Roman" w:hint="eastAsia"/>
          <w:color w:val="000000" w:themeColor="text1"/>
          <w:sz w:val="24"/>
          <w:szCs w:val="24"/>
        </w:rPr>
        <w:t>1%</w:t>
      </w:r>
      <w:r w:rsidRPr="001E3813">
        <w:rPr>
          <w:rFonts w:ascii="Times New Roman" w:eastAsia="楷体" w:hAnsi="Times New Roman" w:hint="eastAsia"/>
          <w:color w:val="000000" w:themeColor="text1"/>
          <w:sz w:val="24"/>
          <w:szCs w:val="24"/>
        </w:rPr>
        <w:t>。美联储</w:t>
      </w:r>
      <w:r w:rsidRPr="001E3813">
        <w:rPr>
          <w:rFonts w:ascii="Times New Roman" w:eastAsia="楷体" w:hAnsi="Times New Roman" w:hint="eastAsia"/>
          <w:color w:val="000000" w:themeColor="text1"/>
          <w:sz w:val="24"/>
          <w:szCs w:val="24"/>
        </w:rPr>
        <w:t>11</w:t>
      </w:r>
      <w:r w:rsidRPr="001E3813">
        <w:rPr>
          <w:rFonts w:ascii="Times New Roman" w:eastAsia="楷体" w:hAnsi="Times New Roman" w:hint="eastAsia"/>
          <w:color w:val="000000" w:themeColor="text1"/>
          <w:sz w:val="24"/>
          <w:szCs w:val="24"/>
        </w:rPr>
        <w:t>月货币政策纪要显示，所有官员均认为应在一段时间内保持限制性货币政策，直至通胀明显下降；未提及降息方面的考虑；仍然存在通胀反弹、经济走弱的风险。近期联储官员公开发声存在分歧，部分官员认为应维持利率水平不变，另一部分官员则向市场提示进一步加息的可能性。后续美国经济存在下行风险，中长线角度仍相对看好贵金属价格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155999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1559991"/>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1E3813" w:rsidRPr="001E3813">
        <w:rPr>
          <w:rFonts w:ascii="楷体" w:eastAsia="楷体" w:hAnsi="楷体" w:hint="eastAsia"/>
          <w:b/>
          <w:color w:val="000000" w:themeColor="text1"/>
          <w:sz w:val="24"/>
          <w:szCs w:val="24"/>
        </w:rPr>
        <w:t>四季度锂盐进口存在增量预期，期价大幅下跌</w:t>
      </w:r>
      <w:bookmarkEnd w:id="18"/>
    </w:p>
    <w:p w:rsidR="00F50569" w:rsidRDefault="001E3813" w:rsidP="00F50569">
      <w:pPr>
        <w:ind w:leftChars="300" w:left="630"/>
        <w:rPr>
          <w:rFonts w:ascii="楷体" w:eastAsia="楷体" w:hAnsi="楷体"/>
          <w:color w:val="000000" w:themeColor="text1"/>
          <w:sz w:val="24"/>
          <w:szCs w:val="24"/>
        </w:rPr>
      </w:pPr>
      <w:r w:rsidRPr="001E3813">
        <w:rPr>
          <w:rFonts w:ascii="楷体" w:eastAsia="楷体" w:hAnsi="楷体" w:hint="eastAsia"/>
          <w:color w:val="000000" w:themeColor="text1"/>
          <w:sz w:val="24"/>
          <w:szCs w:val="24"/>
        </w:rPr>
        <w:t>现货价格维持下跌，昨日期货价格大幅下挫创出新低，主力01合约跌4.55%至13.23万元/吨。昨日下午海关公布的最新进出口数据显示，10月碳酸锂进口量环比下跌21.19%至10762吨，锂辉石精矿进口量环比下跌7%至46.47万吨，10月进口碳酸锂均价环比下降13.55%。虽然锂盐和锂矿进口量都下降，但另一方面，占进口大头的智利10月出口至国内的碳酸锂量环比增加约7.5%，此部分增量或于下月及以后到港；后续澳矿或也将贡献增量。因此，市场对于后续四季度整体的进口量依然存在供应增加的预期，叠加终端需求维持偏弱，期价近期或偏弱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1559992"/>
      <w:r>
        <w:rPr>
          <w:rFonts w:ascii="楷体" w:eastAsia="楷体" w:hAnsi="楷体" w:hint="eastAsia"/>
          <w:b/>
          <w:color w:val="000000" w:themeColor="text1"/>
          <w:sz w:val="24"/>
          <w:szCs w:val="24"/>
        </w:rPr>
        <w:t>螺纹钢：</w:t>
      </w:r>
      <w:bookmarkEnd w:id="16"/>
      <w:bookmarkEnd w:id="17"/>
      <w:r w:rsidR="0012609D" w:rsidRPr="0012609D">
        <w:rPr>
          <w:rFonts w:ascii="楷体" w:eastAsia="楷体" w:hAnsi="楷体" w:hint="eastAsia"/>
          <w:b/>
          <w:color w:val="000000" w:themeColor="text1"/>
          <w:sz w:val="24"/>
          <w:szCs w:val="24"/>
        </w:rPr>
        <w:t>低库存强预期，偏强震荡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12609D" w:rsidP="00201944">
      <w:pPr>
        <w:ind w:leftChars="300" w:left="630"/>
        <w:rPr>
          <w:rFonts w:ascii="楷体" w:eastAsia="楷体" w:hAnsi="楷体"/>
          <w:color w:val="000000" w:themeColor="text1"/>
          <w:sz w:val="24"/>
          <w:szCs w:val="24"/>
        </w:rPr>
      </w:pPr>
      <w:r w:rsidRPr="0012609D">
        <w:rPr>
          <w:rFonts w:ascii="楷体" w:eastAsia="楷体" w:hAnsi="楷体" w:hint="eastAsia"/>
          <w:color w:val="000000" w:themeColor="text1"/>
          <w:sz w:val="24"/>
          <w:szCs w:val="24"/>
        </w:rPr>
        <w:t>市场宏观预期较强，房地产融资环境有望明显改善，市场对未来总需求预期较为乐观。当前需求有所下滑但整体较为平稳，预计后期累库速度不快，低产量、低库存下，01合约交割压力较小，价格有望继续震荡向上</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1559993"/>
      <w:r>
        <w:rPr>
          <w:rFonts w:ascii="楷体" w:eastAsia="楷体" w:hAnsi="楷体" w:hint="eastAsia"/>
          <w:b/>
          <w:color w:val="000000" w:themeColor="text1"/>
          <w:sz w:val="24"/>
          <w:szCs w:val="24"/>
        </w:rPr>
        <w:t>焦炭：</w:t>
      </w:r>
      <w:bookmarkEnd w:id="20"/>
      <w:bookmarkEnd w:id="21"/>
      <w:r w:rsidR="0012609D" w:rsidRPr="0012609D">
        <w:rPr>
          <w:rFonts w:ascii="楷体" w:eastAsia="楷体" w:hAnsi="楷体" w:hint="eastAsia"/>
          <w:b/>
          <w:color w:val="000000" w:themeColor="text1"/>
          <w:sz w:val="24"/>
          <w:szCs w:val="24"/>
        </w:rPr>
        <w:t>第一轮提涨落地，高位震荡</w:t>
      </w:r>
      <w:bookmarkEnd w:id="22"/>
    </w:p>
    <w:p w:rsidR="003F56A5" w:rsidRDefault="0012609D" w:rsidP="00572E35">
      <w:pPr>
        <w:ind w:leftChars="300" w:left="630"/>
        <w:rPr>
          <w:rFonts w:ascii="楷体" w:eastAsia="楷体" w:hAnsi="楷体"/>
          <w:color w:val="000000" w:themeColor="text1"/>
          <w:sz w:val="24"/>
          <w:szCs w:val="24"/>
        </w:rPr>
      </w:pPr>
      <w:r w:rsidRPr="0012609D">
        <w:rPr>
          <w:rFonts w:ascii="楷体" w:eastAsia="楷体" w:hAnsi="楷体" w:hint="eastAsia"/>
          <w:color w:val="000000" w:themeColor="text1"/>
          <w:sz w:val="24"/>
          <w:szCs w:val="24"/>
        </w:rPr>
        <w:t>焦煤推动成本大幅度上行，成材矛盾不突出，盘面给出三轮提涨估值，高</w:t>
      </w:r>
      <w:r w:rsidRPr="0012609D">
        <w:rPr>
          <w:rFonts w:ascii="楷体" w:eastAsia="楷体" w:hAnsi="楷体" w:hint="eastAsia"/>
          <w:color w:val="000000" w:themeColor="text1"/>
          <w:sz w:val="24"/>
          <w:szCs w:val="24"/>
        </w:rPr>
        <w:lastRenderedPageBreak/>
        <w:t>位下谨慎乐观</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1559994"/>
      <w:r>
        <w:rPr>
          <w:rFonts w:ascii="楷体" w:eastAsia="楷体" w:hAnsi="楷体" w:hint="eastAsia"/>
          <w:b/>
          <w:color w:val="000000" w:themeColor="text1"/>
          <w:sz w:val="24"/>
          <w:szCs w:val="24"/>
        </w:rPr>
        <w:t>焦煤：</w:t>
      </w:r>
      <w:r w:rsidR="0012609D" w:rsidRPr="0012609D">
        <w:rPr>
          <w:rFonts w:ascii="楷体" w:eastAsia="楷体" w:hAnsi="楷体" w:hint="eastAsia"/>
          <w:b/>
          <w:sz w:val="24"/>
          <w:szCs w:val="24"/>
        </w:rPr>
        <w:t>供应低位，高位震荡</w:t>
      </w:r>
      <w:bookmarkEnd w:id="23"/>
    </w:p>
    <w:p w:rsidR="003F56A5" w:rsidRDefault="0012609D">
      <w:pPr>
        <w:ind w:leftChars="300" w:left="630"/>
        <w:rPr>
          <w:rFonts w:ascii="楷体" w:eastAsia="楷体" w:hAnsi="楷体"/>
          <w:bCs/>
          <w:sz w:val="24"/>
          <w:szCs w:val="24"/>
        </w:rPr>
      </w:pPr>
      <w:r w:rsidRPr="0012609D">
        <w:rPr>
          <w:rFonts w:ascii="楷体" w:eastAsia="楷体" w:hAnsi="楷体" w:hint="eastAsia"/>
          <w:sz w:val="24"/>
          <w:szCs w:val="24"/>
        </w:rPr>
        <w:t>焦煤低库存及补库预期下，安全事故导致产量短期或出现一定减量，主焦煤结构性问题支撑价格下限，进一步突破或需下游主动补库，短期或高位震荡等待新的变量</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1559995"/>
      <w:r>
        <w:rPr>
          <w:rFonts w:ascii="楷体" w:eastAsia="楷体" w:hAnsi="楷体" w:hint="eastAsia"/>
          <w:b/>
          <w:color w:val="000000" w:themeColor="text1"/>
          <w:sz w:val="24"/>
          <w:szCs w:val="24"/>
        </w:rPr>
        <w:t>铜：</w:t>
      </w:r>
      <w:bookmarkEnd w:id="24"/>
      <w:bookmarkEnd w:id="25"/>
      <w:r w:rsidR="001E3813" w:rsidRPr="001E3813">
        <w:rPr>
          <w:rFonts w:ascii="楷体" w:eastAsia="楷体" w:hAnsi="楷体" w:hint="eastAsia"/>
          <w:b/>
          <w:color w:val="000000" w:themeColor="text1"/>
          <w:sz w:val="24"/>
          <w:szCs w:val="24"/>
        </w:rPr>
        <w:t>短期宏观中性，基本面支撑减弱，铜价进一步上行空间有限</w:t>
      </w:r>
      <w:bookmarkEnd w:id="26"/>
    </w:p>
    <w:p w:rsidR="001E3813" w:rsidRPr="001E3813" w:rsidRDefault="001E3813" w:rsidP="001E3813">
      <w:pPr>
        <w:ind w:leftChars="300" w:left="630"/>
        <w:rPr>
          <w:rFonts w:ascii="楷体" w:eastAsia="楷体" w:hAnsi="楷体" w:hint="eastAsia"/>
          <w:color w:val="000000" w:themeColor="text1"/>
          <w:sz w:val="24"/>
          <w:szCs w:val="24"/>
        </w:rPr>
      </w:pPr>
      <w:r w:rsidRPr="001E3813">
        <w:rPr>
          <w:rFonts w:ascii="楷体" w:eastAsia="楷体" w:hAnsi="楷体" w:hint="eastAsia"/>
          <w:color w:val="000000" w:themeColor="text1"/>
          <w:sz w:val="24"/>
          <w:szCs w:val="24"/>
        </w:rPr>
        <w:t>(1)产业：国际铜业研究组织(ICSG)在最新的月度报告中称，全球9月精炼铜市场短缺5.5万吨，8月供应缺口为2.1万吨。ICSG表示，今年前九个月，全球精炼铜市场供应过剩1.7万吨，之前一年同期为供应短缺40.10万吨。</w:t>
      </w:r>
    </w:p>
    <w:p w:rsidR="001E3813" w:rsidRPr="001E3813" w:rsidRDefault="001E3813" w:rsidP="001E3813">
      <w:pPr>
        <w:ind w:leftChars="300" w:left="630"/>
        <w:rPr>
          <w:rFonts w:ascii="楷体" w:eastAsia="楷体" w:hAnsi="楷体" w:hint="eastAsia"/>
          <w:color w:val="000000" w:themeColor="text1"/>
          <w:sz w:val="24"/>
          <w:szCs w:val="24"/>
        </w:rPr>
      </w:pPr>
      <w:r w:rsidRPr="001E3813">
        <w:rPr>
          <w:rFonts w:ascii="楷体" w:eastAsia="楷体" w:hAnsi="楷体" w:hint="eastAsia"/>
          <w:color w:val="000000" w:themeColor="text1"/>
          <w:sz w:val="24"/>
          <w:szCs w:val="24"/>
        </w:rPr>
        <w:t>(2)库存：11月21日，SHFE仓单库存3582吨，减1377吨；LME仓单库存179025吨，减950吨。</w:t>
      </w:r>
    </w:p>
    <w:p w:rsidR="001E3813" w:rsidRPr="001E3813" w:rsidRDefault="001E3813" w:rsidP="001E3813">
      <w:pPr>
        <w:ind w:leftChars="300" w:left="630"/>
        <w:rPr>
          <w:rFonts w:ascii="楷体" w:eastAsia="楷体" w:hAnsi="楷体" w:hint="eastAsia"/>
          <w:color w:val="000000" w:themeColor="text1"/>
          <w:sz w:val="24"/>
          <w:szCs w:val="24"/>
        </w:rPr>
      </w:pPr>
      <w:r w:rsidRPr="001E3813">
        <w:rPr>
          <w:rFonts w:ascii="楷体" w:eastAsia="楷体" w:hAnsi="楷体" w:hint="eastAsia"/>
          <w:color w:val="000000" w:themeColor="text1"/>
          <w:sz w:val="24"/>
          <w:szCs w:val="24"/>
        </w:rPr>
        <w:t>(3)精废价差：11月21日，Mysteel精废价差2128，扩张252。目前价差在合理价差1391之上。</w:t>
      </w:r>
    </w:p>
    <w:p w:rsidR="001E3813" w:rsidRPr="001E3813" w:rsidRDefault="001E3813" w:rsidP="001E3813">
      <w:pPr>
        <w:ind w:leftChars="300" w:left="630"/>
        <w:rPr>
          <w:rFonts w:ascii="楷体" w:eastAsia="楷体" w:hAnsi="楷体"/>
          <w:color w:val="000000" w:themeColor="text1"/>
          <w:sz w:val="24"/>
          <w:szCs w:val="24"/>
        </w:rPr>
      </w:pPr>
    </w:p>
    <w:p w:rsidR="00127803" w:rsidRPr="00127803" w:rsidRDefault="001E3813" w:rsidP="001E3813">
      <w:pPr>
        <w:ind w:leftChars="300" w:left="630"/>
        <w:rPr>
          <w:rFonts w:ascii="楷体" w:eastAsia="楷体" w:hAnsi="楷体"/>
          <w:color w:val="000000" w:themeColor="text1"/>
          <w:sz w:val="24"/>
          <w:szCs w:val="24"/>
        </w:rPr>
      </w:pPr>
      <w:r w:rsidRPr="001E3813">
        <w:rPr>
          <w:rFonts w:ascii="楷体" w:eastAsia="楷体" w:hAnsi="楷体" w:hint="eastAsia"/>
          <w:color w:val="000000" w:themeColor="text1"/>
          <w:sz w:val="24"/>
          <w:szCs w:val="24"/>
        </w:rPr>
        <w:t>综述：11月美联储货币政策会议纪要显示，所有决策者一致认为，适合一段时间保持限制性货币政策，直到通胀显然朝目标大幅下降为止，在是否进一步加息的问题上应谨慎行事。整体表态偏中性，短期美元指数偏弱震荡，支撑铜价但难以形成进一步驱动，市场更多关注点或偏向国内政策预期。基本面，伴随铜价走高，市场流通货源增加，同时进口窗口打开，国内低库存现状有望改善，现货升水逐步回落，支撑减弱。维持压力位68500-69000，操作上，建议前期多头逐步获利了结</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1559996"/>
      <w:r>
        <w:rPr>
          <w:rFonts w:ascii="楷体" w:eastAsia="楷体" w:hAnsi="楷体" w:hint="eastAsia"/>
          <w:b/>
          <w:color w:val="000000" w:themeColor="text1"/>
          <w:sz w:val="24"/>
          <w:szCs w:val="24"/>
        </w:rPr>
        <w:t>铝：</w:t>
      </w:r>
      <w:bookmarkEnd w:id="27"/>
      <w:bookmarkEnd w:id="28"/>
      <w:r w:rsidR="001E3813" w:rsidRPr="001E3813">
        <w:rPr>
          <w:rFonts w:ascii="楷体" w:eastAsia="楷体" w:hAnsi="楷体" w:hint="eastAsia"/>
          <w:b/>
          <w:color w:val="000000" w:themeColor="text1"/>
          <w:sz w:val="24"/>
          <w:szCs w:val="24"/>
        </w:rPr>
        <w:t>基本面支撑偏弱，价格上下有限宽度震荡运行</w:t>
      </w:r>
      <w:bookmarkEnd w:id="29"/>
    </w:p>
    <w:p w:rsidR="003F56A5" w:rsidRDefault="001E3813" w:rsidP="00127803">
      <w:pPr>
        <w:ind w:leftChars="300" w:left="630"/>
        <w:rPr>
          <w:rFonts w:ascii="楷体" w:eastAsia="楷体" w:hAnsi="楷体"/>
          <w:color w:val="000000" w:themeColor="text1"/>
          <w:sz w:val="24"/>
          <w:szCs w:val="24"/>
        </w:rPr>
      </w:pPr>
      <w:r w:rsidRPr="001E3813">
        <w:rPr>
          <w:rFonts w:ascii="楷体" w:eastAsia="楷体" w:hAnsi="楷体" w:hint="eastAsia"/>
          <w:color w:val="000000" w:themeColor="text1"/>
          <w:sz w:val="24"/>
          <w:szCs w:val="24"/>
        </w:rPr>
        <w:t>美联储会议表示应保持高利率政策直至通胀回落，加息尾声但降息短期内难以期待。铝土矿进口走紧，几内亚雨季影响进口减少，非主流来源国进口矿贸易积极，10月电解铝产量再创新高，国内铝厂铸锭比例提升，四川少量增产，内蒙古白音华有新投产，云南再迎枯水期当地电解铝产能缩减，进口盈利窗口打开，大量俄铝流入补充，电解铝生产成本小幅抬升，但冶炼企业利润仍较为丰厚，企业投产积极性犹存，需求进入淡季消费整体疲弱，电网抢工或刺激铝杆需求，海外出口依旧偏弱。铝市库存保持在往年同期低位，社库快速积累后再度拐入去库。整体上看，铝市供需双减，供应减产影响有延后性，市场消费疲软延续，四季度时长过半，前半段旺季刺激对消费改善有限，后半段进入淡季还有冬季补库需求，下游逢低采买，另外电网开工或刺激部分消费，库存前期虽有累积但整体依旧保持在往年同期低位，目前再度拐入去库，表明市场基础消费需求仍存，短期价格偏弱震荡但下方空间有限，或宽幅震荡在18500-19300区间</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1559997"/>
      <w:r>
        <w:rPr>
          <w:rFonts w:ascii="楷体" w:eastAsia="楷体" w:hAnsi="楷体" w:hint="eastAsia"/>
          <w:b/>
          <w:color w:val="000000" w:themeColor="text1"/>
          <w:sz w:val="24"/>
          <w:szCs w:val="24"/>
        </w:rPr>
        <w:t>锌：</w:t>
      </w:r>
      <w:r w:rsidR="001E3813" w:rsidRPr="001E3813">
        <w:rPr>
          <w:rFonts w:ascii="楷体" w:eastAsia="楷体" w:hAnsi="楷体" w:hint="eastAsia"/>
          <w:b/>
          <w:color w:val="000000" w:themeColor="text1"/>
          <w:sz w:val="24"/>
          <w:szCs w:val="24"/>
        </w:rPr>
        <w:t>上下空间有限，锌价震荡为主</w:t>
      </w:r>
      <w:bookmarkEnd w:id="30"/>
    </w:p>
    <w:p w:rsidR="003F56A5" w:rsidRDefault="001E3813" w:rsidP="000B0648">
      <w:pPr>
        <w:ind w:leftChars="300" w:left="630"/>
        <w:rPr>
          <w:rFonts w:ascii="楷体" w:eastAsia="楷体" w:hAnsi="楷体"/>
          <w:color w:val="000000" w:themeColor="text1"/>
          <w:sz w:val="24"/>
          <w:szCs w:val="24"/>
        </w:rPr>
      </w:pPr>
      <w:r w:rsidRPr="001E3813">
        <w:rPr>
          <w:rFonts w:ascii="楷体" w:eastAsia="楷体" w:hAnsi="楷体" w:hint="eastAsia"/>
          <w:color w:val="000000" w:themeColor="text1"/>
          <w:sz w:val="24"/>
          <w:szCs w:val="24"/>
        </w:rPr>
        <w:t>美国CPI同比走弱，通胀压力缓解，加息逐步进入尾声，市场转入经济衰退交易预期，美联储会议表示高利率环境仍将维持直至通胀回落至目标值，国内政策面一直保持乐观刺激，中美关系缓和，包括对地产又有新的托底</w:t>
      </w:r>
      <w:r w:rsidRPr="001E3813">
        <w:rPr>
          <w:rFonts w:ascii="楷体" w:eastAsia="楷体" w:hAnsi="楷体" w:hint="eastAsia"/>
          <w:color w:val="000000" w:themeColor="text1"/>
          <w:sz w:val="24"/>
          <w:szCs w:val="24"/>
        </w:rPr>
        <w:lastRenderedPageBreak/>
        <w:t>及刺激政策支持，宏观短期偏多。海外矿山减产但实际影响不大，锌价近期快速走弱，伦锌已进入成本区间，海外库存大幅交仓但整体库存绝对位置依旧偏低，下方空间有限，而下游求表现疲软抑制锌价上行空间，价格或维持宽幅震荡，可考虑逢高卖看涨期权策略</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1559998"/>
      <w:r>
        <w:rPr>
          <w:rFonts w:ascii="楷体" w:eastAsia="楷体" w:hAnsi="楷体" w:hint="eastAsia"/>
          <w:b/>
          <w:color w:val="000000" w:themeColor="text1"/>
          <w:sz w:val="24"/>
          <w:szCs w:val="24"/>
        </w:rPr>
        <w:t>镍：</w:t>
      </w:r>
      <w:r w:rsidR="001E3813" w:rsidRPr="001E3813">
        <w:rPr>
          <w:rFonts w:ascii="楷体" w:eastAsia="楷体" w:hAnsi="楷体" w:hint="eastAsia"/>
          <w:b/>
          <w:color w:val="000000" w:themeColor="text1"/>
          <w:sz w:val="24"/>
          <w:szCs w:val="24"/>
        </w:rPr>
        <w:t>供增需弱叠加成本支撑减弱，镍价持续承压</w:t>
      </w:r>
      <w:bookmarkEnd w:id="31"/>
    </w:p>
    <w:p w:rsidR="003F56A5" w:rsidRDefault="001E3813">
      <w:pPr>
        <w:ind w:leftChars="300" w:left="630"/>
        <w:rPr>
          <w:rFonts w:ascii="楷体" w:eastAsia="楷体" w:hAnsi="楷体"/>
          <w:color w:val="000000" w:themeColor="text1"/>
          <w:sz w:val="24"/>
          <w:szCs w:val="24"/>
        </w:rPr>
      </w:pPr>
      <w:r w:rsidRPr="001E3813">
        <w:rPr>
          <w:rFonts w:ascii="楷体" w:eastAsia="楷体" w:hAnsi="楷体" w:hint="eastAsia"/>
          <w:color w:val="000000" w:themeColor="text1"/>
          <w:sz w:val="24"/>
          <w:szCs w:val="24"/>
        </w:rPr>
        <w:t>供应端，精炼镍厂未有减产迹象，产能将继续释放。需求端，不锈钢维持减产，对镍的需求持续下降。成本端，印尼镍中间品持续放量，带动电积镍成本下行，对镍价支撑作用持续减弱。综合而言，长期来看，镍供大于求格局较清晰，对镍持偏空思路；短期来看，供应过剩、需求不振和成本下跌的弱势基本面持续对镍价施压，但宏观情绪有所好转加上生产成本支撑仍存，预计镍价下行速度放缓，呈现震荡偏弱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155999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1560000"/>
      <w:r>
        <w:rPr>
          <w:rFonts w:ascii="楷体" w:eastAsia="楷体" w:hAnsi="楷体" w:hint="eastAsia"/>
          <w:b/>
          <w:color w:val="000000" w:themeColor="text1"/>
          <w:sz w:val="24"/>
          <w:szCs w:val="24"/>
        </w:rPr>
        <w:t>不锈钢：</w:t>
      </w:r>
      <w:r w:rsidR="001E3813" w:rsidRPr="001E3813">
        <w:rPr>
          <w:rFonts w:ascii="楷体" w:eastAsia="楷体" w:hAnsi="楷体" w:hint="eastAsia"/>
          <w:b/>
          <w:color w:val="000000" w:themeColor="text1"/>
          <w:sz w:val="24"/>
          <w:szCs w:val="24"/>
        </w:rPr>
        <w:t>成本塌陷仍在持续，预计震荡偏弱运行</w:t>
      </w:r>
      <w:bookmarkEnd w:id="33"/>
    </w:p>
    <w:p w:rsidR="003F56A5" w:rsidRDefault="001E3813" w:rsidP="001529BB">
      <w:pPr>
        <w:ind w:leftChars="300" w:left="630"/>
        <w:rPr>
          <w:rFonts w:ascii="楷体" w:eastAsia="楷体" w:hAnsi="楷体"/>
          <w:color w:val="000000" w:themeColor="text1"/>
          <w:sz w:val="24"/>
          <w:szCs w:val="24"/>
        </w:rPr>
      </w:pPr>
      <w:r w:rsidRPr="001E3813">
        <w:rPr>
          <w:rFonts w:ascii="楷体" w:eastAsia="楷体" w:hAnsi="楷体" w:hint="eastAsia"/>
          <w:color w:val="000000" w:themeColor="text1"/>
          <w:sz w:val="24"/>
          <w:szCs w:val="24"/>
        </w:rPr>
        <w:t>近期不锈钢价格弱势运行的核心逻辑在于原料镍铁价格持续下跌，引发不锈钢成本塌方。不锈钢厂持续减产，对镍铁的需求不断下降，且镍铁库存仍处高位，印尼镍铁回流压力仍大，加上国内贸易商在资金占用压力下低价出货，镍铁厂挺价能力较弱，预计短期内镍铁价格继续弱势运行。供应端，不锈钢厂在11月继续减产。需求端，在需求弱复苏态势下，年内不锈钢需求难有明显起色。库存端，下游成交整体上以刚需采购为主，去库节奏较缓慢，社会库存仍处于历史高位。综合来看，不锈钢的话成本支撑仍有下跌空间，叠加需求难有起色和库存高位压力，预计短期内偏弱震荡，关注镍铁价格变化和社库变化</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1560001"/>
      <w:r>
        <w:rPr>
          <w:rFonts w:ascii="楷体" w:eastAsia="楷体" w:hAnsi="楷体" w:hint="eastAsia"/>
          <w:b/>
          <w:color w:val="000000" w:themeColor="text1"/>
          <w:sz w:val="24"/>
          <w:szCs w:val="24"/>
        </w:rPr>
        <w:t>工业硅：</w:t>
      </w:r>
      <w:r w:rsidR="001E3813" w:rsidRPr="001E3813">
        <w:rPr>
          <w:rFonts w:ascii="楷体" w:eastAsia="楷体" w:hAnsi="楷体" w:hint="eastAsia"/>
          <w:b/>
          <w:sz w:val="24"/>
          <w:szCs w:val="24"/>
        </w:rPr>
        <w:t>供应存在减产预期，预计盘面下行空间有限</w:t>
      </w:r>
      <w:bookmarkEnd w:id="34"/>
    </w:p>
    <w:p w:rsidR="003F56A5" w:rsidRDefault="001E3813" w:rsidP="00827E8A">
      <w:pPr>
        <w:ind w:leftChars="300" w:left="630"/>
        <w:rPr>
          <w:rFonts w:ascii="楷体" w:eastAsia="楷体" w:hAnsi="楷体"/>
          <w:sz w:val="24"/>
          <w:szCs w:val="24"/>
        </w:rPr>
      </w:pPr>
      <w:r w:rsidRPr="001E3813">
        <w:rPr>
          <w:rFonts w:ascii="楷体" w:eastAsia="楷体" w:hAnsi="楷体" w:hint="eastAsia"/>
          <w:sz w:val="24"/>
          <w:szCs w:val="24"/>
        </w:rPr>
        <w:t>11月21日，Si2401主力合约呈高开低走走势，收盘价14285元/吨，较上一收盘价涨跌幅-0.59%。当前西南地区已完全进入枯水期，除原料供应紧张外，预计后续电价或仍有上调可能。据铁合金在线消息，怒江片区属于高耗能产业，电价已处于高位，且下月还将上调，当地工厂计划月底全线停产，此外其他地区也将多进行停炉检修。在供应存在减产预期背景下，</w:t>
      </w:r>
      <w:r w:rsidRPr="001E3813">
        <w:rPr>
          <w:rFonts w:ascii="楷体" w:eastAsia="楷体" w:hAnsi="楷体" w:hint="eastAsia"/>
          <w:sz w:val="24"/>
          <w:szCs w:val="24"/>
        </w:rPr>
        <w:lastRenderedPageBreak/>
        <w:t>预计盘面下行空间有限。策略上，可尝试逢低做多机会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156000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5156000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1E3813" w:rsidRPr="001E3813">
        <w:rPr>
          <w:rFonts w:ascii="楷体" w:eastAsia="楷体" w:hAnsi="楷体" w:hint="eastAsia"/>
          <w:b/>
          <w:sz w:val="24"/>
          <w:szCs w:val="24"/>
        </w:rPr>
        <w:t>逼近下方支撑位，RU在下游成品库存高企下或震荡为主</w:t>
      </w:r>
      <w:bookmarkEnd w:id="37"/>
    </w:p>
    <w:p w:rsidR="003F56A5" w:rsidRDefault="001E3813">
      <w:pPr>
        <w:ind w:leftChars="300" w:left="630"/>
        <w:rPr>
          <w:rFonts w:ascii="楷体" w:eastAsia="楷体" w:hAnsi="楷体"/>
          <w:sz w:val="24"/>
          <w:szCs w:val="24"/>
        </w:rPr>
      </w:pPr>
      <w:r w:rsidRPr="001E3813">
        <w:rPr>
          <w:rFonts w:ascii="楷体" w:eastAsia="楷体" w:hAnsi="楷体" w:hint="eastAsia"/>
          <w:sz w:val="24"/>
          <w:szCs w:val="24"/>
        </w:rPr>
        <w:t>点评：昨日天胶受宏观及人民币走强影响大幅下跌，逼近下方14000的支撑位。供应方面，国内云南产区逐步进入停割期，原料收购价格表现坚挺，叠加上游产区生产利润持续处于亏损状态，胶价下行空间有限。库存方面，国内天然橡胶库存虽仍在去库，但去库幅度偏缓，下游工厂对原材料高价抵触心理。需求端来看，半钢胎企业排产运行平稳，部分企业为填补缺货产品库存，适度调整排产，带动样本企业产能利用率微幅走高。月底外贸出货尚可，内销走货相对缓慢。全钢胎样本企业销售压力逐步攀升，企业成品库存进一步走高，对整体产能利用率形成一定拖拽。终端汽车方面，10月数据同环比继续走强，汽车消费旺季来临市场景气度高。整体看，在新的强利好支撑出现前，橡胶或延续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156000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1E3813" w:rsidRPr="001E3813">
        <w:rPr>
          <w:rFonts w:ascii="Calibri" w:eastAsia="楷体" w:hAnsi="Calibri" w:cs="Calibri" w:hint="eastAsia"/>
          <w:b/>
          <w:color w:val="000000" w:themeColor="text1"/>
          <w:sz w:val="24"/>
          <w:szCs w:val="24"/>
        </w:rPr>
        <w:t>供应偏宽松预期</w:t>
      </w:r>
      <w:r w:rsidR="001E3813" w:rsidRPr="001E3813">
        <w:rPr>
          <w:rFonts w:ascii="Calibri" w:eastAsia="楷体" w:hAnsi="Calibri" w:cs="Calibri" w:hint="eastAsia"/>
          <w:b/>
          <w:color w:val="000000" w:themeColor="text1"/>
          <w:sz w:val="24"/>
          <w:szCs w:val="24"/>
        </w:rPr>
        <w:t xml:space="preserve"> </w:t>
      </w:r>
      <w:r w:rsidR="001E3813" w:rsidRPr="001E3813">
        <w:rPr>
          <w:rFonts w:ascii="Calibri" w:eastAsia="楷体" w:hAnsi="Calibri" w:cs="Calibri" w:hint="eastAsia"/>
          <w:b/>
          <w:color w:val="000000" w:themeColor="text1"/>
          <w:sz w:val="24"/>
          <w:szCs w:val="24"/>
        </w:rPr>
        <w:t>关注上方压力位</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1E3813" w:rsidP="002C73FE">
      <w:pPr>
        <w:ind w:leftChars="300" w:left="630"/>
        <w:rPr>
          <w:rFonts w:ascii="楷体" w:eastAsia="楷体" w:hAnsi="楷体"/>
          <w:color w:val="000000" w:themeColor="text1"/>
          <w:sz w:val="24"/>
          <w:szCs w:val="24"/>
        </w:rPr>
      </w:pPr>
      <w:r w:rsidRPr="001E3813">
        <w:rPr>
          <w:rFonts w:ascii="楷体" w:eastAsia="楷体" w:hAnsi="楷体" w:hint="eastAsia"/>
          <w:color w:val="000000" w:themeColor="text1"/>
          <w:sz w:val="24"/>
          <w:szCs w:val="24"/>
        </w:rPr>
        <w:t>原油盘面目前仍在计价延长减产期限甚至加深减产的乐观预期，短线下行压力解除。近期高度关注产油国方面的相关消息和言论 及11月26日OPEC+部长级会议结果。PX方面，随着调油需求走弱，歧化装置开工率进一步提升， Q4 PX供需双增。PTA供应方面，本周逸盛宁波和仪征PTA装置恢复，开工率回升到8成。能投、英力士预计月底附近恢复，汉邦有可能在月底投产。本周聚酯装置变动不大，截止11.19 初步核算国内大陆地区聚酯负荷在89.4%。江浙终端开工率局部抬升，应季产品产销放量。综合来看，PTA高加工费下供给端装置开工率大幅提升，逸盛海南250万吨PTA装置投产已投产及汉邦220万吨装置计划复产，供应仍偏宽松。伴随现实端供需转弱的矛盾，PTA市场恐仍面临回调风险，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1560005"/>
      <w:r>
        <w:rPr>
          <w:rFonts w:ascii="楷体" w:eastAsia="楷体" w:hAnsi="楷体" w:hint="eastAsia"/>
          <w:b/>
          <w:color w:val="000000" w:themeColor="text1"/>
          <w:sz w:val="24"/>
          <w:szCs w:val="24"/>
        </w:rPr>
        <w:t>聚烯烃：</w:t>
      </w:r>
      <w:r w:rsidR="001E3813" w:rsidRPr="001E3813">
        <w:rPr>
          <w:rFonts w:ascii="楷体" w:eastAsia="楷体" w:hAnsi="楷体" w:hint="eastAsia"/>
          <w:b/>
          <w:color w:val="000000" w:themeColor="text1"/>
          <w:sz w:val="24"/>
          <w:szCs w:val="24"/>
        </w:rPr>
        <w:t>需求季节性淡季 聚烯烃建议逢高做空</w:t>
      </w:r>
      <w:bookmarkEnd w:id="39"/>
    </w:p>
    <w:p w:rsidR="003F56A5" w:rsidRDefault="001E3813">
      <w:pPr>
        <w:ind w:leftChars="300" w:left="630"/>
        <w:rPr>
          <w:rFonts w:ascii="楷体" w:eastAsia="楷体" w:hAnsi="楷体"/>
          <w:bCs/>
          <w:sz w:val="24"/>
          <w:szCs w:val="24"/>
        </w:rPr>
      </w:pPr>
      <w:r w:rsidRPr="001E3813">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等待美国上周石油库存数据和周日举行的欧佩克及其减产同盟国部长级会议，交易商谨慎入市，欧美原油期货稳定。需求方面，PE下游方面，农膜整体需求平平，工厂生产清淡。棚膜工厂多停机检修；PP下游方面，BOPP市场成交刚需有量，整体量较上一交易日增加，BOPP企业未交付订单多数在一周以内。综合来看，近期聚烯烃较多装置停车检修，开工负荷仍偏低，供应端压力不大，整体库存小幅去库，但去化速率偏慢。PE下游农膜厂开工再度走弱，“双十一”购物节结束，需求季节性转弱。聚烯烃供强需弱格局，驱动较弱，建议逢高做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1560006"/>
      <w:r>
        <w:rPr>
          <w:rFonts w:ascii="楷体" w:eastAsia="楷体" w:hAnsi="楷体" w:hint="eastAsia"/>
          <w:b/>
          <w:color w:val="000000" w:themeColor="text1"/>
          <w:sz w:val="24"/>
          <w:szCs w:val="24"/>
        </w:rPr>
        <w:t>MEG：</w:t>
      </w:r>
      <w:r w:rsidR="001E3813" w:rsidRPr="001E3813">
        <w:rPr>
          <w:rFonts w:ascii="楷体" w:eastAsia="楷体" w:hAnsi="楷体" w:hint="eastAsia"/>
          <w:b/>
          <w:color w:val="000000" w:themeColor="text1"/>
          <w:sz w:val="24"/>
          <w:szCs w:val="24"/>
        </w:rPr>
        <w:t>成本支撑VS存量高库存 区间操作为主</w:t>
      </w:r>
      <w:bookmarkEnd w:id="40"/>
    </w:p>
    <w:p w:rsidR="003F56A5" w:rsidRDefault="001E3813" w:rsidP="00152664">
      <w:pPr>
        <w:ind w:leftChars="300" w:left="630"/>
        <w:rPr>
          <w:rFonts w:ascii="楷体" w:eastAsia="楷体" w:hAnsi="楷体"/>
          <w:color w:val="000000" w:themeColor="text1"/>
          <w:sz w:val="24"/>
          <w:szCs w:val="24"/>
        </w:rPr>
      </w:pPr>
      <w:r w:rsidRPr="001E3813">
        <w:rPr>
          <w:rFonts w:ascii="楷体" w:eastAsia="楷体" w:hAnsi="楷体" w:hint="eastAsia"/>
          <w:color w:val="000000" w:themeColor="text1"/>
          <w:sz w:val="24"/>
          <w:szCs w:val="24"/>
        </w:rPr>
        <w:lastRenderedPageBreak/>
        <w:t>供需情况，11.20华东主港地区MEG港口库存约126.8万吨附近，环比上期增加1.2万吨。截至11月16日，中国大陆地区乙二醇整体开工负荷在61.6%（-0.51%），其中煤制乙二醇开工负荷在64.05%（-0.96%）。</w:t>
      </w:r>
      <w:r w:rsidRPr="001E3813">
        <w:rPr>
          <w:rFonts w:ascii="Calibri" w:eastAsia="楷体" w:hAnsi="Calibri" w:cs="Calibri"/>
          <w:color w:val="000000" w:themeColor="text1"/>
          <w:sz w:val="24"/>
          <w:szCs w:val="24"/>
        </w:rPr>
        <w:t>  </w:t>
      </w:r>
      <w:r w:rsidRPr="001E3813">
        <w:rPr>
          <w:rFonts w:ascii="楷体" w:eastAsia="楷体" w:hAnsi="楷体" w:hint="eastAsia"/>
          <w:color w:val="000000" w:themeColor="text1"/>
          <w:sz w:val="24"/>
          <w:szCs w:val="24"/>
        </w:rPr>
        <w:t>截至11月16日，国内大陆地区聚酯负荷在89.4%，开工高位维持。终端来看，江浙终端开工率局部抬升。江浙加弹综合开工89%维持，江浙织机综合开工小幅提升至82%（+3%），江浙印染综合开工79%（+3%）。因气温骤降，本周局部织造产品订单放量。综合来看，巴拿马运河扰动减弱供给维持高位，但进口到港减少预期及聚酯高开工维持驱动仍存，维持区间4000-4250区间振荡操作。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5156000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1E3813" w:rsidRPr="001E3813">
        <w:rPr>
          <w:rFonts w:ascii="楷体" w:eastAsia="楷体" w:hAnsi="楷体" w:hint="eastAsia"/>
          <w:b/>
          <w:color w:val="000000" w:themeColor="text1"/>
          <w:sz w:val="24"/>
          <w:szCs w:val="24"/>
        </w:rPr>
        <w:t>基差收近平水，现货重心下移</w:t>
      </w:r>
      <w:bookmarkEnd w:id="41"/>
    </w:p>
    <w:p w:rsidR="00A71A7E" w:rsidRDefault="001E3813" w:rsidP="004C4CA5">
      <w:pPr>
        <w:ind w:leftChars="300" w:left="630"/>
        <w:rPr>
          <w:rFonts w:ascii="楷体" w:eastAsia="楷体" w:hAnsi="楷体"/>
          <w:color w:val="000000" w:themeColor="text1"/>
          <w:sz w:val="24"/>
          <w:szCs w:val="24"/>
        </w:rPr>
      </w:pPr>
      <w:r w:rsidRPr="001E3813">
        <w:rPr>
          <w:rFonts w:ascii="楷体" w:eastAsia="楷体" w:hAnsi="楷体" w:hint="eastAsia"/>
          <w:color w:val="000000" w:themeColor="text1"/>
          <w:sz w:val="24"/>
          <w:szCs w:val="24"/>
        </w:rPr>
        <w:t>隆众资讯11月20日报道：今日浮法玻璃现货价格1996元/吨，较上一交易日-3元/吨。截至2023年11月16日，全国浮法玻璃日产量为17.24万吨，与9日持平。本周（20231110-1116）全国浮法玻璃产量120.69万吨，环比+0.2%，同比+6.65%。库存上，上周全国浮法玻璃样本企业总库存4056.7万重箱，环比下滑71.6万重箱，环比-1.7%。目前原片厂区域价差收窄，湖北地区低价稳价，华南和华东地区优惠较多，主动降价去库。需求上，上周小幅去库，中下游刚需采购，本周预计累库。基本面供需弱平衡，目前中下游库存偏低，给冬储留出空间。盘面受政策利好和需求预期驱动，情绪偏多，短线进入震荡反弹区间高位</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5156000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1E3813" w:rsidRPr="001E3813">
        <w:rPr>
          <w:rFonts w:ascii="楷体" w:eastAsia="楷体" w:hAnsi="楷体" w:hint="eastAsia"/>
          <w:b/>
          <w:color w:val="000000" w:themeColor="text1"/>
          <w:sz w:val="24"/>
          <w:szCs w:val="24"/>
        </w:rPr>
        <w:t>投机情绪较强，建议观望</w:t>
      </w:r>
      <w:bookmarkEnd w:id="42"/>
    </w:p>
    <w:p w:rsidR="00A71A7E" w:rsidRDefault="001E3813" w:rsidP="00F51139">
      <w:pPr>
        <w:ind w:leftChars="300" w:left="630"/>
        <w:rPr>
          <w:rFonts w:ascii="楷体" w:eastAsia="楷体" w:hAnsi="楷体"/>
          <w:bCs/>
          <w:sz w:val="24"/>
          <w:szCs w:val="24"/>
        </w:rPr>
      </w:pPr>
      <w:r w:rsidRPr="001E3813">
        <w:rPr>
          <w:rFonts w:ascii="楷体" w:eastAsia="楷体" w:hAnsi="楷体" w:hint="eastAsia"/>
          <w:color w:val="000000" w:themeColor="text1"/>
          <w:sz w:val="24"/>
          <w:szCs w:val="24"/>
        </w:rPr>
        <w:t>纯碱现货价格稳中小幅调涨。华中重碱现货价格报价在2300-2500元/吨，华南地区报价2550元/吨。供给方面，上周受青海限产，多家装置短停的影响，产量下降，周内纯碱产量65.92万吨，环比-0.51万吨，跌幅0.77%，本周预计产量回升至67万吨附近。截至20231116，周内纯碱厂家库存44.30万吨，环比-9.10万吨，跌幅17.04%，近期下游补库，企业订单增加，维持12天左右，基本到月底附近。从库存结构上来看，纯碱短期区域供给错配，库存从西北地区发运到华中华北地区需要时间，短期碱厂小幅涨价,现货轻碱上涨较多，重碱微涨。盘面主线逻辑受现货涨价影响再度向上收敛基差，青海环保问题确认不全停检查，资金博弈情绪强，短期跟随现货基差。建议控制仓位，谨慎追多</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156000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156001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1E3813" w:rsidRPr="001E3813">
        <w:rPr>
          <w:rFonts w:ascii="楷体" w:eastAsia="楷体" w:hAnsi="楷体" w:hint="eastAsia"/>
          <w:b/>
          <w:sz w:val="24"/>
          <w:szCs w:val="24"/>
        </w:rPr>
        <w:t>天气担忧仍存，期价高位震荡</w:t>
      </w:r>
      <w:bookmarkEnd w:id="44"/>
    </w:p>
    <w:p w:rsidR="003F56A5" w:rsidRDefault="001E3813">
      <w:pPr>
        <w:ind w:leftChars="300" w:left="630"/>
        <w:rPr>
          <w:rFonts w:ascii="楷体" w:eastAsia="楷体" w:hAnsi="楷体"/>
          <w:sz w:val="24"/>
          <w:szCs w:val="24"/>
        </w:rPr>
      </w:pPr>
      <w:r w:rsidRPr="001E3813">
        <w:rPr>
          <w:rFonts w:ascii="楷体" w:eastAsia="楷体" w:hAnsi="楷体" w:hint="eastAsia"/>
          <w:sz w:val="24"/>
          <w:szCs w:val="24"/>
        </w:rPr>
        <w:t>由于天气预报显示本周过后巴西将重回干燥炎热天气影响，近期降水仍不足以减轻市场对大豆供应的担忧，支撑CBOT大豆走强，对内盘期价构成支撑。随着美豆定产后，市场定价重心逐步转向南美，巴西当前天气不确定性较大，目前种植进度落后于去年同期及五年均值水平为68%，虽美农报告对南美仍维持丰产预期，但中长期南美丰产预期能否兑现仍是后续价格走势的关键，关注巴西天气情况。国内现货基差延续偏弱，供应端进入11月份后，随着进口大豆到港增加，油厂大豆库存开始回升，油厂开机陆续</w:t>
      </w:r>
      <w:r w:rsidRPr="001E3813">
        <w:rPr>
          <w:rFonts w:ascii="楷体" w:eastAsia="楷体" w:hAnsi="楷体" w:hint="eastAsia"/>
          <w:sz w:val="24"/>
          <w:szCs w:val="24"/>
        </w:rPr>
        <w:lastRenderedPageBreak/>
        <w:t>恢复，豆粕产出缓增，但因下游成交疲软，压榨水平偏低，豆粕库存较前一周减至61.96万吨，当前沿海主流油厂豆粕现货报价上调至4150-4220元/吨。但在11-12月进口到港预期宽松下，豆粕存累库预期，关注大豆实际到港能否符合预估。需求，下游生猪养殖利润不佳，但在能繁存栏高位下，下游维持刚需补库，保持安全库存。菜粕供应存宽松预期，但当前库存偏低。由于三季度菜籽到港减少，油厂压榨也在逐步下滑，菜粕供应下滑。但四季度随着菜籽进口增加，菜粕供应预计转宽。而需求方面，随着水产消费旺季的结束，菜粕刚需减少，但在豆菜粕价差较大下提振菜粕的替代需求。策略方面，短期跟随外盘波动，建议豆粕短线顺势操作，可关注1-5反套机会，菜粕波动区间2850-3100</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1560011"/>
      <w:r>
        <w:rPr>
          <w:rFonts w:ascii="楷体" w:eastAsia="楷体" w:hAnsi="楷体" w:hint="eastAsia"/>
          <w:b/>
          <w:color w:val="000000" w:themeColor="text1"/>
          <w:sz w:val="24"/>
          <w:szCs w:val="24"/>
        </w:rPr>
        <w:t>油脂：</w:t>
      </w:r>
      <w:r w:rsidR="001E3813" w:rsidRPr="001E3813">
        <w:rPr>
          <w:rFonts w:ascii="楷体" w:eastAsia="楷体" w:hAnsi="楷体" w:hint="eastAsia"/>
          <w:b/>
          <w:sz w:val="24"/>
          <w:szCs w:val="24"/>
        </w:rPr>
        <w:t>震荡区间预计上移，上方仍存压</w:t>
      </w:r>
      <w:bookmarkEnd w:id="45"/>
    </w:p>
    <w:p w:rsidR="003F56A5" w:rsidRDefault="001E3813" w:rsidP="00792D31">
      <w:pPr>
        <w:ind w:leftChars="300" w:left="630"/>
        <w:rPr>
          <w:rFonts w:ascii="楷体" w:eastAsia="楷体" w:hAnsi="楷体"/>
          <w:sz w:val="24"/>
          <w:szCs w:val="24"/>
        </w:rPr>
      </w:pPr>
      <w:r w:rsidRPr="001E3813">
        <w:rPr>
          <w:rFonts w:ascii="楷体" w:eastAsia="楷体" w:hAnsi="楷体" w:hint="eastAsia"/>
          <w:sz w:val="24"/>
          <w:szCs w:val="24"/>
        </w:rPr>
        <w:t>在产地天气不确定以及四季度需求预期好转下，油脂震荡区间有所上移，但当前在高库存压制下，尚不具备单边上行驱动。棕榈油，产地11月份进入季节性减产周期，库存压力逐步释放，且在厄尔尼诺现象扰动下，价格下方存支撑。印尼棕榈油8月份因产需双降，库存回升但修复不及预期。而马棕10月份在产需双增下，库存增幅不及市场预期。四季度主要关注厄尔尼诺对产量的扰动，为中长期潜在利多因素。国内棕榈油8-9月份进口到港维持高位，在买船积极下，进口供应稳增，最新商业库存减至100万吨。需求端，随着各地气温转凉，棕榈油逐步进入消费淡季，掺混需求预计减少。豆油存供需双增预期。国内随着11月后进口大豆到港增加，油厂开机有所回升，豆油供应预计将得到补充，但受豆粕下游需求疲软影响油厂压榨水平偏低，豆油增量有限。需求端，终端存在一定补库需求，且四季度为豆油消费旺季，部分掺混需求预计转向豆油，但当前价格优势并不明显，限制替代需求，近期成交及提货情况不佳，库存维持中性偏低水平。菜油预计供需双旺。当前主产地菜籽新作处于出口阶段，集中上市压力也抑制期价走势。虽8-9月份进口加籽到港量减少，菜籽开机及压榨水平偏低，9月菜籽进口32万吨，环比减18.9%，四季度菜籽进口预期宽松。需求方面，与豆油价差持续收窄，部分地区出现与豆油价格平水情况，提振其替代需求。短期油脂维持宽幅震荡，上方压力仍存，建议短线波段操作，高抛低吸；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1560012"/>
      <w:r>
        <w:rPr>
          <w:rFonts w:ascii="楷体" w:eastAsia="楷体" w:hAnsi="楷体" w:hint="eastAsia"/>
          <w:b/>
          <w:bCs/>
          <w:color w:val="000000" w:themeColor="text1"/>
        </w:rPr>
        <w:t>玉米与淀粉：</w:t>
      </w:r>
      <w:r w:rsidR="001E3813" w:rsidRPr="001E3813">
        <w:rPr>
          <w:rFonts w:ascii="楷体" w:eastAsia="楷体" w:hAnsi="楷体" w:hint="eastAsia"/>
          <w:b/>
        </w:rPr>
        <w:t>华北现货拖累盘面期价</w:t>
      </w:r>
      <w:bookmarkEnd w:id="46"/>
    </w:p>
    <w:p w:rsidR="001E3813" w:rsidRPr="001E3813" w:rsidRDefault="001E3813" w:rsidP="001E3813">
      <w:pPr>
        <w:pStyle w:val="paragraph"/>
        <w:spacing w:before="60" w:after="60"/>
        <w:ind w:leftChars="300" w:left="630"/>
        <w:rPr>
          <w:rFonts w:ascii="楷体" w:eastAsia="楷体" w:hAnsi="楷体" w:hint="eastAsia"/>
        </w:rPr>
      </w:pPr>
      <w:r w:rsidRPr="001E3813">
        <w:rPr>
          <w:rFonts w:ascii="楷体" w:eastAsia="楷体" w:hAnsi="楷体" w:hint="eastAsia"/>
        </w:rPr>
        <w:t>对于玉米而言，考虑到现货价格已经持续回落，盘面期价呈现远月升水结构，或表明新作上市压力最大的时候已经过去，且国产玉米性价比在持续回落之后有显著提升，目前已优于小麦和陈稻，仅次于进口谷物。接下来需要特别留意，中下游包括贸易商和需求企业会否基于年度产需缺口而进入补库阶段，这在很大程度上取决于供需双方的博弈，突出体现在上游农户的惜售心理和中下游补库意愿上。综上所述，我们维持谨慎看多观点，建议谨慎投资者观望，激进投资者择机做多，或持有前期多单。</w:t>
      </w:r>
    </w:p>
    <w:p w:rsidR="003F56A5" w:rsidRDefault="001E3813" w:rsidP="001E3813">
      <w:pPr>
        <w:pStyle w:val="paragraph"/>
        <w:spacing w:before="60" w:beforeAutospacing="0" w:after="60" w:afterAutospacing="0"/>
        <w:ind w:leftChars="300" w:left="630"/>
        <w:rPr>
          <w:rFonts w:ascii="楷体" w:eastAsia="楷体" w:hAnsi="楷体"/>
        </w:rPr>
      </w:pPr>
      <w:r w:rsidRPr="001E3813">
        <w:rPr>
          <w:rFonts w:ascii="楷体" w:eastAsia="楷体" w:hAnsi="楷体" w:hint="eastAsia"/>
        </w:rPr>
        <w:lastRenderedPageBreak/>
        <w:t>对于淀粉而言，近期淀粉-玉米价差继续走扩，主要源于行业供需和现货基差的因素，但进入11月以来，影响淀粉-玉米价差的三个方面因素已经发生变化，原料端转向利多，供需端则有望从利多转向利空，副产品端则存在较大变数。在这种情况下，我们倾向于认为淀粉-玉米价差不排除在原料玉米和现货基差的带动下继续走扩的可能性，但受制于供需端的变化其上方空间或相对有限，除非蛋白粕带动副产品价格继续下跌。综上所述，维持谨慎看多观点，单边建议投资者择机入场做多或持有前期多单，套利方面则建议前期淀粉-玉米价差走扩套利组合可考虑择机获利离场</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1560013"/>
      <w:r>
        <w:rPr>
          <w:rFonts w:ascii="楷体" w:eastAsia="楷体" w:hAnsi="楷体" w:hint="eastAsia"/>
          <w:b/>
          <w:bCs/>
          <w:color w:val="000000" w:themeColor="text1"/>
        </w:rPr>
        <w:t>畜禽养殖：</w:t>
      </w:r>
      <w:r w:rsidR="001E3813" w:rsidRPr="001E3813">
        <w:rPr>
          <w:rFonts w:ascii="楷体" w:eastAsia="楷体" w:hAnsi="楷体" w:hint="eastAsia"/>
          <w:b/>
          <w:bCs/>
          <w:color w:val="000000" w:themeColor="text1"/>
        </w:rPr>
        <w:t>期价震荡运行</w:t>
      </w:r>
      <w:bookmarkEnd w:id="47"/>
    </w:p>
    <w:p w:rsidR="001E3813" w:rsidRPr="001E3813" w:rsidRDefault="001E3813" w:rsidP="001E3813">
      <w:pPr>
        <w:pStyle w:val="paragraph"/>
        <w:spacing w:before="60" w:after="60"/>
        <w:ind w:leftChars="300" w:left="630"/>
        <w:rPr>
          <w:rFonts w:ascii="楷体" w:eastAsia="楷体" w:hAnsi="楷体" w:hint="eastAsia"/>
        </w:rPr>
      </w:pPr>
      <w:r w:rsidRPr="001E3813">
        <w:rPr>
          <w:rFonts w:ascii="楷体" w:eastAsia="楷体" w:hAnsi="楷体" w:hint="eastAsia"/>
        </w:rPr>
        <w:t>对于生猪而言，在前期报告中我们指出，考虑到仔猪价格的持续下跌和10月下半月局部地区非洲猪瘟疫情有望导致生猪产能去化加快，市场对于远期供需预期趋于乐观存在合理性，但春节前后合约或存在结构性机会。这种结构性机会体现在1月、3月和5月合约上，其中1月即近月合约更多关注现货走势，考虑到当前节奏符合我们之前先抑后扬的判断，这意味着8月以来现货持续下跌带来供应的消化，后期在春节前旺季需求的带动下，现货有望出现反弹机会。而对于明年上半年合约而言，从目前数据来看，供应整体仍较为充裕，需求受季节性因素抑制，现货表现或难言乐观。在这一逻辑指引下，接下来需要特别留意供应端的去化和需求端的改善，这两者都有望直观体现在现货走势上。综上所述，我们维持谨慎看多观点，建议投资者关注1-3或1-5正套的交易机会，激进投资者择机轻仓买入2401合约。</w:t>
      </w:r>
    </w:p>
    <w:p w:rsidR="003F56A5" w:rsidRDefault="001E3813" w:rsidP="001E3813">
      <w:pPr>
        <w:pStyle w:val="paragraph"/>
        <w:spacing w:before="60" w:beforeAutospacing="0" w:after="60" w:afterAutospacing="0"/>
        <w:ind w:leftChars="300" w:left="630"/>
        <w:rPr>
          <w:rFonts w:ascii="楷体" w:eastAsia="楷体" w:hAnsi="楷体"/>
        </w:rPr>
      </w:pPr>
      <w:r w:rsidRPr="001E3813">
        <w:rPr>
          <w:rFonts w:ascii="楷体" w:eastAsia="楷体" w:hAnsi="楷体" w:hint="eastAsia"/>
        </w:rPr>
        <w:t>对于鸡蛋而言，从供需角度看，卓创资讯数据显示，在产蛋鸡存栏连续四个月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近期期价特别是近月期价反弹的主要逻辑有二，其一是现货止跌反弹，使得市场预期季节性回落临近尾声，后期在节前备货需求的带动下有望震荡反弹；其二是近期养殖利润下滑之后，蛋鸡淘汰量显著回升，从而导致市场对远期供需有所改善。在这种情况下，我们倾向于鸡蛋期价或趋于震荡调整，在这个过程中，市场将根据季节性旺季期间的现货表现来判断接下来特别是春节后的鸡蛋供需状况。在这种情况下，我们转为中性观点，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1560014"/>
      <w:r>
        <w:rPr>
          <w:rFonts w:ascii="楷体" w:eastAsia="楷体" w:hAnsi="楷体" w:hint="eastAsia"/>
          <w:b/>
          <w:sz w:val="24"/>
          <w:szCs w:val="24"/>
        </w:rPr>
        <w:t>郑棉：</w:t>
      </w:r>
      <w:r w:rsidR="001E3813" w:rsidRPr="001E3813">
        <w:rPr>
          <w:rFonts w:ascii="楷体" w:eastAsia="楷体" w:hAnsi="楷体" w:hint="eastAsia"/>
          <w:b/>
          <w:sz w:val="24"/>
          <w:szCs w:val="24"/>
        </w:rPr>
        <w:t>空单持有</w:t>
      </w:r>
      <w:bookmarkEnd w:id="48"/>
    </w:p>
    <w:p w:rsidR="003F56A5" w:rsidRDefault="001E3813" w:rsidP="007B3290">
      <w:pPr>
        <w:ind w:leftChars="300" w:left="630"/>
        <w:rPr>
          <w:rFonts w:ascii="楷体" w:eastAsia="楷体" w:hAnsi="楷体"/>
          <w:sz w:val="24"/>
          <w:szCs w:val="24"/>
        </w:rPr>
      </w:pPr>
      <w:r w:rsidRPr="001E3813">
        <w:rPr>
          <w:rFonts w:ascii="楷体" w:eastAsia="楷体" w:hAnsi="楷体" w:hint="eastAsia"/>
          <w:sz w:val="24"/>
          <w:szCs w:val="24"/>
        </w:rPr>
        <w:t>10月棉花进口如期增加，棉纱进口量环比虽小幅减少，但亦处于历史相对高位。新棉加工速度极快，价格稳弱。尽管国储棉轮出告一段落，但市场此前已有预期，叠加成交率已十分低迷，整体供应减少的量并不多。供应端维持宽松，而下游负反馈情况显著。社会棉纱库存和纺织厂棉纱库存皆处于历史性高位，需用时间或者空间来清理。近期纱线价格走弱明显，纺</w:t>
      </w:r>
      <w:r w:rsidRPr="001E3813">
        <w:rPr>
          <w:rFonts w:ascii="楷体" w:eastAsia="楷体" w:hAnsi="楷体" w:hint="eastAsia"/>
          <w:sz w:val="24"/>
          <w:szCs w:val="24"/>
        </w:rPr>
        <w:lastRenderedPageBreak/>
        <w:t>织厂开机率也在持续降低中。反弹乏力，棉价在第三次试探1.55关口时破位，资金涌入，棉花棉纱大幅下跌创下阶段新低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1560015"/>
      <w:r>
        <w:rPr>
          <w:rFonts w:ascii="楷体" w:eastAsia="楷体" w:hAnsi="楷体" w:hint="eastAsia"/>
          <w:b/>
          <w:sz w:val="24"/>
          <w:szCs w:val="24"/>
        </w:rPr>
        <w:t>白糖：</w:t>
      </w:r>
      <w:r w:rsidR="001E3813" w:rsidRPr="001E3813">
        <w:rPr>
          <w:rFonts w:ascii="楷体" w:eastAsia="楷体" w:hAnsi="楷体" w:hint="eastAsia"/>
          <w:b/>
          <w:sz w:val="24"/>
          <w:szCs w:val="24"/>
        </w:rPr>
        <w:t>空单适时止盈</w:t>
      </w:r>
      <w:bookmarkEnd w:id="49"/>
    </w:p>
    <w:p w:rsidR="00296325" w:rsidRDefault="001E3813" w:rsidP="00296325">
      <w:pPr>
        <w:ind w:leftChars="300" w:left="630"/>
        <w:rPr>
          <w:rFonts w:ascii="楷体" w:eastAsia="楷体" w:hAnsi="楷体"/>
          <w:sz w:val="24"/>
          <w:szCs w:val="24"/>
        </w:rPr>
      </w:pPr>
      <w:r w:rsidRPr="001E3813">
        <w:rPr>
          <w:rFonts w:ascii="楷体" w:eastAsia="楷体" w:hAnsi="楷体" w:hint="eastAsia"/>
          <w:sz w:val="24"/>
          <w:szCs w:val="24"/>
        </w:rPr>
        <w:t>巴西产量再创新高，ISO下调2023/24年度白糖产需缺口，但港口拥堵问题限制了巴西白糖外运。除巴西外，厄尔尼诺天气影响下，市场对新季白糖的供应依然存在忧虑。主要产糖大国印度的乙醇燃料计划使其甘蔗使用量大增，出口限制政策延续。泰国的产糖前景也不乐观，泰国发布限制出口政策，市场对此感到担忧。泰国内阁批准国内糖价上调10%。对于国内糖价来说，广西即将开榨，传闻本榨季国内白糖产量有望恢复常态。10月进口量大增至92.5万吨。供应紧张局面短期内有所缓解，现货价格较前期松动，基差收敛中</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1560016"/>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1560017"/>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1E3813" w:rsidRPr="001E3813">
        <w:rPr>
          <w:rFonts w:ascii="Times New Roman" w:eastAsia="楷体" w:hAnsi="Times New Roman" w:hint="eastAsia"/>
          <w:b/>
          <w:color w:val="000000" w:themeColor="text1"/>
          <w:sz w:val="24"/>
          <w:szCs w:val="24"/>
        </w:rPr>
        <w:t>现货支撑力度不足，期价再次受压下行</w:t>
      </w:r>
      <w:bookmarkEnd w:id="51"/>
    </w:p>
    <w:p w:rsidR="001E3813" w:rsidRPr="001E3813" w:rsidRDefault="001E3813" w:rsidP="001E3813">
      <w:pPr>
        <w:ind w:leftChars="300" w:left="630"/>
        <w:rPr>
          <w:rFonts w:ascii="Times New Roman" w:eastAsia="楷体" w:hAnsi="Times New Roman" w:hint="eastAsia"/>
          <w:color w:val="000000" w:themeColor="text1"/>
          <w:sz w:val="24"/>
          <w:szCs w:val="24"/>
        </w:rPr>
      </w:pPr>
      <w:r w:rsidRPr="001E3813">
        <w:rPr>
          <w:rFonts w:ascii="Times New Roman" w:eastAsia="楷体" w:hAnsi="Times New Roman" w:hint="eastAsia"/>
          <w:color w:val="000000" w:themeColor="text1"/>
          <w:sz w:val="24"/>
          <w:szCs w:val="24"/>
        </w:rPr>
        <w:t>供应端方面，短期来看，船公司</w:t>
      </w:r>
      <w:r w:rsidRPr="001E3813">
        <w:rPr>
          <w:rFonts w:ascii="Times New Roman" w:eastAsia="楷体" w:hAnsi="Times New Roman" w:hint="eastAsia"/>
          <w:color w:val="000000" w:themeColor="text1"/>
          <w:sz w:val="24"/>
          <w:szCs w:val="24"/>
        </w:rPr>
        <w:t>11</w:t>
      </w:r>
      <w:r w:rsidRPr="001E3813">
        <w:rPr>
          <w:rFonts w:ascii="Times New Roman" w:eastAsia="楷体" w:hAnsi="Times New Roman" w:hint="eastAsia"/>
          <w:color w:val="000000" w:themeColor="text1"/>
          <w:sz w:val="24"/>
          <w:szCs w:val="24"/>
        </w:rPr>
        <w:t>月初的第一轮上调价格已经实施兑现，</w:t>
      </w:r>
      <w:r w:rsidRPr="001E3813">
        <w:rPr>
          <w:rFonts w:ascii="Times New Roman" w:eastAsia="楷体" w:hAnsi="Times New Roman" w:hint="eastAsia"/>
          <w:color w:val="000000" w:themeColor="text1"/>
          <w:sz w:val="24"/>
          <w:szCs w:val="24"/>
        </w:rPr>
        <w:t>20</w:t>
      </w:r>
      <w:r w:rsidRPr="001E3813">
        <w:rPr>
          <w:rFonts w:ascii="Times New Roman" w:eastAsia="楷体" w:hAnsi="Times New Roman" w:hint="eastAsia"/>
          <w:color w:val="000000" w:themeColor="text1"/>
          <w:sz w:val="24"/>
          <w:szCs w:val="24"/>
        </w:rPr>
        <w:t>日公布的</w:t>
      </w:r>
      <w:r w:rsidRPr="001E3813">
        <w:rPr>
          <w:rFonts w:ascii="Times New Roman" w:eastAsia="楷体" w:hAnsi="Times New Roman" w:hint="eastAsia"/>
          <w:color w:val="000000" w:themeColor="text1"/>
          <w:sz w:val="24"/>
          <w:szCs w:val="24"/>
        </w:rPr>
        <w:t>SCFIS</w:t>
      </w:r>
      <w:r w:rsidRPr="001E3813">
        <w:rPr>
          <w:rFonts w:ascii="Times New Roman" w:eastAsia="楷体" w:hAnsi="Times New Roman" w:hint="eastAsia"/>
          <w:color w:val="000000" w:themeColor="text1"/>
          <w:sz w:val="24"/>
          <w:szCs w:val="24"/>
        </w:rPr>
        <w:t>欧线出现</w:t>
      </w:r>
      <w:r w:rsidRPr="001E3813">
        <w:rPr>
          <w:rFonts w:ascii="Times New Roman" w:eastAsia="楷体" w:hAnsi="Times New Roman" w:hint="eastAsia"/>
          <w:color w:val="000000" w:themeColor="text1"/>
          <w:sz w:val="24"/>
          <w:szCs w:val="24"/>
        </w:rPr>
        <w:t>8%</w:t>
      </w:r>
      <w:r w:rsidRPr="001E3813">
        <w:rPr>
          <w:rFonts w:ascii="Times New Roman" w:eastAsia="楷体" w:hAnsi="Times New Roman" w:hint="eastAsia"/>
          <w:color w:val="000000" w:themeColor="text1"/>
          <w:sz w:val="24"/>
          <w:szCs w:val="24"/>
        </w:rPr>
        <w:t>的下跌，表示实际结算价再上调价格一周后再次回落。预计</w:t>
      </w:r>
      <w:r w:rsidRPr="001E3813">
        <w:rPr>
          <w:rFonts w:ascii="Times New Roman" w:eastAsia="楷体" w:hAnsi="Times New Roman" w:hint="eastAsia"/>
          <w:color w:val="000000" w:themeColor="text1"/>
          <w:sz w:val="24"/>
          <w:szCs w:val="24"/>
        </w:rPr>
        <w:t>12</w:t>
      </w:r>
      <w:r w:rsidRPr="001E3813">
        <w:rPr>
          <w:rFonts w:ascii="Times New Roman" w:eastAsia="楷体" w:hAnsi="Times New Roman" w:hint="eastAsia"/>
          <w:color w:val="000000" w:themeColor="text1"/>
          <w:sz w:val="24"/>
          <w:szCs w:val="24"/>
        </w:rPr>
        <w:t>月初达飞、马士基航运将带动的第二轮提价，提价幅度与效果成为短期内市场焦点。外需方面，欧洲经济疲软担忧仍存。欧元区三季度</w:t>
      </w:r>
      <w:r w:rsidRPr="001E3813">
        <w:rPr>
          <w:rFonts w:ascii="Times New Roman" w:eastAsia="楷体" w:hAnsi="Times New Roman" w:hint="eastAsia"/>
          <w:color w:val="000000" w:themeColor="text1"/>
          <w:sz w:val="24"/>
          <w:szCs w:val="24"/>
        </w:rPr>
        <w:t>GDP</w:t>
      </w:r>
      <w:r w:rsidRPr="001E3813">
        <w:rPr>
          <w:rFonts w:ascii="Times New Roman" w:eastAsia="楷体" w:hAnsi="Times New Roman" w:hint="eastAsia"/>
          <w:color w:val="000000" w:themeColor="text1"/>
          <w:sz w:val="24"/>
          <w:szCs w:val="24"/>
        </w:rPr>
        <w:t>初值季环比萎缩</w:t>
      </w:r>
      <w:r w:rsidRPr="001E3813">
        <w:rPr>
          <w:rFonts w:ascii="Times New Roman" w:eastAsia="楷体" w:hAnsi="Times New Roman" w:hint="eastAsia"/>
          <w:color w:val="000000" w:themeColor="text1"/>
          <w:sz w:val="24"/>
          <w:szCs w:val="24"/>
        </w:rPr>
        <w:t>0.1%</w:t>
      </w:r>
      <w:r w:rsidRPr="001E3813">
        <w:rPr>
          <w:rFonts w:ascii="Times New Roman" w:eastAsia="楷体" w:hAnsi="Times New Roman" w:hint="eastAsia"/>
          <w:color w:val="000000" w:themeColor="text1"/>
          <w:sz w:val="24"/>
          <w:szCs w:val="24"/>
        </w:rPr>
        <w:t>。欧盟委员会表示，草案预算计划显示，欧元区将在</w:t>
      </w:r>
      <w:r w:rsidRPr="001E3813">
        <w:rPr>
          <w:rFonts w:ascii="Times New Roman" w:eastAsia="楷体" w:hAnsi="Times New Roman" w:hint="eastAsia"/>
          <w:color w:val="000000" w:themeColor="text1"/>
          <w:sz w:val="24"/>
          <w:szCs w:val="24"/>
        </w:rPr>
        <w:t>2024</w:t>
      </w:r>
      <w:r w:rsidRPr="001E3813">
        <w:rPr>
          <w:rFonts w:ascii="Times New Roman" w:eastAsia="楷体" w:hAnsi="Times New Roman" w:hint="eastAsia"/>
          <w:color w:val="000000" w:themeColor="text1"/>
          <w:sz w:val="24"/>
          <w:szCs w:val="24"/>
        </w:rPr>
        <w:t>年紧缩财政政策。</w:t>
      </w:r>
    </w:p>
    <w:p w:rsidR="00152664" w:rsidRDefault="001E3813" w:rsidP="001E3813">
      <w:pPr>
        <w:ind w:leftChars="300" w:left="630"/>
        <w:rPr>
          <w:rFonts w:ascii="Times New Roman" w:eastAsia="楷体" w:hAnsi="Times New Roman"/>
          <w:color w:val="000000" w:themeColor="text1"/>
          <w:sz w:val="24"/>
          <w:szCs w:val="24"/>
        </w:rPr>
      </w:pPr>
      <w:r w:rsidRPr="001E3813">
        <w:rPr>
          <w:rFonts w:ascii="Times New Roman" w:eastAsia="楷体" w:hAnsi="Times New Roman" w:hint="eastAsia"/>
          <w:color w:val="000000" w:themeColor="text1"/>
          <w:sz w:val="24"/>
          <w:szCs w:val="24"/>
        </w:rPr>
        <w:t>昨日期货价格震荡下行，成交量增加，市场对未来悲观态度较强。需关注</w:t>
      </w:r>
      <w:r w:rsidRPr="001E3813">
        <w:rPr>
          <w:rFonts w:ascii="Times New Roman" w:eastAsia="楷体" w:hAnsi="Times New Roman" w:hint="eastAsia"/>
          <w:color w:val="000000" w:themeColor="text1"/>
          <w:sz w:val="24"/>
          <w:szCs w:val="24"/>
        </w:rPr>
        <w:t>12</w:t>
      </w:r>
      <w:r w:rsidRPr="001E3813">
        <w:rPr>
          <w:rFonts w:ascii="Times New Roman" w:eastAsia="楷体" w:hAnsi="Times New Roman" w:hint="eastAsia"/>
          <w:color w:val="000000" w:themeColor="text1"/>
          <w:sz w:val="24"/>
          <w:szCs w:val="24"/>
        </w:rPr>
        <w:t>月新一轮挺价实施情况。建议操作上以区间交易为主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93" w:rsidRDefault="00BE4493">
      <w:r>
        <w:separator/>
      </w:r>
    </w:p>
  </w:endnote>
  <w:endnote w:type="continuationSeparator" w:id="0">
    <w:p w:rsidR="00BE4493" w:rsidRDefault="00B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4FA0C4D" wp14:editId="47B6ACC8">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E3813">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E3813">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93" w:rsidRDefault="00BE4493">
      <w:r>
        <w:separator/>
      </w:r>
    </w:p>
  </w:footnote>
  <w:footnote w:type="continuationSeparator" w:id="0">
    <w:p w:rsidR="00BE4493" w:rsidRDefault="00BE44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3F607455" wp14:editId="725BC0A2">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60F4115" wp14:editId="5240A6F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E3813">
      <w:rPr>
        <w:rFonts w:ascii="Times New Roman" w:eastAsia="楷体" w:hAnsi="Times New Roman" w:hint="eastAsia"/>
        <w:b/>
        <w:bCs/>
        <w:noProof/>
        <w:color w:val="833C0B"/>
        <w:sz w:val="21"/>
      </w:rPr>
      <w:t>2023</w:t>
    </w:r>
    <w:r w:rsidR="001E3813">
      <w:rPr>
        <w:rFonts w:ascii="Times New Roman" w:eastAsia="楷体" w:hAnsi="Times New Roman" w:hint="eastAsia"/>
        <w:b/>
        <w:bCs/>
        <w:noProof/>
        <w:color w:val="833C0B"/>
        <w:sz w:val="21"/>
      </w:rPr>
      <w:t>年</w:t>
    </w:r>
    <w:r w:rsidR="001E3813">
      <w:rPr>
        <w:rFonts w:ascii="Times New Roman" w:eastAsia="楷体" w:hAnsi="Times New Roman" w:hint="eastAsia"/>
        <w:b/>
        <w:bCs/>
        <w:noProof/>
        <w:color w:val="833C0B"/>
        <w:sz w:val="21"/>
      </w:rPr>
      <w:t>11</w:t>
    </w:r>
    <w:r w:rsidR="001E3813">
      <w:rPr>
        <w:rFonts w:ascii="Times New Roman" w:eastAsia="楷体" w:hAnsi="Times New Roman" w:hint="eastAsia"/>
        <w:b/>
        <w:bCs/>
        <w:noProof/>
        <w:color w:val="833C0B"/>
        <w:sz w:val="21"/>
      </w:rPr>
      <w:t>月</w:t>
    </w:r>
    <w:r w:rsidR="001E3813">
      <w:rPr>
        <w:rFonts w:ascii="Times New Roman" w:eastAsia="楷体" w:hAnsi="Times New Roman" w:hint="eastAsia"/>
        <w:b/>
        <w:bCs/>
        <w:noProof/>
        <w:color w:val="833C0B"/>
        <w:sz w:val="21"/>
      </w:rPr>
      <w:t>22</w:t>
    </w:r>
    <w:r w:rsidR="001E3813">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E3813"/>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45ED"/>
    <w:rsid w:val="00521683"/>
    <w:rsid w:val="00523E95"/>
    <w:rsid w:val="005245A4"/>
    <w:rsid w:val="00526949"/>
    <w:rsid w:val="00533D1C"/>
    <w:rsid w:val="00535DC9"/>
    <w:rsid w:val="005376B7"/>
    <w:rsid w:val="00540298"/>
    <w:rsid w:val="00541F3F"/>
    <w:rsid w:val="0054268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CF13C-3499-449A-8D86-C463CCC3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4551</TotalTime>
  <Pages>10</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134</cp:revision>
  <cp:lastPrinted>2023-06-08T02:23:00Z</cp:lastPrinted>
  <dcterms:created xsi:type="dcterms:W3CDTF">2022-11-15T10:06:00Z</dcterms:created>
  <dcterms:modified xsi:type="dcterms:W3CDTF">2023-11-22T07:39:00Z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