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Pr="00152664" w:rsidRDefault="00CC3FFA" w:rsidP="00152664">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7B681E"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7B681E" w:rsidRPr="00044FF4">
            <w:rPr>
              <w:rStyle w:val="a9"/>
              <w:noProof/>
            </w:rPr>
            <w:fldChar w:fldCharType="begin"/>
          </w:r>
          <w:r w:rsidR="007B681E" w:rsidRPr="00044FF4">
            <w:rPr>
              <w:rStyle w:val="a9"/>
              <w:noProof/>
            </w:rPr>
            <w:instrText xml:space="preserve"> </w:instrText>
          </w:r>
          <w:r w:rsidR="007B681E">
            <w:rPr>
              <w:noProof/>
            </w:rPr>
            <w:instrText>HYPERLINK \l "_Toc150507973"</w:instrText>
          </w:r>
          <w:r w:rsidR="007B681E" w:rsidRPr="00044FF4">
            <w:rPr>
              <w:rStyle w:val="a9"/>
              <w:noProof/>
            </w:rPr>
            <w:instrText xml:space="preserve"> </w:instrText>
          </w:r>
          <w:r w:rsidR="007B681E" w:rsidRPr="00044FF4">
            <w:rPr>
              <w:rStyle w:val="a9"/>
              <w:noProof/>
            </w:rPr>
          </w:r>
          <w:r w:rsidR="007B681E" w:rsidRPr="00044FF4">
            <w:rPr>
              <w:rStyle w:val="a9"/>
              <w:noProof/>
            </w:rPr>
            <w:fldChar w:fldCharType="separate"/>
          </w:r>
          <w:r w:rsidR="007B681E" w:rsidRPr="00044FF4">
            <w:rPr>
              <w:rStyle w:val="a9"/>
              <w:rFonts w:ascii="Times New Roman" w:eastAsia="楷体" w:hAnsi="Times New Roman"/>
              <w:b/>
              <w:noProof/>
            </w:rPr>
            <w:t>[</w:t>
          </w:r>
          <w:r w:rsidR="007B681E" w:rsidRPr="00044FF4">
            <w:rPr>
              <w:rStyle w:val="a9"/>
              <w:rFonts w:ascii="Times New Roman" w:eastAsia="楷体" w:hAnsi="Times New Roman"/>
              <w:b/>
              <w:noProof/>
            </w:rPr>
            <w:t>金融</w:t>
          </w:r>
          <w:r w:rsidR="007B681E" w:rsidRPr="00044FF4">
            <w:rPr>
              <w:rStyle w:val="a9"/>
              <w:rFonts w:ascii="Times New Roman" w:eastAsia="楷体" w:hAnsi="Times New Roman"/>
              <w:b/>
              <w:noProof/>
            </w:rPr>
            <w:t>]</w:t>
          </w:r>
          <w:r w:rsidR="007B681E" w:rsidRPr="00044FF4">
            <w:rPr>
              <w:rStyle w:val="a9"/>
              <w:noProof/>
            </w:rPr>
            <w:fldChar w:fldCharType="end"/>
          </w:r>
        </w:p>
        <w:p w:rsidR="007B681E" w:rsidRDefault="007B681E">
          <w:pPr>
            <w:pStyle w:val="23"/>
            <w:tabs>
              <w:tab w:val="right" w:leader="dot" w:pos="8296"/>
            </w:tabs>
            <w:rPr>
              <w:rFonts w:eastAsiaTheme="minorEastAsia"/>
              <w:noProof/>
              <w:szCs w:val="22"/>
            </w:rPr>
          </w:pPr>
          <w:hyperlink w:anchor="_Toc150507974" w:history="1">
            <w:r w:rsidRPr="00044FF4">
              <w:rPr>
                <w:rStyle w:val="a9"/>
                <w:rFonts w:ascii="Times New Roman" w:eastAsia="楷体" w:hAnsi="Times New Roman"/>
                <w:b/>
                <w:noProof/>
              </w:rPr>
              <w:t>股指：短线有盘整需求，低吸思路为主</w:t>
            </w:r>
          </w:hyperlink>
        </w:p>
        <w:p w:rsidR="007B681E" w:rsidRDefault="007B681E">
          <w:pPr>
            <w:pStyle w:val="11"/>
            <w:tabs>
              <w:tab w:val="right" w:leader="dot" w:pos="8296"/>
            </w:tabs>
            <w:rPr>
              <w:rFonts w:eastAsiaTheme="minorEastAsia"/>
              <w:noProof/>
              <w:szCs w:val="22"/>
            </w:rPr>
          </w:pPr>
          <w:hyperlink w:anchor="_Toc150507975" w:history="1">
            <w:r w:rsidRPr="00044FF4">
              <w:rPr>
                <w:rStyle w:val="a9"/>
                <w:rFonts w:ascii="Times New Roman" w:eastAsia="楷体" w:hAnsi="Times New Roman"/>
                <w:b/>
                <w:noProof/>
              </w:rPr>
              <w:t>[</w:t>
            </w:r>
            <w:r w:rsidRPr="00044FF4">
              <w:rPr>
                <w:rStyle w:val="a9"/>
                <w:rFonts w:ascii="Times New Roman" w:eastAsia="楷体" w:hAnsi="Times New Roman"/>
                <w:b/>
                <w:noProof/>
              </w:rPr>
              <w:t>贵金属</w:t>
            </w:r>
            <w:r w:rsidRPr="00044FF4">
              <w:rPr>
                <w:rStyle w:val="a9"/>
                <w:rFonts w:ascii="Times New Roman" w:eastAsia="楷体" w:hAnsi="Times New Roman"/>
                <w:b/>
                <w:noProof/>
              </w:rPr>
              <w:t>]</w:t>
            </w:r>
          </w:hyperlink>
        </w:p>
        <w:p w:rsidR="007B681E" w:rsidRDefault="007B681E">
          <w:pPr>
            <w:pStyle w:val="23"/>
            <w:tabs>
              <w:tab w:val="right" w:leader="dot" w:pos="8296"/>
            </w:tabs>
            <w:rPr>
              <w:rFonts w:eastAsiaTheme="minorEastAsia"/>
              <w:noProof/>
              <w:szCs w:val="22"/>
            </w:rPr>
          </w:pPr>
          <w:hyperlink w:anchor="_Toc150507976" w:history="1">
            <w:r w:rsidRPr="00044FF4">
              <w:rPr>
                <w:rStyle w:val="a9"/>
                <w:rFonts w:ascii="Times New Roman" w:eastAsia="楷体" w:hAnsi="Times New Roman"/>
                <w:b/>
                <w:noProof/>
              </w:rPr>
              <w:t>贵金属：初请失业金人数略低于预期，贵金属价格反弹</w:t>
            </w:r>
          </w:hyperlink>
        </w:p>
        <w:p w:rsidR="007B681E" w:rsidRDefault="007B681E">
          <w:pPr>
            <w:pStyle w:val="11"/>
            <w:tabs>
              <w:tab w:val="right" w:leader="dot" w:pos="8296"/>
            </w:tabs>
            <w:rPr>
              <w:rFonts w:eastAsiaTheme="minorEastAsia"/>
              <w:noProof/>
              <w:szCs w:val="22"/>
            </w:rPr>
          </w:pPr>
          <w:hyperlink w:anchor="_Toc150507977" w:history="1">
            <w:r w:rsidRPr="00044FF4">
              <w:rPr>
                <w:rStyle w:val="a9"/>
                <w:rFonts w:ascii="Times New Roman" w:eastAsia="楷体" w:hAnsi="Times New Roman"/>
                <w:b/>
                <w:noProof/>
              </w:rPr>
              <w:t>[</w:t>
            </w:r>
            <w:r w:rsidRPr="00044FF4">
              <w:rPr>
                <w:rStyle w:val="a9"/>
                <w:rFonts w:ascii="Times New Roman" w:eastAsia="楷体" w:hAnsi="Times New Roman"/>
                <w:b/>
                <w:noProof/>
              </w:rPr>
              <w:t>金属</w:t>
            </w:r>
            <w:r w:rsidRPr="00044FF4">
              <w:rPr>
                <w:rStyle w:val="a9"/>
                <w:rFonts w:ascii="Times New Roman" w:eastAsia="楷体" w:hAnsi="Times New Roman"/>
                <w:b/>
                <w:noProof/>
              </w:rPr>
              <w:t>]</w:t>
            </w:r>
          </w:hyperlink>
        </w:p>
        <w:p w:rsidR="007B681E" w:rsidRDefault="007B681E">
          <w:pPr>
            <w:pStyle w:val="23"/>
            <w:tabs>
              <w:tab w:val="right" w:leader="dot" w:pos="8296"/>
            </w:tabs>
            <w:rPr>
              <w:rFonts w:eastAsiaTheme="minorEastAsia"/>
              <w:noProof/>
              <w:szCs w:val="22"/>
            </w:rPr>
          </w:pPr>
          <w:hyperlink w:anchor="_Toc150507978" w:history="1">
            <w:r w:rsidRPr="00044FF4">
              <w:rPr>
                <w:rStyle w:val="a9"/>
                <w:rFonts w:ascii="楷体" w:eastAsia="楷体" w:hAnsi="楷体"/>
                <w:b/>
                <w:noProof/>
              </w:rPr>
              <w:t>碳酸锂：锂盐产量环比下降，期价小幅反弹</w:t>
            </w:r>
          </w:hyperlink>
        </w:p>
        <w:p w:rsidR="007B681E" w:rsidRDefault="007B681E">
          <w:pPr>
            <w:pStyle w:val="23"/>
            <w:tabs>
              <w:tab w:val="right" w:leader="dot" w:pos="8296"/>
            </w:tabs>
            <w:rPr>
              <w:rFonts w:eastAsiaTheme="minorEastAsia"/>
              <w:noProof/>
              <w:szCs w:val="22"/>
            </w:rPr>
          </w:pPr>
          <w:hyperlink w:anchor="_Toc150507979" w:history="1">
            <w:r w:rsidRPr="00044FF4">
              <w:rPr>
                <w:rStyle w:val="a9"/>
                <w:rFonts w:ascii="楷体" w:eastAsia="楷体" w:hAnsi="楷体"/>
                <w:b/>
                <w:noProof/>
              </w:rPr>
              <w:t>螺纹钢：预期定价较为充分，谨慎乐观</w:t>
            </w:r>
          </w:hyperlink>
        </w:p>
        <w:p w:rsidR="007B681E" w:rsidRDefault="007B681E">
          <w:pPr>
            <w:pStyle w:val="23"/>
            <w:tabs>
              <w:tab w:val="right" w:leader="dot" w:pos="8296"/>
            </w:tabs>
            <w:rPr>
              <w:rFonts w:eastAsiaTheme="minorEastAsia"/>
              <w:noProof/>
              <w:szCs w:val="22"/>
            </w:rPr>
          </w:pPr>
          <w:hyperlink w:anchor="_Toc150507980" w:history="1">
            <w:r w:rsidRPr="00044FF4">
              <w:rPr>
                <w:rStyle w:val="a9"/>
                <w:rFonts w:ascii="楷体" w:eastAsia="楷体" w:hAnsi="楷体"/>
                <w:b/>
                <w:noProof/>
              </w:rPr>
              <w:t>焦炭：第一轮提涨提出，建议逢高止盈</w:t>
            </w:r>
          </w:hyperlink>
        </w:p>
        <w:p w:rsidR="007B681E" w:rsidRDefault="007B681E">
          <w:pPr>
            <w:pStyle w:val="23"/>
            <w:tabs>
              <w:tab w:val="right" w:leader="dot" w:pos="8296"/>
            </w:tabs>
            <w:rPr>
              <w:rFonts w:eastAsiaTheme="minorEastAsia"/>
              <w:noProof/>
              <w:szCs w:val="22"/>
            </w:rPr>
          </w:pPr>
          <w:hyperlink w:anchor="_Toc150507981" w:history="1">
            <w:r w:rsidRPr="00044FF4">
              <w:rPr>
                <w:rStyle w:val="a9"/>
                <w:rFonts w:ascii="楷体" w:eastAsia="楷体" w:hAnsi="楷体"/>
                <w:b/>
                <w:noProof/>
              </w:rPr>
              <w:t>焦煤：澳煤下行幅度较大，上方压力相对明显</w:t>
            </w:r>
          </w:hyperlink>
        </w:p>
        <w:p w:rsidR="007B681E" w:rsidRDefault="007B681E">
          <w:pPr>
            <w:pStyle w:val="23"/>
            <w:tabs>
              <w:tab w:val="right" w:leader="dot" w:pos="8296"/>
            </w:tabs>
            <w:rPr>
              <w:rFonts w:eastAsiaTheme="minorEastAsia"/>
              <w:noProof/>
              <w:szCs w:val="22"/>
            </w:rPr>
          </w:pPr>
          <w:hyperlink w:anchor="_Toc150507982" w:history="1">
            <w:r w:rsidRPr="00044FF4">
              <w:rPr>
                <w:rStyle w:val="a9"/>
                <w:rFonts w:ascii="楷体" w:eastAsia="楷体" w:hAnsi="楷体"/>
                <w:b/>
                <w:noProof/>
              </w:rPr>
              <w:t>铜：短期缺乏明显驱动，震荡整理为主</w:t>
            </w:r>
          </w:hyperlink>
        </w:p>
        <w:p w:rsidR="007B681E" w:rsidRDefault="007B681E">
          <w:pPr>
            <w:pStyle w:val="23"/>
            <w:tabs>
              <w:tab w:val="right" w:leader="dot" w:pos="8296"/>
            </w:tabs>
            <w:rPr>
              <w:rFonts w:eastAsiaTheme="minorEastAsia"/>
              <w:noProof/>
              <w:szCs w:val="22"/>
            </w:rPr>
          </w:pPr>
          <w:hyperlink w:anchor="_Toc150507983" w:history="1">
            <w:r w:rsidRPr="00044FF4">
              <w:rPr>
                <w:rStyle w:val="a9"/>
                <w:rFonts w:ascii="楷体" w:eastAsia="楷体" w:hAnsi="楷体"/>
                <w:b/>
                <w:noProof/>
              </w:rPr>
              <w:t>铝：铝市库存持续累积，价格上方承压</w:t>
            </w:r>
          </w:hyperlink>
        </w:p>
        <w:p w:rsidR="007B681E" w:rsidRDefault="007B681E">
          <w:pPr>
            <w:pStyle w:val="23"/>
            <w:tabs>
              <w:tab w:val="right" w:leader="dot" w:pos="8296"/>
            </w:tabs>
            <w:rPr>
              <w:rFonts w:eastAsiaTheme="minorEastAsia"/>
              <w:noProof/>
              <w:szCs w:val="22"/>
            </w:rPr>
          </w:pPr>
          <w:hyperlink w:anchor="_Toc150507984" w:history="1">
            <w:r w:rsidRPr="00044FF4">
              <w:rPr>
                <w:rStyle w:val="a9"/>
                <w:rFonts w:ascii="楷体" w:eastAsia="楷体" w:hAnsi="楷体"/>
                <w:b/>
                <w:noProof/>
              </w:rPr>
              <w:t>锌：锌价维持高位震荡</w:t>
            </w:r>
          </w:hyperlink>
        </w:p>
        <w:p w:rsidR="007B681E" w:rsidRDefault="007B681E">
          <w:pPr>
            <w:pStyle w:val="23"/>
            <w:tabs>
              <w:tab w:val="right" w:leader="dot" w:pos="8296"/>
            </w:tabs>
            <w:rPr>
              <w:rFonts w:eastAsiaTheme="minorEastAsia"/>
              <w:noProof/>
              <w:szCs w:val="22"/>
            </w:rPr>
          </w:pPr>
          <w:hyperlink w:anchor="_Toc150507985" w:history="1">
            <w:r w:rsidRPr="00044FF4">
              <w:rPr>
                <w:rStyle w:val="a9"/>
                <w:rFonts w:ascii="楷体" w:eastAsia="楷体" w:hAnsi="楷体"/>
                <w:b/>
                <w:noProof/>
              </w:rPr>
              <w:t>镍：过剩压力叠加成本松动，持续施压镍价</w:t>
            </w:r>
          </w:hyperlink>
        </w:p>
        <w:p w:rsidR="007B681E" w:rsidRDefault="007B681E">
          <w:pPr>
            <w:pStyle w:val="23"/>
            <w:tabs>
              <w:tab w:val="right" w:leader="dot" w:pos="8296"/>
            </w:tabs>
            <w:rPr>
              <w:rFonts w:eastAsiaTheme="minorEastAsia"/>
              <w:noProof/>
              <w:szCs w:val="22"/>
            </w:rPr>
          </w:pPr>
          <w:hyperlink w:anchor="_Toc150507986" w:history="1">
            <w:r w:rsidRPr="00044FF4">
              <w:rPr>
                <w:rStyle w:val="a9"/>
                <w:rFonts w:ascii="楷体" w:eastAsia="楷体" w:hAnsi="楷体"/>
                <w:b/>
                <w:noProof/>
              </w:rPr>
              <w:t>铅：铝价上方压力仍存</w:t>
            </w:r>
          </w:hyperlink>
        </w:p>
        <w:p w:rsidR="007B681E" w:rsidRDefault="007B681E">
          <w:pPr>
            <w:pStyle w:val="23"/>
            <w:tabs>
              <w:tab w:val="right" w:leader="dot" w:pos="8296"/>
            </w:tabs>
            <w:rPr>
              <w:rFonts w:eastAsiaTheme="minorEastAsia"/>
              <w:noProof/>
              <w:szCs w:val="22"/>
            </w:rPr>
          </w:pPr>
          <w:hyperlink w:anchor="_Toc150507987" w:history="1">
            <w:r w:rsidRPr="00044FF4">
              <w:rPr>
                <w:rStyle w:val="a9"/>
                <w:rFonts w:ascii="楷体" w:eastAsia="楷体" w:hAnsi="楷体"/>
                <w:b/>
                <w:noProof/>
              </w:rPr>
              <w:t>不锈钢：需求不振持续压制，但成本带来底部支撑</w:t>
            </w:r>
          </w:hyperlink>
        </w:p>
        <w:p w:rsidR="007B681E" w:rsidRDefault="007B681E">
          <w:pPr>
            <w:pStyle w:val="23"/>
            <w:tabs>
              <w:tab w:val="right" w:leader="dot" w:pos="8296"/>
            </w:tabs>
            <w:rPr>
              <w:rFonts w:eastAsiaTheme="minorEastAsia"/>
              <w:noProof/>
              <w:szCs w:val="22"/>
            </w:rPr>
          </w:pPr>
          <w:hyperlink w:anchor="_Toc150507988" w:history="1">
            <w:r w:rsidRPr="00044FF4">
              <w:rPr>
                <w:rStyle w:val="a9"/>
                <w:rFonts w:ascii="楷体" w:eastAsia="楷体" w:hAnsi="楷体"/>
                <w:b/>
                <w:noProof/>
              </w:rPr>
              <w:t>工业硅：暂无明显单边驱动，盘面或震荡为主</w:t>
            </w:r>
          </w:hyperlink>
        </w:p>
        <w:p w:rsidR="007B681E" w:rsidRDefault="007B681E">
          <w:pPr>
            <w:pStyle w:val="11"/>
            <w:tabs>
              <w:tab w:val="right" w:leader="dot" w:pos="8296"/>
            </w:tabs>
            <w:rPr>
              <w:rFonts w:eastAsiaTheme="minorEastAsia"/>
              <w:noProof/>
              <w:szCs w:val="22"/>
            </w:rPr>
          </w:pPr>
          <w:hyperlink w:anchor="_Toc150507989" w:history="1">
            <w:r w:rsidRPr="00044FF4">
              <w:rPr>
                <w:rStyle w:val="a9"/>
                <w:rFonts w:ascii="Times New Roman" w:eastAsia="楷体" w:hAnsi="Times New Roman"/>
                <w:b/>
                <w:noProof/>
              </w:rPr>
              <w:t>[</w:t>
            </w:r>
            <w:r w:rsidRPr="00044FF4">
              <w:rPr>
                <w:rStyle w:val="a9"/>
                <w:rFonts w:ascii="Times New Roman" w:eastAsia="楷体" w:hAnsi="Times New Roman"/>
                <w:b/>
                <w:noProof/>
              </w:rPr>
              <w:t>化工</w:t>
            </w:r>
            <w:r w:rsidRPr="00044FF4">
              <w:rPr>
                <w:rStyle w:val="a9"/>
                <w:rFonts w:ascii="Times New Roman" w:eastAsia="楷体" w:hAnsi="Times New Roman"/>
                <w:b/>
                <w:noProof/>
              </w:rPr>
              <w:t>]</w:t>
            </w:r>
          </w:hyperlink>
        </w:p>
        <w:p w:rsidR="007B681E" w:rsidRDefault="007B681E">
          <w:pPr>
            <w:pStyle w:val="23"/>
            <w:tabs>
              <w:tab w:val="right" w:leader="dot" w:pos="8296"/>
            </w:tabs>
            <w:rPr>
              <w:rFonts w:eastAsiaTheme="minorEastAsia"/>
              <w:noProof/>
              <w:szCs w:val="22"/>
            </w:rPr>
          </w:pPr>
          <w:hyperlink w:anchor="_Toc150507990" w:history="1">
            <w:r w:rsidRPr="00044FF4">
              <w:rPr>
                <w:rStyle w:val="a9"/>
                <w:rFonts w:ascii="Times New Roman" w:eastAsia="楷体" w:hAnsi="Times New Roman"/>
                <w:b/>
                <w:noProof/>
              </w:rPr>
              <w:t>天然橡胶</w:t>
            </w:r>
            <w:r w:rsidRPr="00044FF4">
              <w:rPr>
                <w:rStyle w:val="a9"/>
                <w:rFonts w:ascii="Times New Roman" w:eastAsia="楷体" w:hAnsi="Times New Roman"/>
                <w:b/>
                <w:noProof/>
              </w:rPr>
              <w:t>:</w:t>
            </w:r>
            <w:r w:rsidRPr="00044FF4">
              <w:rPr>
                <w:rStyle w:val="a9"/>
                <w:rFonts w:ascii="楷体" w:eastAsia="楷体" w:hAnsi="楷体"/>
                <w:b/>
                <w:noProof/>
              </w:rPr>
              <w:t xml:space="preserve"> 边际供应压力增加，RU或震荡整理为主</w:t>
            </w:r>
          </w:hyperlink>
        </w:p>
        <w:p w:rsidR="007B681E" w:rsidRDefault="007B681E">
          <w:pPr>
            <w:pStyle w:val="23"/>
            <w:tabs>
              <w:tab w:val="right" w:leader="dot" w:pos="8296"/>
            </w:tabs>
            <w:rPr>
              <w:rFonts w:eastAsiaTheme="minorEastAsia"/>
              <w:noProof/>
              <w:szCs w:val="22"/>
            </w:rPr>
          </w:pPr>
          <w:hyperlink w:anchor="_Toc150507991" w:history="1">
            <w:r w:rsidRPr="00044FF4">
              <w:rPr>
                <w:rStyle w:val="a9"/>
                <w:rFonts w:ascii="楷体" w:eastAsia="楷体" w:hAnsi="楷体"/>
                <w:b/>
                <w:noProof/>
              </w:rPr>
              <w:t>PTA：</w:t>
            </w:r>
            <w:r w:rsidRPr="00044FF4">
              <w:rPr>
                <w:rStyle w:val="a9"/>
                <w:rFonts w:ascii="Calibri" w:eastAsia="楷体" w:hAnsi="Calibri" w:cs="Calibri"/>
                <w:b/>
                <w:noProof/>
              </w:rPr>
              <w:t>供应偏宽松预期</w:t>
            </w:r>
            <w:r w:rsidRPr="00044FF4">
              <w:rPr>
                <w:rStyle w:val="a9"/>
                <w:rFonts w:ascii="Calibri" w:eastAsia="楷体" w:hAnsi="Calibri" w:cs="Calibri"/>
                <w:b/>
                <w:noProof/>
              </w:rPr>
              <w:t xml:space="preserve">  </w:t>
            </w:r>
            <w:r w:rsidRPr="00044FF4">
              <w:rPr>
                <w:rStyle w:val="a9"/>
                <w:rFonts w:ascii="Calibri" w:eastAsia="楷体" w:hAnsi="Calibri" w:cs="Calibri"/>
                <w:b/>
                <w:noProof/>
              </w:rPr>
              <w:t>关注上方压力位</w:t>
            </w:r>
          </w:hyperlink>
        </w:p>
        <w:p w:rsidR="007B681E" w:rsidRDefault="007B681E">
          <w:pPr>
            <w:pStyle w:val="23"/>
            <w:tabs>
              <w:tab w:val="right" w:leader="dot" w:pos="8296"/>
            </w:tabs>
            <w:rPr>
              <w:rFonts w:eastAsiaTheme="minorEastAsia"/>
              <w:noProof/>
              <w:szCs w:val="22"/>
            </w:rPr>
          </w:pPr>
          <w:hyperlink w:anchor="_Toc150507992" w:history="1">
            <w:r w:rsidRPr="00044FF4">
              <w:rPr>
                <w:rStyle w:val="a9"/>
                <w:rFonts w:ascii="楷体" w:eastAsia="楷体" w:hAnsi="楷体"/>
                <w:b/>
                <w:noProof/>
              </w:rPr>
              <w:t>聚烯烃：基本面持续偏空发展 聚烯烃维持弱势震荡</w:t>
            </w:r>
          </w:hyperlink>
        </w:p>
        <w:p w:rsidR="007B681E" w:rsidRDefault="007B681E">
          <w:pPr>
            <w:pStyle w:val="23"/>
            <w:tabs>
              <w:tab w:val="right" w:leader="dot" w:pos="8296"/>
            </w:tabs>
            <w:rPr>
              <w:rFonts w:eastAsiaTheme="minorEastAsia"/>
              <w:noProof/>
              <w:szCs w:val="22"/>
            </w:rPr>
          </w:pPr>
          <w:hyperlink w:anchor="_Toc150507993" w:history="1">
            <w:r w:rsidRPr="00044FF4">
              <w:rPr>
                <w:rStyle w:val="a9"/>
                <w:rFonts w:ascii="楷体" w:eastAsia="楷体" w:hAnsi="楷体"/>
                <w:b/>
                <w:noProof/>
              </w:rPr>
              <w:t>MEG：11月有望去库 乙二醇震荡偏强</w:t>
            </w:r>
          </w:hyperlink>
        </w:p>
        <w:p w:rsidR="007B681E" w:rsidRDefault="007B681E">
          <w:pPr>
            <w:pStyle w:val="23"/>
            <w:tabs>
              <w:tab w:val="right" w:leader="dot" w:pos="8296"/>
            </w:tabs>
            <w:rPr>
              <w:rFonts w:eastAsiaTheme="minorEastAsia"/>
              <w:noProof/>
              <w:szCs w:val="22"/>
            </w:rPr>
          </w:pPr>
          <w:hyperlink w:anchor="_Toc150507994" w:history="1">
            <w:r w:rsidRPr="00044FF4">
              <w:rPr>
                <w:rStyle w:val="a9"/>
                <w:rFonts w:ascii="楷体" w:eastAsia="楷体" w:hAnsi="楷体"/>
                <w:b/>
                <w:noProof/>
              </w:rPr>
              <w:t>玻璃：厂家以价换量，期价持续反弹</w:t>
            </w:r>
          </w:hyperlink>
        </w:p>
        <w:p w:rsidR="007B681E" w:rsidRDefault="007B681E">
          <w:pPr>
            <w:pStyle w:val="23"/>
            <w:tabs>
              <w:tab w:val="right" w:leader="dot" w:pos="8296"/>
            </w:tabs>
            <w:rPr>
              <w:rFonts w:eastAsiaTheme="minorEastAsia"/>
              <w:noProof/>
              <w:szCs w:val="22"/>
            </w:rPr>
          </w:pPr>
          <w:hyperlink w:anchor="_Toc150507995" w:history="1">
            <w:r w:rsidRPr="00044FF4">
              <w:rPr>
                <w:rStyle w:val="a9"/>
                <w:rFonts w:ascii="楷体" w:eastAsia="楷体" w:hAnsi="楷体"/>
                <w:b/>
                <w:noProof/>
              </w:rPr>
              <w:t>纯碱：累库速度趋缓，纯碱反弹赶顶阶段</w:t>
            </w:r>
          </w:hyperlink>
        </w:p>
        <w:p w:rsidR="007B681E" w:rsidRDefault="007B681E">
          <w:pPr>
            <w:pStyle w:val="11"/>
            <w:tabs>
              <w:tab w:val="right" w:leader="dot" w:pos="8296"/>
            </w:tabs>
            <w:rPr>
              <w:rFonts w:eastAsiaTheme="minorEastAsia"/>
              <w:noProof/>
              <w:szCs w:val="22"/>
            </w:rPr>
          </w:pPr>
          <w:hyperlink w:anchor="_Toc150507996" w:history="1">
            <w:r w:rsidRPr="00044FF4">
              <w:rPr>
                <w:rStyle w:val="a9"/>
                <w:rFonts w:ascii="Times New Roman" w:eastAsia="楷体" w:hAnsi="Times New Roman"/>
                <w:b/>
                <w:noProof/>
              </w:rPr>
              <w:t>[</w:t>
            </w:r>
            <w:r w:rsidRPr="00044FF4">
              <w:rPr>
                <w:rStyle w:val="a9"/>
                <w:rFonts w:ascii="Times New Roman" w:eastAsia="楷体" w:hAnsi="Times New Roman"/>
                <w:b/>
                <w:noProof/>
              </w:rPr>
              <w:t>农产品</w:t>
            </w:r>
            <w:r w:rsidRPr="00044FF4">
              <w:rPr>
                <w:rStyle w:val="a9"/>
                <w:rFonts w:ascii="Times New Roman" w:eastAsia="楷体" w:hAnsi="Times New Roman"/>
                <w:b/>
                <w:noProof/>
              </w:rPr>
              <w:t>]</w:t>
            </w:r>
          </w:hyperlink>
        </w:p>
        <w:p w:rsidR="007B681E" w:rsidRDefault="007B681E">
          <w:pPr>
            <w:pStyle w:val="23"/>
            <w:tabs>
              <w:tab w:val="right" w:leader="dot" w:pos="8296"/>
            </w:tabs>
            <w:rPr>
              <w:rFonts w:eastAsiaTheme="minorEastAsia"/>
              <w:noProof/>
              <w:szCs w:val="22"/>
            </w:rPr>
          </w:pPr>
          <w:hyperlink w:anchor="_Toc150507997" w:history="1">
            <w:r w:rsidRPr="00044FF4">
              <w:rPr>
                <w:rStyle w:val="a9"/>
                <w:rFonts w:ascii="楷体" w:eastAsia="楷体" w:hAnsi="楷体"/>
                <w:b/>
                <w:noProof/>
              </w:rPr>
              <w:t>豆粕/菜粕：USDA报告偏空，两粕预计承压</w:t>
            </w:r>
          </w:hyperlink>
        </w:p>
        <w:p w:rsidR="007B681E" w:rsidRDefault="007B681E">
          <w:pPr>
            <w:pStyle w:val="23"/>
            <w:tabs>
              <w:tab w:val="right" w:leader="dot" w:pos="8296"/>
            </w:tabs>
            <w:rPr>
              <w:rFonts w:eastAsiaTheme="minorEastAsia"/>
              <w:noProof/>
              <w:szCs w:val="22"/>
            </w:rPr>
          </w:pPr>
          <w:hyperlink w:anchor="_Toc150507998" w:history="1">
            <w:r w:rsidRPr="00044FF4">
              <w:rPr>
                <w:rStyle w:val="a9"/>
                <w:rFonts w:ascii="楷体" w:eastAsia="楷体" w:hAnsi="楷体"/>
                <w:b/>
                <w:noProof/>
              </w:rPr>
              <w:t>油脂：宽幅震荡，等待MPOB报告公布</w:t>
            </w:r>
          </w:hyperlink>
        </w:p>
        <w:p w:rsidR="007B681E" w:rsidRDefault="007B681E">
          <w:pPr>
            <w:pStyle w:val="23"/>
            <w:tabs>
              <w:tab w:val="right" w:leader="dot" w:pos="8296"/>
            </w:tabs>
            <w:rPr>
              <w:rFonts w:eastAsiaTheme="minorEastAsia"/>
              <w:noProof/>
              <w:szCs w:val="22"/>
            </w:rPr>
          </w:pPr>
          <w:hyperlink w:anchor="_Toc150507999" w:history="1">
            <w:r w:rsidRPr="00044FF4">
              <w:rPr>
                <w:rStyle w:val="a9"/>
                <w:rFonts w:ascii="楷体" w:eastAsia="楷体" w:hAnsi="楷体"/>
                <w:b/>
                <w:bCs/>
                <w:noProof/>
              </w:rPr>
              <w:t>玉米与淀粉：</w:t>
            </w:r>
            <w:r w:rsidRPr="00044FF4">
              <w:rPr>
                <w:rStyle w:val="a9"/>
                <w:rFonts w:ascii="楷体" w:eastAsia="楷体" w:hAnsi="楷体"/>
                <w:b/>
                <w:noProof/>
              </w:rPr>
              <w:t>新作供应担忧再度压制期价</w:t>
            </w:r>
          </w:hyperlink>
        </w:p>
        <w:p w:rsidR="007B681E" w:rsidRDefault="007B681E">
          <w:pPr>
            <w:pStyle w:val="23"/>
            <w:tabs>
              <w:tab w:val="right" w:leader="dot" w:pos="8296"/>
            </w:tabs>
            <w:rPr>
              <w:rFonts w:eastAsiaTheme="minorEastAsia"/>
              <w:noProof/>
              <w:szCs w:val="22"/>
            </w:rPr>
          </w:pPr>
          <w:hyperlink w:anchor="_Toc150508000" w:history="1">
            <w:r w:rsidRPr="00044FF4">
              <w:rPr>
                <w:rStyle w:val="a9"/>
                <w:rFonts w:ascii="楷体" w:eastAsia="楷体" w:hAnsi="楷体"/>
                <w:b/>
                <w:bCs/>
                <w:noProof/>
              </w:rPr>
              <w:t>畜禽养殖：现货继续拖累近月期价</w:t>
            </w:r>
          </w:hyperlink>
        </w:p>
        <w:p w:rsidR="007B681E" w:rsidRDefault="007B681E">
          <w:pPr>
            <w:pStyle w:val="23"/>
            <w:tabs>
              <w:tab w:val="right" w:leader="dot" w:pos="8296"/>
            </w:tabs>
            <w:rPr>
              <w:rFonts w:eastAsiaTheme="minorEastAsia"/>
              <w:noProof/>
              <w:szCs w:val="22"/>
            </w:rPr>
          </w:pPr>
          <w:hyperlink w:anchor="_Toc150508001" w:history="1">
            <w:r w:rsidRPr="00044FF4">
              <w:rPr>
                <w:rStyle w:val="a9"/>
                <w:rFonts w:ascii="楷体" w:eastAsia="楷体" w:hAnsi="楷体"/>
                <w:b/>
                <w:noProof/>
              </w:rPr>
              <w:t>郑棉：震荡整理，空单持有或观望</w:t>
            </w:r>
          </w:hyperlink>
        </w:p>
        <w:p w:rsidR="007B681E" w:rsidRDefault="007B681E">
          <w:pPr>
            <w:pStyle w:val="23"/>
            <w:tabs>
              <w:tab w:val="right" w:leader="dot" w:pos="8296"/>
            </w:tabs>
            <w:rPr>
              <w:rFonts w:eastAsiaTheme="minorEastAsia"/>
              <w:noProof/>
              <w:szCs w:val="22"/>
            </w:rPr>
          </w:pPr>
          <w:hyperlink w:anchor="_Toc150508002" w:history="1">
            <w:r w:rsidRPr="00044FF4">
              <w:rPr>
                <w:rStyle w:val="a9"/>
                <w:rFonts w:ascii="楷体" w:eastAsia="楷体" w:hAnsi="楷体"/>
                <w:b/>
                <w:noProof/>
              </w:rPr>
              <w:t>白糖：尝试上行突破，空单暂离场观望</w:t>
            </w:r>
          </w:hyperlink>
        </w:p>
        <w:p w:rsidR="007B681E" w:rsidRDefault="007B681E">
          <w:pPr>
            <w:pStyle w:val="11"/>
            <w:tabs>
              <w:tab w:val="right" w:leader="dot" w:pos="8296"/>
            </w:tabs>
            <w:rPr>
              <w:rFonts w:eastAsiaTheme="minorEastAsia"/>
              <w:noProof/>
              <w:szCs w:val="22"/>
            </w:rPr>
          </w:pPr>
          <w:hyperlink w:anchor="_Toc150508003" w:history="1">
            <w:r w:rsidRPr="00044FF4">
              <w:rPr>
                <w:rStyle w:val="a9"/>
                <w:rFonts w:ascii="Times New Roman" w:eastAsia="楷体" w:hAnsi="Times New Roman"/>
                <w:b/>
                <w:noProof/>
              </w:rPr>
              <w:t>[</w:t>
            </w:r>
            <w:r w:rsidRPr="00044FF4">
              <w:rPr>
                <w:rStyle w:val="a9"/>
                <w:rFonts w:ascii="Times New Roman" w:eastAsia="楷体" w:hAnsi="Times New Roman"/>
                <w:b/>
                <w:noProof/>
              </w:rPr>
              <w:t>指数</w:t>
            </w:r>
            <w:r w:rsidRPr="00044FF4">
              <w:rPr>
                <w:rStyle w:val="a9"/>
                <w:rFonts w:ascii="Times New Roman" w:eastAsia="楷体" w:hAnsi="Times New Roman"/>
                <w:b/>
                <w:noProof/>
              </w:rPr>
              <w:t>]</w:t>
            </w:r>
          </w:hyperlink>
        </w:p>
        <w:p w:rsidR="007B681E" w:rsidRDefault="007B681E">
          <w:pPr>
            <w:pStyle w:val="23"/>
            <w:tabs>
              <w:tab w:val="right" w:leader="dot" w:pos="8296"/>
            </w:tabs>
            <w:rPr>
              <w:rFonts w:eastAsiaTheme="minorEastAsia"/>
              <w:noProof/>
              <w:szCs w:val="22"/>
            </w:rPr>
          </w:pPr>
          <w:hyperlink w:anchor="_Toc150508004" w:history="1">
            <w:r w:rsidRPr="00044FF4">
              <w:rPr>
                <w:rStyle w:val="a9"/>
                <w:rFonts w:ascii="Times New Roman" w:eastAsia="楷体" w:hAnsi="Times New Roman"/>
                <w:b/>
                <w:noProof/>
              </w:rPr>
              <w:t>集运指数（欧线）：</w:t>
            </w:r>
            <w:r w:rsidRPr="00044FF4">
              <w:rPr>
                <w:rStyle w:val="a9"/>
                <w:rFonts w:ascii="Times New Roman" w:eastAsia="楷体" w:hAnsi="Times New Roman"/>
                <w:b/>
                <w:noProof/>
              </w:rPr>
              <w:t>EC</w:t>
            </w:r>
            <w:r w:rsidRPr="00044FF4">
              <w:rPr>
                <w:rStyle w:val="a9"/>
                <w:rFonts w:ascii="Times New Roman" w:eastAsia="楷体" w:hAnsi="Times New Roman"/>
                <w:b/>
                <w:noProof/>
              </w:rPr>
              <w:t>合约冲高回落，关注今天</w:t>
            </w:r>
            <w:r w:rsidRPr="00044FF4">
              <w:rPr>
                <w:rStyle w:val="a9"/>
                <w:rFonts w:ascii="Times New Roman" w:eastAsia="楷体" w:hAnsi="Times New Roman"/>
                <w:b/>
                <w:noProof/>
              </w:rPr>
              <w:t>SCFI</w:t>
            </w:r>
            <w:r w:rsidRPr="00044FF4">
              <w:rPr>
                <w:rStyle w:val="a9"/>
                <w:rFonts w:ascii="Times New Roman" w:eastAsia="楷体" w:hAnsi="Times New Roman"/>
                <w:b/>
                <w:noProof/>
              </w:rPr>
              <w:t>数据公布</w:t>
            </w:r>
          </w:hyperlink>
        </w:p>
        <w:p w:rsidR="003F56A5" w:rsidRPr="00152664" w:rsidRDefault="00CC3FFA" w:rsidP="00152664">
          <w:pPr>
            <w:pStyle w:val="11"/>
            <w:tabs>
              <w:tab w:val="right" w:leader="dot" w:pos="8296"/>
            </w:tabs>
            <w:rPr>
              <w:rFonts w:eastAsiaTheme="minorEastAsia"/>
              <w:noProof/>
              <w:szCs w:val="22"/>
            </w:rPr>
          </w:pPr>
          <w:r>
            <w:rPr>
              <w:bCs/>
            </w:rPr>
            <w:fldChar w:fldCharType="end"/>
          </w:r>
          <w:r w:rsidR="00152664">
            <w:rPr>
              <w:rFonts w:eastAsiaTheme="minorEastAsia"/>
              <w:noProof/>
              <w:szCs w:val="22"/>
            </w:rPr>
            <w:t xml:space="preserve"> </w:t>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5050797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50507974"/>
      <w:bookmarkEnd w:id="4"/>
      <w:r>
        <w:rPr>
          <w:rFonts w:ascii="Times New Roman" w:eastAsia="楷体" w:hAnsi="Times New Roman" w:hint="eastAsia"/>
          <w:b/>
          <w:color w:val="000000" w:themeColor="text1"/>
          <w:sz w:val="24"/>
          <w:szCs w:val="24"/>
        </w:rPr>
        <w:t>股指：</w:t>
      </w:r>
      <w:bookmarkEnd w:id="6"/>
      <w:bookmarkEnd w:id="7"/>
      <w:r w:rsidR="007B681E" w:rsidRPr="007B681E">
        <w:rPr>
          <w:rFonts w:ascii="Times New Roman" w:eastAsia="楷体" w:hAnsi="Times New Roman" w:hint="eastAsia"/>
          <w:b/>
          <w:color w:val="000000" w:themeColor="text1"/>
          <w:sz w:val="24"/>
          <w:szCs w:val="24"/>
        </w:rPr>
        <w:t>短线有盘整需求，低吸思路为主</w:t>
      </w:r>
      <w:bookmarkEnd w:id="8"/>
    </w:p>
    <w:p w:rsidR="003F56A5" w:rsidRDefault="007B681E" w:rsidP="00CF42F6">
      <w:pPr>
        <w:ind w:leftChars="300" w:left="630"/>
        <w:rPr>
          <w:rFonts w:ascii="Times New Roman" w:eastAsia="楷体" w:hAnsi="Times New Roman"/>
          <w:color w:val="000000" w:themeColor="text1"/>
          <w:sz w:val="24"/>
          <w:szCs w:val="24"/>
        </w:rPr>
      </w:pPr>
      <w:r w:rsidRPr="007B681E">
        <w:rPr>
          <w:rFonts w:ascii="Times New Roman" w:eastAsia="楷体" w:hAnsi="Times New Roman" w:hint="eastAsia"/>
          <w:color w:val="000000" w:themeColor="text1"/>
          <w:sz w:val="24"/>
          <w:szCs w:val="24"/>
        </w:rPr>
        <w:t>10</w:t>
      </w:r>
      <w:r w:rsidRPr="007B681E">
        <w:rPr>
          <w:rFonts w:ascii="Times New Roman" w:eastAsia="楷体" w:hAnsi="Times New Roman" w:hint="eastAsia"/>
          <w:color w:val="000000" w:themeColor="text1"/>
          <w:sz w:val="24"/>
          <w:szCs w:val="24"/>
        </w:rPr>
        <w:t>月通胀数据环比下滑，不及预期，反映当前终端需求仍偏弱，经济缓慢的波浪式修复。隔夜美元指数上行，非美货币普遍下跌，北向回流暂不具备持续性。沪指在回补上方缺口后多头追价动能开始减弱，在</w:t>
      </w:r>
      <w:r w:rsidRPr="007B681E">
        <w:rPr>
          <w:rFonts w:ascii="Times New Roman" w:eastAsia="楷体" w:hAnsi="Times New Roman" w:hint="eastAsia"/>
          <w:color w:val="000000" w:themeColor="text1"/>
          <w:sz w:val="24"/>
          <w:szCs w:val="24"/>
        </w:rPr>
        <w:t>3050</w:t>
      </w:r>
      <w:r w:rsidRPr="007B681E">
        <w:rPr>
          <w:rFonts w:ascii="Times New Roman" w:eastAsia="楷体" w:hAnsi="Times New Roman" w:hint="eastAsia"/>
          <w:color w:val="000000" w:themeColor="text1"/>
          <w:sz w:val="24"/>
          <w:szCs w:val="24"/>
        </w:rPr>
        <w:t>一带走出平头结构，出现高位十字星，向上区域筹码密集，或需时间震荡消化。操作以低吸思路为主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5050797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50507976"/>
      <w:r>
        <w:rPr>
          <w:rFonts w:ascii="Times New Roman" w:eastAsia="楷体" w:hAnsi="Times New Roman" w:hint="eastAsia"/>
          <w:b/>
          <w:color w:val="000000" w:themeColor="text1"/>
          <w:sz w:val="24"/>
          <w:szCs w:val="24"/>
        </w:rPr>
        <w:t>贵金属：</w:t>
      </w:r>
      <w:r w:rsidR="007B681E" w:rsidRPr="007B681E">
        <w:rPr>
          <w:rFonts w:ascii="Times New Roman" w:eastAsia="楷体" w:hAnsi="Times New Roman" w:hint="eastAsia"/>
          <w:b/>
          <w:color w:val="000000" w:themeColor="text1"/>
          <w:sz w:val="24"/>
          <w:szCs w:val="24"/>
        </w:rPr>
        <w:t>初请失业金人数略低于预期，贵金属价格反弹</w:t>
      </w:r>
      <w:bookmarkEnd w:id="10"/>
    </w:p>
    <w:p w:rsidR="003F56A5" w:rsidRDefault="007B681E">
      <w:pPr>
        <w:ind w:leftChars="300" w:left="630"/>
        <w:rPr>
          <w:rFonts w:ascii="Times New Roman" w:eastAsia="楷体" w:hAnsi="Times New Roman"/>
          <w:sz w:val="24"/>
          <w:szCs w:val="24"/>
        </w:rPr>
      </w:pPr>
      <w:r w:rsidRPr="007B681E">
        <w:rPr>
          <w:rFonts w:ascii="Times New Roman" w:eastAsia="楷体" w:hAnsi="Times New Roman" w:hint="eastAsia"/>
          <w:color w:val="000000" w:themeColor="text1"/>
          <w:sz w:val="24"/>
          <w:szCs w:val="24"/>
        </w:rPr>
        <w:t>美十债收益率上涨</w:t>
      </w:r>
      <w:r w:rsidRPr="007B681E">
        <w:rPr>
          <w:rFonts w:ascii="Times New Roman" w:eastAsia="楷体" w:hAnsi="Times New Roman" w:hint="eastAsia"/>
          <w:color w:val="000000" w:themeColor="text1"/>
          <w:sz w:val="24"/>
          <w:szCs w:val="24"/>
        </w:rPr>
        <w:t>13.9bp</w:t>
      </w:r>
      <w:r w:rsidRPr="007B681E">
        <w:rPr>
          <w:rFonts w:ascii="Times New Roman" w:eastAsia="楷体" w:hAnsi="Times New Roman" w:hint="eastAsia"/>
          <w:color w:val="000000" w:themeColor="text1"/>
          <w:sz w:val="24"/>
          <w:szCs w:val="24"/>
        </w:rPr>
        <w:t>至</w:t>
      </w:r>
      <w:r w:rsidRPr="007B681E">
        <w:rPr>
          <w:rFonts w:ascii="Times New Roman" w:eastAsia="楷体" w:hAnsi="Times New Roman" w:hint="eastAsia"/>
          <w:color w:val="000000" w:themeColor="text1"/>
          <w:sz w:val="24"/>
          <w:szCs w:val="24"/>
        </w:rPr>
        <w:t>4.633%</w:t>
      </w:r>
      <w:r w:rsidRPr="007B681E">
        <w:rPr>
          <w:rFonts w:ascii="Times New Roman" w:eastAsia="楷体" w:hAnsi="Times New Roman" w:hint="eastAsia"/>
          <w:color w:val="000000" w:themeColor="text1"/>
          <w:sz w:val="24"/>
          <w:szCs w:val="24"/>
        </w:rPr>
        <w:t>，美元指数涨</w:t>
      </w:r>
      <w:r w:rsidRPr="007B681E">
        <w:rPr>
          <w:rFonts w:ascii="Times New Roman" w:eastAsia="楷体" w:hAnsi="Times New Roman" w:hint="eastAsia"/>
          <w:color w:val="000000" w:themeColor="text1"/>
          <w:sz w:val="24"/>
          <w:szCs w:val="24"/>
        </w:rPr>
        <w:t>0.35%</w:t>
      </w:r>
      <w:r w:rsidRPr="007B681E">
        <w:rPr>
          <w:rFonts w:ascii="Times New Roman" w:eastAsia="楷体" w:hAnsi="Times New Roman" w:hint="eastAsia"/>
          <w:color w:val="000000" w:themeColor="text1"/>
          <w:sz w:val="24"/>
          <w:szCs w:val="24"/>
        </w:rPr>
        <w:t>至</w:t>
      </w:r>
      <w:r w:rsidRPr="007B681E">
        <w:rPr>
          <w:rFonts w:ascii="Times New Roman" w:eastAsia="楷体" w:hAnsi="Times New Roman" w:hint="eastAsia"/>
          <w:color w:val="000000" w:themeColor="text1"/>
          <w:sz w:val="24"/>
          <w:szCs w:val="24"/>
        </w:rPr>
        <w:t>105.90</w:t>
      </w:r>
      <w:r w:rsidRPr="007B681E">
        <w:rPr>
          <w:rFonts w:ascii="Times New Roman" w:eastAsia="楷体" w:hAnsi="Times New Roman" w:hint="eastAsia"/>
          <w:color w:val="000000" w:themeColor="text1"/>
          <w:sz w:val="24"/>
          <w:szCs w:val="24"/>
        </w:rPr>
        <w:t>，</w:t>
      </w:r>
      <w:r w:rsidRPr="007B681E">
        <w:rPr>
          <w:rFonts w:ascii="Times New Roman" w:eastAsia="楷体" w:hAnsi="Times New Roman" w:hint="eastAsia"/>
          <w:color w:val="000000" w:themeColor="text1"/>
          <w:sz w:val="24"/>
          <w:szCs w:val="24"/>
        </w:rPr>
        <w:t>COMEX</w:t>
      </w:r>
      <w:r w:rsidRPr="007B681E">
        <w:rPr>
          <w:rFonts w:ascii="Times New Roman" w:eastAsia="楷体" w:hAnsi="Times New Roman" w:hint="eastAsia"/>
          <w:color w:val="000000" w:themeColor="text1"/>
          <w:sz w:val="24"/>
          <w:szCs w:val="24"/>
        </w:rPr>
        <w:t>黄金期货涨</w:t>
      </w:r>
      <w:r w:rsidRPr="007B681E">
        <w:rPr>
          <w:rFonts w:ascii="Times New Roman" w:eastAsia="楷体" w:hAnsi="Times New Roman" w:hint="eastAsia"/>
          <w:color w:val="000000" w:themeColor="text1"/>
          <w:sz w:val="24"/>
          <w:szCs w:val="24"/>
        </w:rPr>
        <w:t>0.31%</w:t>
      </w:r>
      <w:r w:rsidRPr="007B681E">
        <w:rPr>
          <w:rFonts w:ascii="Times New Roman" w:eastAsia="楷体" w:hAnsi="Times New Roman" w:hint="eastAsia"/>
          <w:color w:val="000000" w:themeColor="text1"/>
          <w:sz w:val="24"/>
          <w:szCs w:val="24"/>
        </w:rPr>
        <w:t>报</w:t>
      </w:r>
      <w:r w:rsidRPr="007B681E">
        <w:rPr>
          <w:rFonts w:ascii="Times New Roman" w:eastAsia="楷体" w:hAnsi="Times New Roman" w:hint="eastAsia"/>
          <w:color w:val="000000" w:themeColor="text1"/>
          <w:sz w:val="24"/>
          <w:szCs w:val="24"/>
        </w:rPr>
        <w:t>1963.9</w:t>
      </w:r>
      <w:r w:rsidRPr="007B681E">
        <w:rPr>
          <w:rFonts w:ascii="Times New Roman" w:eastAsia="楷体" w:hAnsi="Times New Roman" w:hint="eastAsia"/>
          <w:color w:val="000000" w:themeColor="text1"/>
          <w:sz w:val="24"/>
          <w:szCs w:val="24"/>
        </w:rPr>
        <w:t>美元</w:t>
      </w:r>
      <w:r w:rsidRPr="007B681E">
        <w:rPr>
          <w:rFonts w:ascii="Times New Roman" w:eastAsia="楷体" w:hAnsi="Times New Roman" w:hint="eastAsia"/>
          <w:color w:val="000000" w:themeColor="text1"/>
          <w:sz w:val="24"/>
          <w:szCs w:val="24"/>
        </w:rPr>
        <w:t>/</w:t>
      </w:r>
      <w:r w:rsidRPr="007B681E">
        <w:rPr>
          <w:rFonts w:ascii="Times New Roman" w:eastAsia="楷体" w:hAnsi="Times New Roman" w:hint="eastAsia"/>
          <w:color w:val="000000" w:themeColor="text1"/>
          <w:sz w:val="24"/>
          <w:szCs w:val="24"/>
        </w:rPr>
        <w:t>盎司，</w:t>
      </w:r>
      <w:r w:rsidRPr="007B681E">
        <w:rPr>
          <w:rFonts w:ascii="Times New Roman" w:eastAsia="楷体" w:hAnsi="Times New Roman" w:hint="eastAsia"/>
          <w:color w:val="000000" w:themeColor="text1"/>
          <w:sz w:val="24"/>
          <w:szCs w:val="24"/>
        </w:rPr>
        <w:t>COMEX</w:t>
      </w:r>
      <w:r w:rsidRPr="007B681E">
        <w:rPr>
          <w:rFonts w:ascii="Times New Roman" w:eastAsia="楷体" w:hAnsi="Times New Roman" w:hint="eastAsia"/>
          <w:color w:val="000000" w:themeColor="text1"/>
          <w:sz w:val="24"/>
          <w:szCs w:val="24"/>
        </w:rPr>
        <w:t>白银期货跌</w:t>
      </w:r>
      <w:r w:rsidRPr="007B681E">
        <w:rPr>
          <w:rFonts w:ascii="Times New Roman" w:eastAsia="楷体" w:hAnsi="Times New Roman" w:hint="eastAsia"/>
          <w:color w:val="000000" w:themeColor="text1"/>
          <w:sz w:val="24"/>
          <w:szCs w:val="24"/>
        </w:rPr>
        <w:t>0.12%</w:t>
      </w:r>
      <w:r w:rsidRPr="007B681E">
        <w:rPr>
          <w:rFonts w:ascii="Times New Roman" w:eastAsia="楷体" w:hAnsi="Times New Roman" w:hint="eastAsia"/>
          <w:color w:val="000000" w:themeColor="text1"/>
          <w:sz w:val="24"/>
          <w:szCs w:val="24"/>
        </w:rPr>
        <w:t>报</w:t>
      </w:r>
      <w:r w:rsidRPr="007B681E">
        <w:rPr>
          <w:rFonts w:ascii="Times New Roman" w:eastAsia="楷体" w:hAnsi="Times New Roman" w:hint="eastAsia"/>
          <w:color w:val="000000" w:themeColor="text1"/>
          <w:sz w:val="24"/>
          <w:szCs w:val="24"/>
        </w:rPr>
        <w:t>22.7</w:t>
      </w:r>
      <w:r w:rsidRPr="007B681E">
        <w:rPr>
          <w:rFonts w:ascii="Times New Roman" w:eastAsia="楷体" w:hAnsi="Times New Roman" w:hint="eastAsia"/>
          <w:color w:val="000000" w:themeColor="text1"/>
          <w:sz w:val="24"/>
          <w:szCs w:val="24"/>
        </w:rPr>
        <w:t>美元</w:t>
      </w:r>
      <w:r w:rsidRPr="007B681E">
        <w:rPr>
          <w:rFonts w:ascii="Times New Roman" w:eastAsia="楷体" w:hAnsi="Times New Roman" w:hint="eastAsia"/>
          <w:color w:val="000000" w:themeColor="text1"/>
          <w:sz w:val="24"/>
          <w:szCs w:val="24"/>
        </w:rPr>
        <w:t>/</w:t>
      </w:r>
      <w:r w:rsidRPr="007B681E">
        <w:rPr>
          <w:rFonts w:ascii="Times New Roman" w:eastAsia="楷体" w:hAnsi="Times New Roman" w:hint="eastAsia"/>
          <w:color w:val="000000" w:themeColor="text1"/>
          <w:sz w:val="24"/>
          <w:szCs w:val="24"/>
        </w:rPr>
        <w:t>盎司，沪金、沪银小幅回升。美联储主席鲍威尔表示，将继续谨慎行动，如果合适，美联储将毫不犹豫地进一步收紧货币政策；不确定已经达到了实现</w:t>
      </w:r>
      <w:r w:rsidRPr="007B681E">
        <w:rPr>
          <w:rFonts w:ascii="Times New Roman" w:eastAsia="楷体" w:hAnsi="Times New Roman" w:hint="eastAsia"/>
          <w:color w:val="000000" w:themeColor="text1"/>
          <w:sz w:val="24"/>
          <w:szCs w:val="24"/>
        </w:rPr>
        <w:t>2%</w:t>
      </w:r>
      <w:r w:rsidRPr="007B681E">
        <w:rPr>
          <w:rFonts w:ascii="Times New Roman" w:eastAsia="楷体" w:hAnsi="Times New Roman" w:hint="eastAsia"/>
          <w:color w:val="000000" w:themeColor="text1"/>
          <w:sz w:val="24"/>
          <w:szCs w:val="24"/>
        </w:rPr>
        <w:t>通胀的立场，对通胀进展感到满意，但前路漫长；预计未来几个季度</w:t>
      </w:r>
      <w:r w:rsidRPr="007B681E">
        <w:rPr>
          <w:rFonts w:ascii="Times New Roman" w:eastAsia="楷体" w:hAnsi="Times New Roman" w:hint="eastAsia"/>
          <w:color w:val="000000" w:themeColor="text1"/>
          <w:sz w:val="24"/>
          <w:szCs w:val="24"/>
        </w:rPr>
        <w:t>GDP</w:t>
      </w:r>
      <w:r w:rsidRPr="007B681E">
        <w:rPr>
          <w:rFonts w:ascii="Times New Roman" w:eastAsia="楷体" w:hAnsi="Times New Roman" w:hint="eastAsia"/>
          <w:color w:val="000000" w:themeColor="text1"/>
          <w:sz w:val="24"/>
          <w:szCs w:val="24"/>
        </w:rPr>
        <w:t>增长将放缓，但仍有待观察。美国最新当周初请失业金人数为</w:t>
      </w:r>
      <w:r w:rsidRPr="007B681E">
        <w:rPr>
          <w:rFonts w:ascii="Times New Roman" w:eastAsia="楷体" w:hAnsi="Times New Roman" w:hint="eastAsia"/>
          <w:color w:val="000000" w:themeColor="text1"/>
          <w:sz w:val="24"/>
          <w:szCs w:val="24"/>
        </w:rPr>
        <w:t>21.7</w:t>
      </w:r>
      <w:r w:rsidRPr="007B681E">
        <w:rPr>
          <w:rFonts w:ascii="Times New Roman" w:eastAsia="楷体" w:hAnsi="Times New Roman" w:hint="eastAsia"/>
          <w:color w:val="000000" w:themeColor="text1"/>
          <w:sz w:val="24"/>
          <w:szCs w:val="24"/>
        </w:rPr>
        <w:t>万，略低于市场预期的</w:t>
      </w:r>
      <w:r w:rsidRPr="007B681E">
        <w:rPr>
          <w:rFonts w:ascii="Times New Roman" w:eastAsia="楷体" w:hAnsi="Times New Roman" w:hint="eastAsia"/>
          <w:color w:val="000000" w:themeColor="text1"/>
          <w:sz w:val="24"/>
          <w:szCs w:val="24"/>
        </w:rPr>
        <w:t>21.8</w:t>
      </w:r>
      <w:r w:rsidRPr="007B681E">
        <w:rPr>
          <w:rFonts w:ascii="Times New Roman" w:eastAsia="楷体" w:hAnsi="Times New Roman" w:hint="eastAsia"/>
          <w:color w:val="000000" w:themeColor="text1"/>
          <w:sz w:val="24"/>
          <w:szCs w:val="24"/>
        </w:rPr>
        <w:t>万，前值修正至</w:t>
      </w:r>
      <w:r w:rsidRPr="007B681E">
        <w:rPr>
          <w:rFonts w:ascii="Times New Roman" w:eastAsia="楷体" w:hAnsi="Times New Roman" w:hint="eastAsia"/>
          <w:color w:val="000000" w:themeColor="text1"/>
          <w:sz w:val="24"/>
          <w:szCs w:val="24"/>
        </w:rPr>
        <w:t>22</w:t>
      </w:r>
      <w:r w:rsidRPr="007B681E">
        <w:rPr>
          <w:rFonts w:ascii="Times New Roman" w:eastAsia="楷体" w:hAnsi="Times New Roman" w:hint="eastAsia"/>
          <w:color w:val="000000" w:themeColor="text1"/>
          <w:sz w:val="24"/>
          <w:szCs w:val="24"/>
        </w:rPr>
        <w:t>万。续请失业金人数</w:t>
      </w:r>
      <w:r w:rsidRPr="007B681E">
        <w:rPr>
          <w:rFonts w:ascii="Times New Roman" w:eastAsia="楷体" w:hAnsi="Times New Roman" w:hint="eastAsia"/>
          <w:color w:val="000000" w:themeColor="text1"/>
          <w:sz w:val="24"/>
          <w:szCs w:val="24"/>
        </w:rPr>
        <w:t>183.4</w:t>
      </w:r>
      <w:r w:rsidRPr="007B681E">
        <w:rPr>
          <w:rFonts w:ascii="Times New Roman" w:eastAsia="楷体" w:hAnsi="Times New Roman" w:hint="eastAsia"/>
          <w:color w:val="000000" w:themeColor="text1"/>
          <w:sz w:val="24"/>
          <w:szCs w:val="24"/>
        </w:rPr>
        <w:t>万，预期</w:t>
      </w:r>
      <w:r w:rsidRPr="007B681E">
        <w:rPr>
          <w:rFonts w:ascii="Times New Roman" w:eastAsia="楷体" w:hAnsi="Times New Roman" w:hint="eastAsia"/>
          <w:color w:val="000000" w:themeColor="text1"/>
          <w:sz w:val="24"/>
          <w:szCs w:val="24"/>
        </w:rPr>
        <w:t>182</w:t>
      </w:r>
      <w:r w:rsidRPr="007B681E">
        <w:rPr>
          <w:rFonts w:ascii="Times New Roman" w:eastAsia="楷体" w:hAnsi="Times New Roman" w:hint="eastAsia"/>
          <w:color w:val="000000" w:themeColor="text1"/>
          <w:sz w:val="24"/>
          <w:szCs w:val="24"/>
        </w:rPr>
        <w:t>万，前值</w:t>
      </w:r>
      <w:r w:rsidRPr="007B681E">
        <w:rPr>
          <w:rFonts w:ascii="Times New Roman" w:eastAsia="楷体" w:hAnsi="Times New Roman" w:hint="eastAsia"/>
          <w:color w:val="000000" w:themeColor="text1"/>
          <w:sz w:val="24"/>
          <w:szCs w:val="24"/>
        </w:rPr>
        <w:t>181.8</w:t>
      </w:r>
      <w:r w:rsidRPr="007B681E">
        <w:rPr>
          <w:rFonts w:ascii="Times New Roman" w:eastAsia="楷体" w:hAnsi="Times New Roman" w:hint="eastAsia"/>
          <w:color w:val="000000" w:themeColor="text1"/>
          <w:sz w:val="24"/>
          <w:szCs w:val="24"/>
        </w:rPr>
        <w:t>万。周内留意美国</w:t>
      </w:r>
      <w:r w:rsidRPr="007B681E">
        <w:rPr>
          <w:rFonts w:ascii="Times New Roman" w:eastAsia="楷体" w:hAnsi="Times New Roman" w:hint="eastAsia"/>
          <w:color w:val="000000" w:themeColor="text1"/>
          <w:sz w:val="24"/>
          <w:szCs w:val="24"/>
        </w:rPr>
        <w:t>11</w:t>
      </w:r>
      <w:r w:rsidRPr="007B681E">
        <w:rPr>
          <w:rFonts w:ascii="Times New Roman" w:eastAsia="楷体" w:hAnsi="Times New Roman" w:hint="eastAsia"/>
          <w:color w:val="000000" w:themeColor="text1"/>
          <w:sz w:val="24"/>
          <w:szCs w:val="24"/>
        </w:rPr>
        <w:t>月密歇根大学消费者信心指数公布，近期美国经济景气度指标下滑、就业表现走弱，因当前联储加息已接近峰值，市场预期明年年中或启动降息，中长线角度仍相对看好贵金属价格表现，建议沪金、沪银逢回调择机做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5050797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50507978"/>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7B681E" w:rsidRPr="007B681E">
        <w:rPr>
          <w:rFonts w:ascii="楷体" w:eastAsia="楷体" w:hAnsi="楷体" w:hint="eastAsia"/>
          <w:b/>
          <w:color w:val="000000" w:themeColor="text1"/>
          <w:sz w:val="24"/>
          <w:szCs w:val="24"/>
        </w:rPr>
        <w:t>锂盐产量环比下降，期价小幅反弹</w:t>
      </w:r>
      <w:bookmarkEnd w:id="18"/>
    </w:p>
    <w:p w:rsidR="00F50569" w:rsidRDefault="007B681E" w:rsidP="00F50569">
      <w:pPr>
        <w:ind w:leftChars="300" w:left="630"/>
        <w:rPr>
          <w:rFonts w:ascii="楷体" w:eastAsia="楷体" w:hAnsi="楷体"/>
          <w:color w:val="000000" w:themeColor="text1"/>
          <w:sz w:val="24"/>
          <w:szCs w:val="24"/>
        </w:rPr>
      </w:pPr>
      <w:r w:rsidRPr="007B681E">
        <w:rPr>
          <w:rFonts w:ascii="楷体" w:eastAsia="楷体" w:hAnsi="楷体" w:hint="eastAsia"/>
          <w:color w:val="000000" w:themeColor="text1"/>
          <w:sz w:val="24"/>
          <w:szCs w:val="24"/>
        </w:rPr>
        <w:t>现货价格维持跌势，昨日期价小幅反弹。10月国内碳酸锂产量40,426吨，环比下降3%，同比增加18%；氢氧化锂产量21,904吨，环比下降9%，同比下降17%。磷酸铁锂原料价格下跌背景下制造成本下行，企业生产减量供应下降，终端需求相对平淡，10月国内磷酸铁锂产量126,990吨，环比持平，同比增3%。三元正极维持去库，需求减弱，10月三元材料产量56,062吨，环比增1%，同比下降20%。下游需求偏弱，近期期价或维持区间震荡</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50507979"/>
      <w:r>
        <w:rPr>
          <w:rFonts w:ascii="楷体" w:eastAsia="楷体" w:hAnsi="楷体" w:hint="eastAsia"/>
          <w:b/>
          <w:color w:val="000000" w:themeColor="text1"/>
          <w:sz w:val="24"/>
          <w:szCs w:val="24"/>
        </w:rPr>
        <w:t>螺纹钢：</w:t>
      </w:r>
      <w:bookmarkEnd w:id="16"/>
      <w:bookmarkEnd w:id="17"/>
      <w:r w:rsidR="007B681E" w:rsidRPr="007B681E">
        <w:rPr>
          <w:rFonts w:ascii="楷体" w:eastAsia="楷体" w:hAnsi="楷体" w:hint="eastAsia"/>
          <w:b/>
          <w:color w:val="000000" w:themeColor="text1"/>
          <w:sz w:val="24"/>
          <w:szCs w:val="24"/>
        </w:rPr>
        <w:t>预期定价较为充分，谨慎乐观</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7B681E" w:rsidP="00201944">
      <w:pPr>
        <w:ind w:leftChars="300" w:left="630"/>
        <w:rPr>
          <w:rFonts w:ascii="楷体" w:eastAsia="楷体" w:hAnsi="楷体"/>
          <w:color w:val="000000" w:themeColor="text1"/>
          <w:sz w:val="24"/>
          <w:szCs w:val="24"/>
        </w:rPr>
      </w:pPr>
      <w:r w:rsidRPr="007B681E">
        <w:rPr>
          <w:rFonts w:ascii="楷体" w:eastAsia="楷体" w:hAnsi="楷体" w:hint="eastAsia"/>
          <w:color w:val="000000" w:themeColor="text1"/>
          <w:sz w:val="24"/>
          <w:szCs w:val="24"/>
        </w:rPr>
        <w:t>宏观预期进一步走强，市场对年后需求增长抱有较强预期，短期成材利润修复后，现实变化不大。对后续市场谨慎乐观，前期低位多单可适当止盈</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50507980"/>
      <w:r>
        <w:rPr>
          <w:rFonts w:ascii="楷体" w:eastAsia="楷体" w:hAnsi="楷体" w:hint="eastAsia"/>
          <w:b/>
          <w:color w:val="000000" w:themeColor="text1"/>
          <w:sz w:val="24"/>
          <w:szCs w:val="24"/>
        </w:rPr>
        <w:t>焦炭：</w:t>
      </w:r>
      <w:bookmarkEnd w:id="20"/>
      <w:bookmarkEnd w:id="21"/>
      <w:r w:rsidR="007B681E" w:rsidRPr="007B681E">
        <w:rPr>
          <w:rFonts w:ascii="楷体" w:eastAsia="楷体" w:hAnsi="楷体" w:hint="eastAsia"/>
          <w:b/>
          <w:color w:val="000000" w:themeColor="text1"/>
          <w:sz w:val="24"/>
          <w:szCs w:val="24"/>
        </w:rPr>
        <w:t>第一轮提涨提出，建议逢高止盈</w:t>
      </w:r>
      <w:bookmarkEnd w:id="22"/>
    </w:p>
    <w:p w:rsidR="003F56A5" w:rsidRDefault="007B681E" w:rsidP="00572E35">
      <w:pPr>
        <w:ind w:leftChars="300" w:left="630"/>
        <w:rPr>
          <w:rFonts w:ascii="楷体" w:eastAsia="楷体" w:hAnsi="楷体"/>
          <w:color w:val="000000" w:themeColor="text1"/>
          <w:sz w:val="24"/>
          <w:szCs w:val="24"/>
        </w:rPr>
      </w:pPr>
      <w:r w:rsidRPr="007B681E">
        <w:rPr>
          <w:rFonts w:ascii="楷体" w:eastAsia="楷体" w:hAnsi="楷体" w:hint="eastAsia"/>
          <w:color w:val="000000" w:themeColor="text1"/>
          <w:sz w:val="24"/>
          <w:szCs w:val="24"/>
        </w:rPr>
        <w:t>寒潮来临情况下，煤价或偏强势运行，焦炭第一轮提涨提出，落地概率较大，盘面给出两轮提涨估值，高位下谨慎乐观，逢高可适当止盈</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50507981"/>
      <w:r>
        <w:rPr>
          <w:rFonts w:ascii="楷体" w:eastAsia="楷体" w:hAnsi="楷体" w:hint="eastAsia"/>
          <w:b/>
          <w:color w:val="000000" w:themeColor="text1"/>
          <w:sz w:val="24"/>
          <w:szCs w:val="24"/>
        </w:rPr>
        <w:t>焦煤：</w:t>
      </w:r>
      <w:r w:rsidR="007B681E" w:rsidRPr="007B681E">
        <w:rPr>
          <w:rFonts w:ascii="楷体" w:eastAsia="楷体" w:hAnsi="楷体" w:hint="eastAsia"/>
          <w:b/>
          <w:sz w:val="24"/>
          <w:szCs w:val="24"/>
        </w:rPr>
        <w:t>澳煤下行幅度较大，上方压力相对明显</w:t>
      </w:r>
      <w:bookmarkEnd w:id="23"/>
    </w:p>
    <w:p w:rsidR="003F56A5" w:rsidRDefault="007B681E">
      <w:pPr>
        <w:ind w:leftChars="300" w:left="630"/>
        <w:rPr>
          <w:rFonts w:ascii="楷体" w:eastAsia="楷体" w:hAnsi="楷体"/>
          <w:bCs/>
          <w:sz w:val="24"/>
          <w:szCs w:val="24"/>
        </w:rPr>
      </w:pPr>
      <w:r w:rsidRPr="007B681E">
        <w:rPr>
          <w:rFonts w:ascii="楷体" w:eastAsia="楷体" w:hAnsi="楷体" w:hint="eastAsia"/>
          <w:sz w:val="24"/>
          <w:szCs w:val="24"/>
        </w:rPr>
        <w:t>寒潮来临情况下，煤价或偏强势运行，海外澳焦煤供应修复下，价格大幅度下行，焦煤现货继续上行或打开澳煤进口空间，上方压力相对明显，盘面估值较高情况下可适当止盈</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50507982"/>
      <w:r>
        <w:rPr>
          <w:rFonts w:ascii="楷体" w:eastAsia="楷体" w:hAnsi="楷体" w:hint="eastAsia"/>
          <w:b/>
          <w:color w:val="000000" w:themeColor="text1"/>
          <w:sz w:val="24"/>
          <w:szCs w:val="24"/>
        </w:rPr>
        <w:t>铜：</w:t>
      </w:r>
      <w:bookmarkEnd w:id="24"/>
      <w:bookmarkEnd w:id="25"/>
      <w:r w:rsidR="007B681E" w:rsidRPr="007B681E">
        <w:rPr>
          <w:rFonts w:ascii="楷体" w:eastAsia="楷体" w:hAnsi="楷体" w:hint="eastAsia"/>
          <w:b/>
          <w:color w:val="000000" w:themeColor="text1"/>
          <w:sz w:val="24"/>
          <w:szCs w:val="24"/>
        </w:rPr>
        <w:t>短期缺乏明显驱动，震荡整理为主</w:t>
      </w:r>
      <w:bookmarkEnd w:id="26"/>
    </w:p>
    <w:p w:rsidR="007B681E" w:rsidRPr="007B681E" w:rsidRDefault="007B681E" w:rsidP="007B681E">
      <w:pPr>
        <w:ind w:leftChars="300" w:left="630"/>
        <w:rPr>
          <w:rFonts w:ascii="楷体" w:eastAsia="楷体" w:hAnsi="楷体" w:hint="eastAsia"/>
          <w:color w:val="000000" w:themeColor="text1"/>
          <w:sz w:val="24"/>
          <w:szCs w:val="24"/>
        </w:rPr>
      </w:pPr>
      <w:r w:rsidRPr="007B681E">
        <w:rPr>
          <w:rFonts w:ascii="楷体" w:eastAsia="楷体" w:hAnsi="楷体" w:hint="eastAsia"/>
          <w:color w:val="000000" w:themeColor="text1"/>
          <w:sz w:val="24"/>
          <w:szCs w:val="24"/>
        </w:rPr>
        <w:t>(1)宏观：国家统计局公布数据显示，中国10月CPI同比下降0.2%，前值为0%，扣除食品和能源价格的核心CPI同比上涨0.6%，涨幅略有回落。与此同时，10月PPI同比下降2.6%，前值为下降2.5%，降幅进一步扩大。</w:t>
      </w:r>
    </w:p>
    <w:p w:rsidR="007B681E" w:rsidRPr="007B681E" w:rsidRDefault="007B681E" w:rsidP="007B681E">
      <w:pPr>
        <w:ind w:leftChars="300" w:left="630"/>
        <w:rPr>
          <w:rFonts w:ascii="楷体" w:eastAsia="楷体" w:hAnsi="楷体" w:hint="eastAsia"/>
          <w:color w:val="000000" w:themeColor="text1"/>
          <w:sz w:val="24"/>
          <w:szCs w:val="24"/>
        </w:rPr>
      </w:pPr>
      <w:r w:rsidRPr="007B681E">
        <w:rPr>
          <w:rFonts w:ascii="楷体" w:eastAsia="楷体" w:hAnsi="楷体" w:hint="eastAsia"/>
          <w:color w:val="000000" w:themeColor="text1"/>
          <w:sz w:val="24"/>
          <w:szCs w:val="24"/>
        </w:rPr>
        <w:t>(2)库存：11月09日，SHFE仓单库存1132吨，持平；LME仓单库存177225吨，减900吨。</w:t>
      </w:r>
    </w:p>
    <w:p w:rsidR="007B681E" w:rsidRPr="007B681E" w:rsidRDefault="007B681E" w:rsidP="007B681E">
      <w:pPr>
        <w:ind w:leftChars="300" w:left="630"/>
        <w:rPr>
          <w:rFonts w:ascii="楷体" w:eastAsia="楷体" w:hAnsi="楷体" w:hint="eastAsia"/>
          <w:color w:val="000000" w:themeColor="text1"/>
          <w:sz w:val="24"/>
          <w:szCs w:val="24"/>
        </w:rPr>
      </w:pPr>
      <w:r w:rsidRPr="007B681E">
        <w:rPr>
          <w:rFonts w:ascii="楷体" w:eastAsia="楷体" w:hAnsi="楷体" w:hint="eastAsia"/>
          <w:color w:val="000000" w:themeColor="text1"/>
          <w:sz w:val="24"/>
          <w:szCs w:val="24"/>
        </w:rPr>
        <w:t>(3)精废价差：11月09日，Mysteel精废价差1448，收窄24。目前价差在合理价差1379之上。</w:t>
      </w:r>
    </w:p>
    <w:p w:rsidR="007B681E" w:rsidRPr="007B681E" w:rsidRDefault="007B681E" w:rsidP="007B681E">
      <w:pPr>
        <w:ind w:leftChars="300" w:left="630"/>
        <w:rPr>
          <w:rFonts w:ascii="楷体" w:eastAsia="楷体" w:hAnsi="楷体"/>
          <w:color w:val="000000" w:themeColor="text1"/>
          <w:sz w:val="24"/>
          <w:szCs w:val="24"/>
        </w:rPr>
      </w:pPr>
    </w:p>
    <w:p w:rsidR="00127803" w:rsidRPr="00127803" w:rsidRDefault="007B681E" w:rsidP="007B681E">
      <w:pPr>
        <w:ind w:leftChars="300" w:left="630"/>
        <w:rPr>
          <w:rFonts w:ascii="楷体" w:eastAsia="楷体" w:hAnsi="楷体"/>
          <w:color w:val="000000" w:themeColor="text1"/>
          <w:sz w:val="24"/>
          <w:szCs w:val="24"/>
        </w:rPr>
      </w:pPr>
      <w:r w:rsidRPr="007B681E">
        <w:rPr>
          <w:rFonts w:ascii="楷体" w:eastAsia="楷体" w:hAnsi="楷体" w:hint="eastAsia"/>
          <w:color w:val="000000" w:themeColor="text1"/>
          <w:sz w:val="24"/>
          <w:szCs w:val="24"/>
        </w:rPr>
        <w:t>综述：美元延续回升，铜价承压运行，国内10月CPI由平转跌，PPI同比降幅略有扩大，偏利空。基本面，近期国内货源流通紧张使得升水持续高企。但价格快速回升后精废价差扩大，废铜替代优势逐步增强，废铜流通货源增加，精铜消费受抑。短期缺乏明显驱动，价格震荡运行为主，维持波动区间66500-68500</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50507983"/>
      <w:r>
        <w:rPr>
          <w:rFonts w:ascii="楷体" w:eastAsia="楷体" w:hAnsi="楷体" w:hint="eastAsia"/>
          <w:b/>
          <w:color w:val="000000" w:themeColor="text1"/>
          <w:sz w:val="24"/>
          <w:szCs w:val="24"/>
        </w:rPr>
        <w:t>铝：</w:t>
      </w:r>
      <w:bookmarkEnd w:id="27"/>
      <w:bookmarkEnd w:id="28"/>
      <w:r w:rsidR="007B681E" w:rsidRPr="007B681E">
        <w:rPr>
          <w:rFonts w:ascii="楷体" w:eastAsia="楷体" w:hAnsi="楷体" w:hint="eastAsia"/>
          <w:b/>
          <w:color w:val="000000" w:themeColor="text1"/>
          <w:sz w:val="24"/>
          <w:szCs w:val="24"/>
        </w:rPr>
        <w:t>铝市库存持续累积，价格上方承压</w:t>
      </w:r>
      <w:bookmarkEnd w:id="29"/>
    </w:p>
    <w:p w:rsidR="003F56A5" w:rsidRDefault="007B681E" w:rsidP="00127803">
      <w:pPr>
        <w:ind w:leftChars="300" w:left="630"/>
        <w:rPr>
          <w:rFonts w:ascii="楷体" w:eastAsia="楷体" w:hAnsi="楷体"/>
          <w:color w:val="000000" w:themeColor="text1"/>
          <w:sz w:val="24"/>
          <w:szCs w:val="24"/>
        </w:rPr>
      </w:pPr>
      <w:r w:rsidRPr="007B681E">
        <w:rPr>
          <w:rFonts w:ascii="楷体" w:eastAsia="楷体" w:hAnsi="楷体" w:hint="eastAsia"/>
          <w:color w:val="000000" w:themeColor="text1"/>
          <w:sz w:val="24"/>
          <w:szCs w:val="24"/>
        </w:rPr>
        <w:t>美元延续强势，海外经济风险仍存，国内CPI/PPI剪刀差走扩，宏观情绪压制。云南再度进入枯水期限电，国内电解铝运行产能走缩，原料趋紧限制生产。下游需求转入淡季，企业开工率表现不佳，社会库存持续累库，铝价上方承压有回调压力，持续观望供需边际走弱节奏变化</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50507984"/>
      <w:r>
        <w:rPr>
          <w:rFonts w:ascii="楷体" w:eastAsia="楷体" w:hAnsi="楷体" w:hint="eastAsia"/>
          <w:b/>
          <w:color w:val="000000" w:themeColor="text1"/>
          <w:sz w:val="24"/>
          <w:szCs w:val="24"/>
        </w:rPr>
        <w:t>锌：</w:t>
      </w:r>
      <w:r w:rsidR="007B681E" w:rsidRPr="007B681E">
        <w:rPr>
          <w:rFonts w:ascii="楷体" w:eastAsia="楷体" w:hAnsi="楷体" w:hint="eastAsia"/>
          <w:b/>
          <w:color w:val="000000" w:themeColor="text1"/>
          <w:sz w:val="24"/>
          <w:szCs w:val="24"/>
        </w:rPr>
        <w:t>锌价维持高位震荡</w:t>
      </w:r>
      <w:bookmarkEnd w:id="30"/>
    </w:p>
    <w:p w:rsidR="003F56A5" w:rsidRDefault="007B681E" w:rsidP="000B0648">
      <w:pPr>
        <w:ind w:leftChars="300" w:left="630"/>
        <w:rPr>
          <w:rFonts w:ascii="楷体" w:eastAsia="楷体" w:hAnsi="楷体"/>
          <w:color w:val="000000" w:themeColor="text1"/>
          <w:sz w:val="24"/>
          <w:szCs w:val="24"/>
        </w:rPr>
      </w:pPr>
      <w:r w:rsidRPr="007B681E">
        <w:rPr>
          <w:rFonts w:ascii="楷体" w:eastAsia="楷体" w:hAnsi="楷体" w:hint="eastAsia"/>
          <w:color w:val="000000" w:themeColor="text1"/>
          <w:sz w:val="24"/>
          <w:szCs w:val="24"/>
        </w:rPr>
        <w:t>美元指数强势运行，国内公布经济数据表现不及预期，宏观情绪偏空。NYSTAR宣布矿山减产强化了市场对矿端供应收紧预期，目前整体冶炼端开工影响不大，TC加工费走弱，目前精锌冶炼开工维持高位，且年底有新增产能投放，供应短期内大概率维持偏高水平。需求端看，下游企业开工率转弱，北方冬季环保管理力度加大，镀锌企业开工受限，部分企业因订单不佳选择减产，锌合金和氧化锌开工情况不佳，目前需求转入淡季消费，锌价冲高驱动不足</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50507985"/>
      <w:r>
        <w:rPr>
          <w:rFonts w:ascii="楷体" w:eastAsia="楷体" w:hAnsi="楷体" w:hint="eastAsia"/>
          <w:b/>
          <w:color w:val="000000" w:themeColor="text1"/>
          <w:sz w:val="24"/>
          <w:szCs w:val="24"/>
        </w:rPr>
        <w:t>镍：</w:t>
      </w:r>
      <w:r w:rsidR="007B681E" w:rsidRPr="007B681E">
        <w:rPr>
          <w:rFonts w:ascii="楷体" w:eastAsia="楷体" w:hAnsi="楷体" w:hint="eastAsia"/>
          <w:b/>
          <w:color w:val="000000" w:themeColor="text1"/>
          <w:sz w:val="24"/>
          <w:szCs w:val="24"/>
        </w:rPr>
        <w:t>过剩压力叠加成本松动，持续施压镍价</w:t>
      </w:r>
      <w:bookmarkEnd w:id="31"/>
    </w:p>
    <w:p w:rsidR="003F56A5" w:rsidRDefault="007B681E">
      <w:pPr>
        <w:ind w:leftChars="300" w:left="630"/>
        <w:rPr>
          <w:rFonts w:ascii="楷体" w:eastAsia="楷体" w:hAnsi="楷体"/>
          <w:color w:val="000000" w:themeColor="text1"/>
          <w:sz w:val="24"/>
          <w:szCs w:val="24"/>
        </w:rPr>
      </w:pPr>
      <w:r w:rsidRPr="007B681E">
        <w:rPr>
          <w:rFonts w:ascii="楷体" w:eastAsia="楷体" w:hAnsi="楷体" w:hint="eastAsia"/>
          <w:color w:val="000000" w:themeColor="text1"/>
          <w:sz w:val="24"/>
          <w:szCs w:val="24"/>
        </w:rPr>
        <w:t>以鲍威尔在内的多位美联储官员发言偏鹰派，市场情绪转弱。在供应过剩、需求不振及电积镍成本松动因素下，镍价持续承压。精炼镍产量仍在继续释放，库存延续累库趋势，过剩压力愈发凸显。随着不锈钢厂11月继续减产，镍的需求趋弱。电积镍成本在中间品供应增量预期下松动。综合来看，镍基本面供大于需格局较明晰，中长期对镍保持看空思路，但短期来看，绝对低位库存和生产成本为镍价提供一定的支撑，镍价下跌空间有限，若宏观利好情绪提振，镍价存在小幅反弹的可能性</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50507986"/>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DB4E25" w:rsidRPr="00DB4E25">
        <w:rPr>
          <w:rFonts w:ascii="楷体" w:eastAsia="楷体" w:hAnsi="楷体" w:hint="eastAsia"/>
          <w:b/>
          <w:color w:val="000000" w:themeColor="text1"/>
          <w:sz w:val="24"/>
          <w:szCs w:val="24"/>
        </w:rPr>
        <w:t>铝价上方压力仍存</w:t>
      </w:r>
      <w:bookmarkEnd w:id="32"/>
    </w:p>
    <w:p w:rsidR="008B13D2" w:rsidRPr="008B13D2" w:rsidRDefault="00DB4E25" w:rsidP="008B13D2">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50507987"/>
      <w:r>
        <w:rPr>
          <w:rFonts w:ascii="楷体" w:eastAsia="楷体" w:hAnsi="楷体" w:hint="eastAsia"/>
          <w:b/>
          <w:color w:val="000000" w:themeColor="text1"/>
          <w:sz w:val="24"/>
          <w:szCs w:val="24"/>
        </w:rPr>
        <w:t>不锈钢：</w:t>
      </w:r>
      <w:r w:rsidR="007B681E" w:rsidRPr="007B681E">
        <w:rPr>
          <w:rFonts w:ascii="楷体" w:eastAsia="楷体" w:hAnsi="楷体" w:hint="eastAsia"/>
          <w:b/>
          <w:color w:val="000000" w:themeColor="text1"/>
          <w:sz w:val="24"/>
          <w:szCs w:val="24"/>
        </w:rPr>
        <w:t>需求不振持续压制，但成本带来底部支撑</w:t>
      </w:r>
      <w:bookmarkEnd w:id="33"/>
    </w:p>
    <w:p w:rsidR="003F56A5" w:rsidRDefault="007B681E" w:rsidP="001529BB">
      <w:pPr>
        <w:ind w:leftChars="300" w:left="630"/>
        <w:rPr>
          <w:rFonts w:ascii="楷体" w:eastAsia="楷体" w:hAnsi="楷体"/>
          <w:color w:val="000000" w:themeColor="text1"/>
          <w:sz w:val="24"/>
          <w:szCs w:val="24"/>
        </w:rPr>
      </w:pPr>
      <w:r w:rsidRPr="007B681E">
        <w:rPr>
          <w:rFonts w:ascii="楷体" w:eastAsia="楷体" w:hAnsi="楷体" w:hint="eastAsia"/>
          <w:color w:val="000000" w:themeColor="text1"/>
          <w:sz w:val="24"/>
          <w:szCs w:val="24"/>
        </w:rPr>
        <w:t>宏观面，美联储多位官员最新表态偏鹰派，宏观情绪边际转弱。不锈钢厂在11月继续减产态势，减产的负反馈由下往上传导至镍铁，叠加印尼回流压力，镍铁价格预计偏弱运行。在产业链压力和印尼镍矿新配额消息的影响下，镍矿价格预计也将弱势运行。但镍铁厂已明显亏损，镍矿供应偏紧，成本端让利空间有限。需求方面维持疲弱，下游交投氛围以刚需采购为主。不锈钢社会库存缓慢去化，仍处于绝对高位。综合而言，不锈钢产业链负反馈仍在持续，需求表现不佳，不锈钢暂无明显修复动能，但成本端继续下跌空间有限，且社库连降减缓过剩压力，为不锈钢带来支撑，不锈钢上下空间皆有限</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50507988"/>
      <w:r>
        <w:rPr>
          <w:rFonts w:ascii="楷体" w:eastAsia="楷体" w:hAnsi="楷体" w:hint="eastAsia"/>
          <w:b/>
          <w:color w:val="000000" w:themeColor="text1"/>
          <w:sz w:val="24"/>
          <w:szCs w:val="24"/>
        </w:rPr>
        <w:t>工业硅：</w:t>
      </w:r>
      <w:r w:rsidR="007B681E" w:rsidRPr="007B681E">
        <w:rPr>
          <w:rFonts w:ascii="楷体" w:eastAsia="楷体" w:hAnsi="楷体" w:hint="eastAsia"/>
          <w:b/>
          <w:sz w:val="24"/>
          <w:szCs w:val="24"/>
        </w:rPr>
        <w:t>暂无明显单边驱动，盘面或震荡为主</w:t>
      </w:r>
      <w:bookmarkEnd w:id="34"/>
    </w:p>
    <w:p w:rsidR="003F56A5" w:rsidRDefault="007B681E" w:rsidP="00827E8A">
      <w:pPr>
        <w:ind w:leftChars="300" w:left="630"/>
        <w:rPr>
          <w:rFonts w:ascii="楷体" w:eastAsia="楷体" w:hAnsi="楷体"/>
          <w:sz w:val="24"/>
          <w:szCs w:val="24"/>
        </w:rPr>
      </w:pPr>
      <w:r w:rsidRPr="007B681E">
        <w:rPr>
          <w:rFonts w:ascii="楷体" w:eastAsia="楷体" w:hAnsi="楷体" w:hint="eastAsia"/>
          <w:sz w:val="24"/>
          <w:szCs w:val="24"/>
        </w:rPr>
        <w:t>11月9日，Si2401主力合约呈震荡走势，收盘价14130元/吨，较上一收盘价涨跌幅-0.32%。供应方面，西南进入枯水期，生产成本已抬升，当地工厂陆续出现减产情况，12月后电价或仍将上调，届时减产存在进一步扩大预期。需求方面，部分多晶硅厂硅粉招标推进，硅粉中标价格较10月中下旬有所下降，降价压力或将传导至工业硅市场。整体而言，主产区减产以及生产成本抬升预期对市场有一定支撑，但多晶硅需求预期转弱也将压制反弹空间，短期盘面或震荡为主。策略上，维持波段操作思路，参考区间（13800，14500）</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5050798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024C21" w:rsidRDefault="00CC3FFA" w:rsidP="00024C21">
      <w:pPr>
        <w:ind w:firstLineChars="200" w:firstLine="482"/>
        <w:outlineLvl w:val="1"/>
        <w:rPr>
          <w:rFonts w:ascii="楷体" w:eastAsia="楷体" w:hAnsi="楷体"/>
          <w:b/>
          <w:sz w:val="24"/>
          <w:szCs w:val="24"/>
        </w:rPr>
      </w:pPr>
      <w:bookmarkStart w:id="37" w:name="_Toc150507990"/>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7B681E" w:rsidRPr="007B681E">
        <w:rPr>
          <w:rFonts w:ascii="楷体" w:eastAsia="楷体" w:hAnsi="楷体" w:hint="eastAsia"/>
          <w:b/>
          <w:sz w:val="24"/>
          <w:szCs w:val="24"/>
        </w:rPr>
        <w:t>边际供应压力增加，RU或震荡整理为主</w:t>
      </w:r>
      <w:bookmarkEnd w:id="37"/>
    </w:p>
    <w:p w:rsidR="003F56A5" w:rsidRDefault="007B681E">
      <w:pPr>
        <w:ind w:leftChars="300" w:left="630"/>
        <w:rPr>
          <w:rFonts w:ascii="楷体" w:eastAsia="楷体" w:hAnsi="楷体"/>
          <w:sz w:val="24"/>
          <w:szCs w:val="24"/>
        </w:rPr>
      </w:pPr>
      <w:r w:rsidRPr="007B681E">
        <w:rPr>
          <w:rFonts w:ascii="楷体" w:eastAsia="楷体" w:hAnsi="楷体" w:hint="eastAsia"/>
          <w:sz w:val="24"/>
          <w:szCs w:val="24"/>
        </w:rPr>
        <w:t>点评：昨日天然橡胶继续企稳反弹。供应方面，东南亚主产区降雨天气缓解，原料产出持续上量，原料收购价格存下降预期，供应端利好削弱。库存方面，国内天然橡胶库存虽仍在去库，但去库幅度偏缓，下游工厂对原材料高价抵触心理。需求端来看，半钢胎企业排产运行平稳，部分企业为</w:t>
      </w:r>
      <w:r w:rsidRPr="007B681E">
        <w:rPr>
          <w:rFonts w:ascii="楷体" w:eastAsia="楷体" w:hAnsi="楷体" w:hint="eastAsia"/>
          <w:sz w:val="24"/>
          <w:szCs w:val="24"/>
        </w:rPr>
        <w:lastRenderedPageBreak/>
        <w:t>填补缺货产品库存，适度调整排产，带动样本企业产能利用率微幅走高。月底外贸出货尚可，内销走货相对缓慢。全钢胎样本企业销售压力逐步攀升，企业成品库存进一步走高，对整体产能利用率形成一定拖拽。终端汽车方面，9月数据同环比继续走强，创过去十年同期历史新高，十月汽车消费旺季再度来临下汽车市场景气度高。整体看，近期基本面转好幅度出现衰竭情况，在新的利好支撑出现前，橡胶或延续震荡整理</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50507991"/>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FE40D8" w:rsidRPr="00FE40D8">
        <w:rPr>
          <w:rFonts w:ascii="Calibri" w:eastAsia="楷体" w:hAnsi="Calibri" w:cs="Calibri" w:hint="eastAsia"/>
          <w:b/>
          <w:color w:val="000000" w:themeColor="text1"/>
          <w:sz w:val="24"/>
          <w:szCs w:val="24"/>
        </w:rPr>
        <w:t>供应偏宽松预期</w:t>
      </w:r>
      <w:r w:rsidR="00FE40D8" w:rsidRPr="00FE40D8">
        <w:rPr>
          <w:rFonts w:ascii="Calibri" w:eastAsia="楷体" w:hAnsi="Calibri" w:cs="Calibri" w:hint="eastAsia"/>
          <w:b/>
          <w:color w:val="000000" w:themeColor="text1"/>
          <w:sz w:val="24"/>
          <w:szCs w:val="24"/>
        </w:rPr>
        <w:t xml:space="preserve">  </w:t>
      </w:r>
      <w:r w:rsidR="00FE40D8" w:rsidRPr="00FE40D8">
        <w:rPr>
          <w:rFonts w:ascii="Calibri" w:eastAsia="楷体" w:hAnsi="Calibri" w:cs="Calibri" w:hint="eastAsia"/>
          <w:b/>
          <w:color w:val="000000" w:themeColor="text1"/>
          <w:sz w:val="24"/>
          <w:szCs w:val="24"/>
        </w:rPr>
        <w:t>关注上方压力位</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FE40D8" w:rsidP="002C73FE">
      <w:pPr>
        <w:ind w:leftChars="300" w:left="630"/>
        <w:rPr>
          <w:rFonts w:ascii="楷体" w:eastAsia="楷体" w:hAnsi="楷体"/>
          <w:color w:val="000000" w:themeColor="text1"/>
          <w:sz w:val="24"/>
          <w:szCs w:val="24"/>
        </w:rPr>
      </w:pPr>
      <w:r w:rsidRPr="00FE40D8">
        <w:rPr>
          <w:rFonts w:ascii="楷体" w:eastAsia="楷体" w:hAnsi="楷体" w:hint="eastAsia"/>
          <w:color w:val="000000" w:themeColor="text1"/>
          <w:sz w:val="24"/>
          <w:szCs w:val="24"/>
        </w:rPr>
        <w:t>原油方面交易逻辑从地缘风险回归自身基本面，EIA11月库存月报预期四季度供应偏过剩，跌势或进一步扩大。PX方面，随着调油需求走弱，歧化装置开工率有望进一步提升， Q4 PX供应充足。PTA供应方面，本周逸盛宁波4线220万吨，亚东75万吨装置检修，至11.3 PTA负荷调整至75.4%。本周聚酯装置大体稳定运行，截至11.3 初步核算国内大陆地区聚酯负荷在90.3%，目前聚酯负荷仍处于高位，但后市存在季节性走弱预期。终端开工率尚可但涤纶长丝库存节后累库节奏较快，随着聚酯原料价格走低，工厂出货意愿较大。综合来看，近期PTA加工费高于旺季水平，后续检修恐难持续。恒力220缩减合约量30%与逸盛400推迟检修并存及后续投产预期，供应仍偏宽松。 终端订单减少及产成品库存累库将带来负反馈压力。伴随成本端支撑走弱及现实端转弱的矛盾，PTA市场恐仍面临回调风险，关注上方5950附近压力位。仅供参考</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7B681E" w:rsidRDefault="00CC3FFA" w:rsidP="007B681E">
      <w:pPr>
        <w:ind w:leftChars="200" w:left="420"/>
        <w:outlineLvl w:val="1"/>
        <w:rPr>
          <w:rFonts w:ascii="楷体" w:eastAsia="楷体" w:hAnsi="楷体"/>
          <w:b/>
          <w:color w:val="000000" w:themeColor="text1"/>
          <w:sz w:val="24"/>
          <w:szCs w:val="24"/>
        </w:rPr>
      </w:pPr>
      <w:bookmarkStart w:id="39" w:name="_Toc150507992"/>
      <w:r>
        <w:rPr>
          <w:rFonts w:ascii="楷体" w:eastAsia="楷体" w:hAnsi="楷体" w:hint="eastAsia"/>
          <w:b/>
          <w:color w:val="000000" w:themeColor="text1"/>
          <w:sz w:val="24"/>
          <w:szCs w:val="24"/>
        </w:rPr>
        <w:t>聚烯烃：</w:t>
      </w:r>
      <w:r w:rsidR="007B681E" w:rsidRPr="007B681E">
        <w:rPr>
          <w:rFonts w:ascii="楷体" w:eastAsia="楷体" w:hAnsi="楷体" w:hint="eastAsia"/>
          <w:b/>
          <w:color w:val="000000" w:themeColor="text1"/>
          <w:sz w:val="24"/>
          <w:szCs w:val="24"/>
        </w:rPr>
        <w:t>基本面持续偏空发展 聚烯烃维持弱势震荡</w:t>
      </w:r>
      <w:bookmarkEnd w:id="39"/>
    </w:p>
    <w:p w:rsidR="003F56A5" w:rsidRDefault="007B681E">
      <w:pPr>
        <w:ind w:leftChars="300" w:left="630"/>
        <w:rPr>
          <w:rFonts w:ascii="楷体" w:eastAsia="楷体" w:hAnsi="楷体"/>
          <w:bCs/>
          <w:sz w:val="24"/>
          <w:szCs w:val="24"/>
        </w:rPr>
      </w:pPr>
      <w:r w:rsidRPr="007B681E">
        <w:rPr>
          <w:rFonts w:ascii="楷体" w:eastAsia="楷体" w:hAnsi="楷体" w:hint="eastAsia"/>
          <w:color w:val="000000" w:themeColor="text1"/>
          <w:sz w:val="24"/>
          <w:szCs w:val="24"/>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原油市场连续走弱后稍事喘息，交易商空头回补，国际油价小幅上涨。需求方面，PE下游方面，农膜整体需求平平，工厂生产清淡。棚膜工厂多停机检修；PP下游方面，BOPP市场成交刚需有量，整体量较上一交易日增加，BOPP企业未交付订单多数在一周以内，个别可至八月中。综合来看，PE方面，短期来看，传统旺季接近尾声，需求难有进一步提升空间，国内整体供应压力仍存，成交难有放量，供需边际向偏空方向发展，预计今PE价格维持弱势震荡。PP方面，后期仍有新装置计划投产。下游行业开工率小幅向上，但场内情绪不高，工厂多随用随取，市场缺乏上行驱动力</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0" w:name="_Toc150507993"/>
      <w:r>
        <w:rPr>
          <w:rFonts w:ascii="楷体" w:eastAsia="楷体" w:hAnsi="楷体" w:hint="eastAsia"/>
          <w:b/>
          <w:color w:val="000000" w:themeColor="text1"/>
          <w:sz w:val="24"/>
          <w:szCs w:val="24"/>
        </w:rPr>
        <w:t>MEG：</w:t>
      </w:r>
      <w:r w:rsidR="00FE40D8" w:rsidRPr="00FE40D8">
        <w:rPr>
          <w:rFonts w:ascii="楷体" w:eastAsia="楷体" w:hAnsi="楷体" w:hint="eastAsia"/>
          <w:b/>
          <w:color w:val="000000" w:themeColor="text1"/>
          <w:sz w:val="24"/>
          <w:szCs w:val="24"/>
        </w:rPr>
        <w:t>11月有望去库 乙二醇震荡偏强</w:t>
      </w:r>
      <w:bookmarkEnd w:id="40"/>
    </w:p>
    <w:p w:rsidR="003F56A5" w:rsidRDefault="00FE40D8" w:rsidP="00152664">
      <w:pPr>
        <w:ind w:leftChars="300" w:left="630"/>
        <w:rPr>
          <w:rFonts w:ascii="楷体" w:eastAsia="楷体" w:hAnsi="楷体"/>
          <w:color w:val="000000" w:themeColor="text1"/>
          <w:sz w:val="24"/>
          <w:szCs w:val="24"/>
        </w:rPr>
      </w:pPr>
      <w:r w:rsidRPr="00FE40D8">
        <w:rPr>
          <w:rFonts w:ascii="楷体" w:eastAsia="楷体" w:hAnsi="楷体" w:hint="eastAsia"/>
          <w:color w:val="000000" w:themeColor="text1"/>
          <w:sz w:val="24"/>
          <w:szCs w:val="24"/>
        </w:rPr>
        <w:t>供需情况，11.06 华东主港地区MEG港口库存约126.5万吨附近，环比上期减少1.1万吨。两主流库日均发货5700-5800吨附近，江阴及常州15.6万吨，较上期持稳。另外，主流内贸中转罐统计库存在5.3万吨附近，较上期减少0.7万吨。截至11月2日，中国大陆地区乙二醇整体开工负荷在61.82%（+2.99%），其中煤制乙二醇开工负荷在64.48%（-0.21%）。</w:t>
      </w:r>
      <w:r w:rsidRPr="00FE40D8">
        <w:rPr>
          <w:rFonts w:ascii="Calibri" w:eastAsia="楷体" w:hAnsi="Calibri" w:cs="Calibri"/>
          <w:color w:val="000000" w:themeColor="text1"/>
          <w:sz w:val="24"/>
          <w:szCs w:val="24"/>
        </w:rPr>
        <w:t> </w:t>
      </w:r>
      <w:r w:rsidRPr="00FE40D8">
        <w:rPr>
          <w:rFonts w:ascii="楷体" w:eastAsia="楷体" w:hAnsi="楷体" w:hint="eastAsia"/>
          <w:color w:val="000000" w:themeColor="text1"/>
          <w:sz w:val="24"/>
          <w:szCs w:val="24"/>
        </w:rPr>
        <w:t>截至11月3日，国内大陆地区聚酯负荷在90.3%，环比高位维持。终端来看，节后江浙加弹综合开工已回升至89%（+3%），江浙织机综合开工小幅回落</w:t>
      </w:r>
      <w:r w:rsidRPr="00FE40D8">
        <w:rPr>
          <w:rFonts w:ascii="楷体" w:eastAsia="楷体" w:hAnsi="楷体" w:hint="eastAsia"/>
          <w:color w:val="000000" w:themeColor="text1"/>
          <w:sz w:val="24"/>
          <w:szCs w:val="24"/>
        </w:rPr>
        <w:lastRenderedPageBreak/>
        <w:t>至80%，江浙印染综合开工82%维持。综合来看，近期宏观预期及商品氛围整体好转，供应端收缩预期及聚酯高开工维持，11月份有望驱动去库。成本端煤价持续走强提振，乙二醇维持震荡偏强格局，4080-4250波动。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50507994"/>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7B681E" w:rsidRPr="007B681E">
        <w:rPr>
          <w:rFonts w:ascii="楷体" w:eastAsia="楷体" w:hAnsi="楷体" w:hint="eastAsia"/>
          <w:b/>
          <w:color w:val="000000" w:themeColor="text1"/>
          <w:sz w:val="24"/>
          <w:szCs w:val="24"/>
        </w:rPr>
        <w:t>厂家以价换量，期价持续反弹</w:t>
      </w:r>
      <w:bookmarkEnd w:id="41"/>
    </w:p>
    <w:p w:rsidR="00A71A7E" w:rsidRDefault="007B681E" w:rsidP="004C4CA5">
      <w:pPr>
        <w:ind w:leftChars="300" w:left="630"/>
        <w:rPr>
          <w:rFonts w:ascii="楷体" w:eastAsia="楷体" w:hAnsi="楷体"/>
          <w:color w:val="000000" w:themeColor="text1"/>
          <w:sz w:val="24"/>
          <w:szCs w:val="24"/>
        </w:rPr>
      </w:pPr>
      <w:r w:rsidRPr="007B681E">
        <w:rPr>
          <w:rFonts w:ascii="楷体" w:eastAsia="楷体" w:hAnsi="楷体" w:hint="eastAsia"/>
          <w:color w:val="000000" w:themeColor="text1"/>
          <w:sz w:val="24"/>
          <w:szCs w:val="24"/>
        </w:rPr>
        <w:t>隆众资讯11月9日报道：今日浮法玻璃现货价格2029元/吨，较上一交易日-11元/吨。截止到20231109，全国浮法玻璃样本企业总库存4128.3万重箱，环比增加1.53万重箱，环比0.04%，同比-43.4%，基本持平。周内原片厂优惠较多，主动去库，下游拿货谨慎，11月降价去库成主流趋势；供给端产量维持17.28万吨/天左右相对偏高位置，供需平衡。成本端纯碱价格下跌成本下降，宏观上保交楼+旧改+保障性住房三轮政策托底，对玻璃价格有一定支撑。盘面受煤化工反弹影响和资金月初博弈影响宽幅震荡，基本面厂家以价换量，库存由原片厂向贸易商转移，盘面维持强势</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50507995"/>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7B681E" w:rsidRPr="007B681E">
        <w:rPr>
          <w:rFonts w:ascii="楷体" w:eastAsia="楷体" w:hAnsi="楷体" w:hint="eastAsia"/>
          <w:b/>
          <w:color w:val="000000" w:themeColor="text1"/>
          <w:sz w:val="24"/>
          <w:szCs w:val="24"/>
        </w:rPr>
        <w:t>累库速度趋缓，纯碱反弹赶顶阶段</w:t>
      </w:r>
      <w:bookmarkEnd w:id="42"/>
    </w:p>
    <w:p w:rsidR="00A71A7E" w:rsidRDefault="007B681E" w:rsidP="00F51139">
      <w:pPr>
        <w:ind w:leftChars="300" w:left="630"/>
        <w:rPr>
          <w:rFonts w:ascii="楷体" w:eastAsia="楷体" w:hAnsi="楷体"/>
          <w:bCs/>
          <w:sz w:val="24"/>
          <w:szCs w:val="24"/>
        </w:rPr>
      </w:pPr>
      <w:r w:rsidRPr="007B681E">
        <w:rPr>
          <w:rFonts w:ascii="楷体" w:eastAsia="楷体" w:hAnsi="楷体" w:hint="eastAsia"/>
          <w:color w:val="000000" w:themeColor="text1"/>
          <w:sz w:val="24"/>
          <w:szCs w:val="24"/>
        </w:rPr>
        <w:t>纯碱现货价格周内继续下移。华中地区重碱报价2200元/吨，青海地区重碱报价2000元/吨。供给方面，周内纯碱产量66.43万吨，跌幅2.07%，开工率85.34%，环比-1.80个百分点，主要受青海减产影响；纯碱厂家库存53.40万吨，环比+2.09万吨，涨幅4.07%。需求上，河南个别企业提货紧张，下游采购积极性增强。进出口上，月底有进口到港，供需趋于宽松。盘面远月合约受基差和成本端煤价反弹影响表现较强，短期小作文较多，空单大幅减仓，临近变盘关口，建议观望</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5050799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50507997"/>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7B681E" w:rsidRPr="007B681E">
        <w:rPr>
          <w:rFonts w:ascii="楷体" w:eastAsia="楷体" w:hAnsi="楷体" w:hint="eastAsia"/>
          <w:b/>
          <w:sz w:val="24"/>
          <w:szCs w:val="24"/>
        </w:rPr>
        <w:t>USDA报告偏空，两粕预计承压</w:t>
      </w:r>
      <w:bookmarkEnd w:id="44"/>
    </w:p>
    <w:p w:rsidR="003F56A5" w:rsidRDefault="007B681E">
      <w:pPr>
        <w:ind w:leftChars="300" w:left="630"/>
        <w:rPr>
          <w:rFonts w:ascii="楷体" w:eastAsia="楷体" w:hAnsi="楷体"/>
          <w:sz w:val="24"/>
          <w:szCs w:val="24"/>
        </w:rPr>
      </w:pPr>
      <w:r w:rsidRPr="007B681E">
        <w:rPr>
          <w:rFonts w:ascii="楷体" w:eastAsia="楷体" w:hAnsi="楷体" w:hint="eastAsia"/>
          <w:sz w:val="24"/>
          <w:szCs w:val="24"/>
        </w:rPr>
        <w:t>隔夜CBOT大豆收跌，因在美国农业部11月供需报告中，美豆单产上调0.3蒲至49.9蒲，产量调高2500万蒲至41.29亿蒲，均高于市场预期。饭随着美豆定产后，市场定价重心将逐步转向南美，虽当前巴西部分产区天气改善，但降水分布不均，目前种植进度落后于去年同期水平，目前美农报告对南美仍维持丰产预期，但中长期南美丰产预期能否兑现仍是后续价格走势的关键。国内现货基差继续承压运行，随着价格反弹或提振下游补库需求。供应端在9-10月份大豆阶段性到港减少下，油厂大豆库存维持偏低水平，随着油厂开机恢复，豆粕产出缓增，但部分油厂存断豆停机情况，豆粕库存较前一周减少至62.29万吨，当前沿海主流油厂豆粕现货报价下调至4210-4290元/吨。10月份进口大豆到港量为516万吨，环比减27.8%，11-12月预计会增至月均950万吨的到港，但当前市场对后续到港量存在分歧，关注后续大豆是否存在延迟到港情况。需求，下游生猪养殖利润不佳，但在能繁存栏高位下，下游维持刚需补库，保持安全库存。菜粕供应存宽松预期，但当前库存较低。随着6月份后菜籽到港减少，油厂压榨也在逐步下滑，但四季度随着菜籽进口增加，菜粕供应预计转宽。而需求方面，随着水产消费旺季的结束，菜粕刚需减少，但在豆菜粕价差较大下提</w:t>
      </w:r>
      <w:r w:rsidRPr="007B681E">
        <w:rPr>
          <w:rFonts w:ascii="楷体" w:eastAsia="楷体" w:hAnsi="楷体" w:hint="eastAsia"/>
          <w:sz w:val="24"/>
          <w:szCs w:val="24"/>
        </w:rPr>
        <w:lastRenderedPageBreak/>
        <w:t>振菜粕的替代需求。策略方面，远月压力仍存，短期跟随外盘波动，建议短线操作，豆粕暂看4000支撑，菜粕波动区间2850-3100</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50507998"/>
      <w:r>
        <w:rPr>
          <w:rFonts w:ascii="楷体" w:eastAsia="楷体" w:hAnsi="楷体" w:hint="eastAsia"/>
          <w:b/>
          <w:color w:val="000000" w:themeColor="text1"/>
          <w:sz w:val="24"/>
          <w:szCs w:val="24"/>
        </w:rPr>
        <w:t>油脂：</w:t>
      </w:r>
      <w:r w:rsidR="007B681E" w:rsidRPr="007B681E">
        <w:rPr>
          <w:rFonts w:ascii="楷体" w:eastAsia="楷体" w:hAnsi="楷体" w:hint="eastAsia"/>
          <w:b/>
          <w:sz w:val="24"/>
          <w:szCs w:val="24"/>
        </w:rPr>
        <w:t>宽幅震荡，等待MPOB报告公布</w:t>
      </w:r>
      <w:bookmarkEnd w:id="45"/>
    </w:p>
    <w:p w:rsidR="003F56A5" w:rsidRDefault="007B681E" w:rsidP="00792D31">
      <w:pPr>
        <w:ind w:leftChars="300" w:left="630"/>
        <w:rPr>
          <w:rFonts w:ascii="楷体" w:eastAsia="楷体" w:hAnsi="楷体"/>
          <w:sz w:val="24"/>
          <w:szCs w:val="24"/>
        </w:rPr>
      </w:pPr>
      <w:r w:rsidRPr="007B681E">
        <w:rPr>
          <w:rFonts w:ascii="楷体" w:eastAsia="楷体" w:hAnsi="楷体" w:hint="eastAsia"/>
          <w:sz w:val="24"/>
          <w:szCs w:val="24"/>
        </w:rPr>
        <w:t>在油脂库存偏高压力下，国内供需矛盾未出现，短期尚不具备单边驱动动力。棕榈油，产地季节性增产周期下10月存继续累库预期，印尼棕榈油8月份因产需双降，库存修复不及预期。而马棕9月库存增至新高，基本符合市场预期。马棕10月出口环比增加6%-8%，而在产量延续增势下，预计10月仍将保持累库趋势；但11月产地将进入季节性减产阶段，关注厄尔尼诺对产量的影响，为中长期潜在利多因素。国内棕榈油8-9月份进口到港维持高位，在买船积极下，进口供应稳增，最新商业库存继续增加至92.27万吨。需求端，随着各地气温转凉，棕榈油逐步进入消费淡季，掺混需求预计减少。豆油库存去化仍需看需求增量。国内受9-10月大豆到港减少大豆库存偏低影响，虽油厂开机有所回升，但整体压榨水平偏低，豆油供应增量有限。需求端，终端存在一定补库需求，且四季度为豆油消费旺季，部分掺混需求预计转向豆油，但当前价格优势并不明显，限制替代需求，近期成交未见明显增量，库存维持中性偏低水平。菜油短期供应压力减轻，但四季度存供应宽松预期。当前主产地菜籽新作进入收割出口阶段，集中上市压力也抑制期价走势。虽8-9月份进口加籽到港量减少，菜籽开机及压榨水平偏低，9月菜籽进口32万吨，环比减18.9%，四季度菜籽进口预期宽松。需求方面，与豆油价差持续收窄，部分地区出现与豆油价格平水情况，或提振替代需求。短期油脂维持宽幅震荡，上行驱动预计有限，建议短线波段操作，高抛低吸；中长期关注天气及需求表现，维持谨慎看多观点，关注做多油粕比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50507999"/>
      <w:r>
        <w:rPr>
          <w:rFonts w:ascii="楷体" w:eastAsia="楷体" w:hAnsi="楷体" w:hint="eastAsia"/>
          <w:b/>
          <w:bCs/>
          <w:color w:val="000000" w:themeColor="text1"/>
        </w:rPr>
        <w:t>玉米与淀粉：</w:t>
      </w:r>
      <w:r w:rsidR="007B681E" w:rsidRPr="007B681E">
        <w:rPr>
          <w:rFonts w:ascii="楷体" w:eastAsia="楷体" w:hAnsi="楷体" w:hint="eastAsia"/>
          <w:b/>
        </w:rPr>
        <w:t>新作供应担忧再度压制期价</w:t>
      </w:r>
      <w:bookmarkEnd w:id="46"/>
    </w:p>
    <w:p w:rsidR="007B681E" w:rsidRPr="007B681E" w:rsidRDefault="007B681E" w:rsidP="007B681E">
      <w:pPr>
        <w:pStyle w:val="paragraph"/>
        <w:spacing w:before="60" w:after="60"/>
        <w:ind w:leftChars="300" w:left="630"/>
        <w:rPr>
          <w:rFonts w:ascii="楷体" w:eastAsia="楷体" w:hAnsi="楷体" w:hint="eastAsia"/>
        </w:rPr>
      </w:pPr>
      <w:r w:rsidRPr="007B681E">
        <w:rPr>
          <w:rFonts w:ascii="楷体" w:eastAsia="楷体" w:hAnsi="楷体" w:hint="eastAsia"/>
        </w:rPr>
        <w:t>对于玉米而言，基于之前的逻辑，市场更多等待新作压力的释放，11月以来东北产区中黑龙江和吉林逐步止跌回升，盘面呈现远月升水结构，或表明新作上市压力临近尾声，而中下游库存相对偏低，且国产玉米性价比在持续回落之后有显著提升，目前已优于小麦和陈稻，仅次于进口玉米，后期市场或逐步基于年度产需缺口而进入补库阶段，这有望带动现货止跌回升。综上所述，我们维持谨慎看多观点，建议谨慎投资者观望，激进投资者择机做多，或持有前期多单。</w:t>
      </w:r>
    </w:p>
    <w:p w:rsidR="003F56A5" w:rsidRDefault="007B681E" w:rsidP="007B681E">
      <w:pPr>
        <w:pStyle w:val="paragraph"/>
        <w:spacing w:before="60" w:beforeAutospacing="0" w:after="60" w:afterAutospacing="0"/>
        <w:ind w:leftChars="300" w:left="630"/>
        <w:rPr>
          <w:rFonts w:ascii="楷体" w:eastAsia="楷体" w:hAnsi="楷体"/>
        </w:rPr>
      </w:pPr>
      <w:r w:rsidRPr="007B681E">
        <w:rPr>
          <w:rFonts w:ascii="楷体" w:eastAsia="楷体" w:hAnsi="楷体" w:hint="eastAsia"/>
        </w:rPr>
        <w:t>对于淀粉而言，近期淀粉-玉米价差整体小幅走扩，主要源于行业供需端和副产品端相对利多，特别是副产品价格持续下跌影响相对较大，进入11月以来，影响淀粉-玉米价差的三个方面因素已经发生变化，原料端转向利多，供需端则有望从利多转向利空，供需端则存在较大变数。在这种情况下，我们倾向于认为淀粉-玉米价差仍有望在原料端的带动持续走扩，但受制于供需端的变化其上方空间或相对有限，除非蛋白粕带动副产品价格继续下跌。综上所述，维持谨慎看多观点，单边建议投资者择机入场做多或持有前期多单，套利方面则建议持有淀粉-玉米价差走扩套利组合，后期择机获利离场</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50508000"/>
      <w:r>
        <w:rPr>
          <w:rFonts w:ascii="楷体" w:eastAsia="楷体" w:hAnsi="楷体" w:hint="eastAsia"/>
          <w:b/>
          <w:bCs/>
          <w:color w:val="000000" w:themeColor="text1"/>
        </w:rPr>
        <w:t>畜禽养殖：</w:t>
      </w:r>
      <w:r w:rsidR="007B681E" w:rsidRPr="007B681E">
        <w:rPr>
          <w:rFonts w:ascii="楷体" w:eastAsia="楷体" w:hAnsi="楷体" w:hint="eastAsia"/>
          <w:b/>
          <w:bCs/>
          <w:color w:val="000000" w:themeColor="text1"/>
        </w:rPr>
        <w:t>现货继续拖累近月期价</w:t>
      </w:r>
      <w:bookmarkEnd w:id="47"/>
    </w:p>
    <w:p w:rsidR="007B681E" w:rsidRPr="007B681E" w:rsidRDefault="007B681E" w:rsidP="007B681E">
      <w:pPr>
        <w:pStyle w:val="paragraph"/>
        <w:spacing w:before="60" w:after="60"/>
        <w:ind w:leftChars="300" w:left="630"/>
        <w:rPr>
          <w:rFonts w:ascii="楷体" w:eastAsia="楷体" w:hAnsi="楷体" w:hint="eastAsia"/>
        </w:rPr>
      </w:pPr>
      <w:r w:rsidRPr="007B681E">
        <w:rPr>
          <w:rFonts w:ascii="楷体" w:eastAsia="楷体" w:hAnsi="楷体" w:hint="eastAsia"/>
        </w:rPr>
        <w:t>对于生猪而言，从期价表现可以看出，市场对远月供需预期趋于乐观，这主要源于产能去化有望加快，具体而言来自两个方面，其一是仔猪价格的持续下跌，其二是10月下半月局部地区非洲猪瘟疫情带来的担忧。在前期报告中我们指出，市场或更多关注现货价格波动的区间和节奏，当前节奏符合我们之前先抑后扬的判断，考虑到8月以来现货持续下跌带来供应的消化，后期现货有望出现反弹机会，这对应1月合约。而对于明年上半年合约而言，从目前数据来看，供应整体仍较为充裕，需求受季节性因素抑制，现货表现或难言乐观。综上所述，考虑到产能去化加快，市场对于远期供需预期趋于乐观存在合理性，但春节前后合约或存在结构性机会，我们维持谨慎看多观点，建议投资者关注1-3或1-5正套的交易机会，激进投资者择机轻仓买入2401合约。</w:t>
      </w:r>
    </w:p>
    <w:p w:rsidR="003F56A5" w:rsidRDefault="007B681E" w:rsidP="007B681E">
      <w:pPr>
        <w:pStyle w:val="paragraph"/>
        <w:spacing w:before="60" w:beforeAutospacing="0" w:after="60" w:afterAutospacing="0"/>
        <w:ind w:leftChars="300" w:left="630"/>
        <w:rPr>
          <w:rFonts w:ascii="楷体" w:eastAsia="楷体" w:hAnsi="楷体"/>
        </w:rPr>
      </w:pPr>
      <w:r w:rsidRPr="007B681E">
        <w:rPr>
          <w:rFonts w:ascii="楷体" w:eastAsia="楷体" w:hAnsi="楷体" w:hint="eastAsia"/>
        </w:rPr>
        <w:t>对于鸡蛋而言，10月期间期现货表现符合我们之前报告预期，自9月下半月以来鸡蛋持续季节性下跌，表现符合往年季节性规律。从供需角度看，卓创资讯数据显示，在产蛋鸡存栏连续四个月环比增加，考虑到今年节后以来蛋鸡苗销量均同比增加，而蛋鸡淘汰量持续处于历史低位水平，蛋鸡淘汰日龄则持续位于历史同期高位，由此可以看出，后期鸡蛋供需有望继续趋于改善。考虑到目前1月合约大致平水于主产区均价，且市场对春节前的需求旺季有所期待，这有望带来短期支撑，但考虑到整个动物蛋白供需过剩和鸡蛋供需趋于改善的大背景，鸡蛋期现货价格或仍有下跌空间。在这种情况下，我们维持谨慎看空观点，建议持有前期空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50508001"/>
      <w:r>
        <w:rPr>
          <w:rFonts w:ascii="楷体" w:eastAsia="楷体" w:hAnsi="楷体" w:hint="eastAsia"/>
          <w:b/>
          <w:sz w:val="24"/>
          <w:szCs w:val="24"/>
        </w:rPr>
        <w:t>郑棉：</w:t>
      </w:r>
      <w:r w:rsidR="007B681E" w:rsidRPr="007B681E">
        <w:rPr>
          <w:rFonts w:ascii="楷体" w:eastAsia="楷体" w:hAnsi="楷体" w:hint="eastAsia"/>
          <w:b/>
          <w:sz w:val="24"/>
          <w:szCs w:val="24"/>
        </w:rPr>
        <w:t>震荡整理，空单持有或观望</w:t>
      </w:r>
      <w:bookmarkEnd w:id="48"/>
    </w:p>
    <w:p w:rsidR="003F56A5" w:rsidRDefault="007B681E" w:rsidP="007B3290">
      <w:pPr>
        <w:ind w:leftChars="300" w:left="630"/>
        <w:rPr>
          <w:rFonts w:ascii="楷体" w:eastAsia="楷体" w:hAnsi="楷体"/>
          <w:sz w:val="24"/>
          <w:szCs w:val="24"/>
        </w:rPr>
      </w:pPr>
      <w:r w:rsidRPr="007B681E">
        <w:rPr>
          <w:rFonts w:ascii="楷体" w:eastAsia="楷体" w:hAnsi="楷体" w:hint="eastAsia"/>
          <w:sz w:val="24"/>
          <w:szCs w:val="24"/>
        </w:rPr>
        <w:t>美棉空头回补后大涨，但美农11月供需报告出炉，相对利空美棉，涨势受限。纺织厂和贸易商开始降价销售纱线库存，纱线价格迅速回落。三大纱线价格指数周度跌幅近500元/吨，也使即期纺织亏损程度不断扩大加深。若后续持续缺乏新单，纺织企业的开机率或进一步加速下行。产业负反馈和套保资金压制，郑棉反弹相对乏力，预计短期内郑棉01合约在1.55-1.6万区间震荡</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49" w:name="_Toc150508002"/>
      <w:r>
        <w:rPr>
          <w:rFonts w:ascii="楷体" w:eastAsia="楷体" w:hAnsi="楷体" w:hint="eastAsia"/>
          <w:b/>
          <w:sz w:val="24"/>
          <w:szCs w:val="24"/>
        </w:rPr>
        <w:t>白糖：</w:t>
      </w:r>
      <w:r w:rsidR="007B681E" w:rsidRPr="007B681E">
        <w:rPr>
          <w:rFonts w:ascii="楷体" w:eastAsia="楷体" w:hAnsi="楷体" w:hint="eastAsia"/>
          <w:b/>
          <w:sz w:val="24"/>
          <w:szCs w:val="24"/>
        </w:rPr>
        <w:t>尝试上行突破，空单暂离场观望</w:t>
      </w:r>
      <w:bookmarkEnd w:id="49"/>
    </w:p>
    <w:p w:rsidR="00296325" w:rsidRDefault="007B681E" w:rsidP="00296325">
      <w:pPr>
        <w:ind w:leftChars="300" w:left="630"/>
        <w:rPr>
          <w:rFonts w:ascii="楷体" w:eastAsia="楷体" w:hAnsi="楷体"/>
          <w:sz w:val="24"/>
          <w:szCs w:val="24"/>
        </w:rPr>
      </w:pPr>
      <w:r w:rsidRPr="007B681E">
        <w:rPr>
          <w:rFonts w:ascii="楷体" w:eastAsia="楷体" w:hAnsi="楷体" w:hint="eastAsia"/>
          <w:sz w:val="24"/>
          <w:szCs w:val="24"/>
        </w:rPr>
        <w:t>巴西食糖丰产，但巴西主要港口的拥堵使其对国际的输出受限。除巴西外，厄尔尼诺天气影响下，市场对新季白糖的供应感到担忧，ICE原糖保持强势。主要产糖大国印度的乙醇燃料计划使其甘蔗使用量大增，出口限制政策延续。泰国的产糖前景也不乐观，泰国发布限制出口政策，市场对此感到担忧。对于国内糖价来说，传闻10月交割的原糖大部分将运往中国，新榨季也已开始，供应紧张局面短期内有所缓解，现货价格较前期松动，基差收敛</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152664" w:rsidRDefault="00152664" w:rsidP="00152664">
      <w:pPr>
        <w:pBdr>
          <w:top w:val="single" w:sz="4" w:space="0" w:color="auto"/>
        </w:pBdr>
        <w:outlineLvl w:val="0"/>
        <w:rPr>
          <w:rFonts w:ascii="Times New Roman" w:eastAsia="楷体" w:hAnsi="Times New Roman"/>
          <w:b/>
          <w:color w:val="823C0B"/>
        </w:rPr>
      </w:pPr>
      <w:bookmarkStart w:id="50" w:name="_Toc150508003"/>
      <w:r>
        <w:rPr>
          <w:rFonts w:ascii="Times New Roman" w:eastAsia="楷体" w:hAnsi="Times New Roman" w:hint="eastAsia"/>
          <w:b/>
          <w:color w:val="823C0B"/>
          <w:sz w:val="30"/>
          <w:szCs w:val="30"/>
        </w:rPr>
        <w:lastRenderedPageBreak/>
        <w:t>[</w:t>
      </w:r>
      <w:r w:rsidRPr="00152664">
        <w:rPr>
          <w:rFonts w:ascii="Times New Roman" w:eastAsia="楷体" w:hAnsi="Times New Roman" w:hint="eastAsia"/>
          <w:b/>
          <w:color w:val="823C0B"/>
          <w:sz w:val="30"/>
          <w:szCs w:val="30"/>
        </w:rPr>
        <w:t>指数</w:t>
      </w:r>
      <w:r>
        <w:rPr>
          <w:rFonts w:ascii="Times New Roman" w:eastAsia="楷体" w:hAnsi="Times New Roman" w:hint="eastAsia"/>
          <w:b/>
          <w:color w:val="823C0B"/>
          <w:sz w:val="30"/>
          <w:szCs w:val="30"/>
        </w:rPr>
        <w:t>]</w:t>
      </w:r>
      <w:bookmarkEnd w:id="50"/>
    </w:p>
    <w:p w:rsidR="00152664" w:rsidRDefault="00152664" w:rsidP="00152664">
      <w:pPr>
        <w:ind w:leftChars="200" w:left="420"/>
        <w:outlineLvl w:val="1"/>
        <w:rPr>
          <w:rFonts w:ascii="Times New Roman" w:eastAsia="楷体" w:hAnsi="Times New Roman"/>
          <w:b/>
          <w:color w:val="000000" w:themeColor="text1"/>
          <w:sz w:val="24"/>
          <w:szCs w:val="24"/>
        </w:rPr>
      </w:pPr>
      <w:bookmarkStart w:id="51" w:name="_Toc150508004"/>
      <w:r w:rsidRPr="00152664">
        <w:rPr>
          <w:rFonts w:ascii="Times New Roman" w:eastAsia="楷体" w:hAnsi="Times New Roman" w:hint="eastAsia"/>
          <w:b/>
          <w:color w:val="000000" w:themeColor="text1"/>
          <w:sz w:val="24"/>
          <w:szCs w:val="24"/>
        </w:rPr>
        <w:t>集运指数（欧线）</w:t>
      </w:r>
      <w:r>
        <w:rPr>
          <w:rFonts w:ascii="Times New Roman" w:eastAsia="楷体" w:hAnsi="Times New Roman" w:hint="eastAsia"/>
          <w:b/>
          <w:color w:val="000000" w:themeColor="text1"/>
          <w:sz w:val="24"/>
          <w:szCs w:val="24"/>
        </w:rPr>
        <w:t>：</w:t>
      </w:r>
      <w:r w:rsidR="007B681E" w:rsidRPr="007B681E">
        <w:rPr>
          <w:rFonts w:ascii="Times New Roman" w:eastAsia="楷体" w:hAnsi="Times New Roman" w:hint="eastAsia"/>
          <w:b/>
          <w:color w:val="000000" w:themeColor="text1"/>
          <w:sz w:val="24"/>
          <w:szCs w:val="24"/>
        </w:rPr>
        <w:t>EC</w:t>
      </w:r>
      <w:r w:rsidR="007B681E" w:rsidRPr="007B681E">
        <w:rPr>
          <w:rFonts w:ascii="Times New Roman" w:eastAsia="楷体" w:hAnsi="Times New Roman" w:hint="eastAsia"/>
          <w:b/>
          <w:color w:val="000000" w:themeColor="text1"/>
          <w:sz w:val="24"/>
          <w:szCs w:val="24"/>
        </w:rPr>
        <w:t>合约冲高回落，关注今天</w:t>
      </w:r>
      <w:r w:rsidR="007B681E" w:rsidRPr="007B681E">
        <w:rPr>
          <w:rFonts w:ascii="Times New Roman" w:eastAsia="楷体" w:hAnsi="Times New Roman" w:hint="eastAsia"/>
          <w:b/>
          <w:color w:val="000000" w:themeColor="text1"/>
          <w:sz w:val="24"/>
          <w:szCs w:val="24"/>
        </w:rPr>
        <w:t>SCFI</w:t>
      </w:r>
      <w:r w:rsidR="007B681E" w:rsidRPr="007B681E">
        <w:rPr>
          <w:rFonts w:ascii="Times New Roman" w:eastAsia="楷体" w:hAnsi="Times New Roman" w:hint="eastAsia"/>
          <w:b/>
          <w:color w:val="000000" w:themeColor="text1"/>
          <w:sz w:val="24"/>
          <w:szCs w:val="24"/>
        </w:rPr>
        <w:t>数据公布</w:t>
      </w:r>
      <w:bookmarkEnd w:id="51"/>
    </w:p>
    <w:p w:rsidR="007B681E" w:rsidRPr="007B681E" w:rsidRDefault="007B681E" w:rsidP="007B681E">
      <w:pPr>
        <w:ind w:leftChars="300" w:left="630"/>
        <w:rPr>
          <w:rFonts w:ascii="Times New Roman" w:eastAsia="楷体" w:hAnsi="Times New Roman" w:hint="eastAsia"/>
          <w:color w:val="000000" w:themeColor="text1"/>
          <w:sz w:val="24"/>
          <w:szCs w:val="24"/>
        </w:rPr>
      </w:pPr>
      <w:r w:rsidRPr="007B681E">
        <w:rPr>
          <w:rFonts w:ascii="Times New Roman" w:eastAsia="楷体" w:hAnsi="Times New Roman" w:hint="eastAsia"/>
          <w:color w:val="000000" w:themeColor="text1"/>
          <w:sz w:val="24"/>
          <w:szCs w:val="24"/>
        </w:rPr>
        <w:t>昨日</w:t>
      </w:r>
      <w:r w:rsidRPr="007B681E">
        <w:rPr>
          <w:rFonts w:ascii="Times New Roman" w:eastAsia="楷体" w:hAnsi="Times New Roman" w:hint="eastAsia"/>
          <w:color w:val="000000" w:themeColor="text1"/>
          <w:sz w:val="24"/>
          <w:szCs w:val="24"/>
        </w:rPr>
        <w:t>EC</w:t>
      </w:r>
      <w:r w:rsidRPr="007B681E">
        <w:rPr>
          <w:rFonts w:ascii="Times New Roman" w:eastAsia="楷体" w:hAnsi="Times New Roman" w:hint="eastAsia"/>
          <w:color w:val="000000" w:themeColor="text1"/>
          <w:sz w:val="24"/>
          <w:szCs w:val="24"/>
        </w:rPr>
        <w:t>合约冲高受压回落，整体仍然呈现弱势震荡格局。供应端方面，近日船公司陆续削减航线以控制运力。即期运价方面，船公司</w:t>
      </w:r>
      <w:r w:rsidRPr="007B681E">
        <w:rPr>
          <w:rFonts w:ascii="Times New Roman" w:eastAsia="楷体" w:hAnsi="Times New Roman" w:hint="eastAsia"/>
          <w:color w:val="000000" w:themeColor="text1"/>
          <w:sz w:val="24"/>
          <w:szCs w:val="24"/>
        </w:rPr>
        <w:t>11</w:t>
      </w:r>
      <w:r w:rsidRPr="007B681E">
        <w:rPr>
          <w:rFonts w:ascii="Times New Roman" w:eastAsia="楷体" w:hAnsi="Times New Roman" w:hint="eastAsia"/>
          <w:color w:val="000000" w:themeColor="text1"/>
          <w:sz w:val="24"/>
          <w:szCs w:val="24"/>
        </w:rPr>
        <w:t>月初开始正式上调运价，但</w:t>
      </w:r>
      <w:r w:rsidRPr="007B681E">
        <w:rPr>
          <w:rFonts w:ascii="Times New Roman" w:eastAsia="楷体" w:hAnsi="Times New Roman" w:hint="eastAsia"/>
          <w:color w:val="000000" w:themeColor="text1"/>
          <w:sz w:val="24"/>
          <w:szCs w:val="24"/>
        </w:rPr>
        <w:t>6</w:t>
      </w:r>
      <w:r w:rsidRPr="007B681E">
        <w:rPr>
          <w:rFonts w:ascii="Times New Roman" w:eastAsia="楷体" w:hAnsi="Times New Roman" w:hint="eastAsia"/>
          <w:color w:val="000000" w:themeColor="text1"/>
          <w:sz w:val="24"/>
          <w:szCs w:val="24"/>
        </w:rPr>
        <w:t>日盘后公布</w:t>
      </w:r>
      <w:r w:rsidRPr="007B681E">
        <w:rPr>
          <w:rFonts w:ascii="Times New Roman" w:eastAsia="楷体" w:hAnsi="Times New Roman" w:hint="eastAsia"/>
          <w:color w:val="000000" w:themeColor="text1"/>
          <w:sz w:val="24"/>
          <w:szCs w:val="24"/>
        </w:rPr>
        <w:t>SCFIS</w:t>
      </w:r>
      <w:r w:rsidRPr="007B681E">
        <w:rPr>
          <w:rFonts w:ascii="Times New Roman" w:eastAsia="楷体" w:hAnsi="Times New Roman" w:hint="eastAsia"/>
          <w:color w:val="000000" w:themeColor="text1"/>
          <w:sz w:val="24"/>
          <w:szCs w:val="24"/>
        </w:rPr>
        <w:t>欧线，反映的是提价计划实施的第一周的运价，仅上涨</w:t>
      </w:r>
      <w:r w:rsidRPr="007B681E">
        <w:rPr>
          <w:rFonts w:ascii="Times New Roman" w:eastAsia="楷体" w:hAnsi="Times New Roman" w:hint="eastAsia"/>
          <w:color w:val="000000" w:themeColor="text1"/>
          <w:sz w:val="24"/>
          <w:szCs w:val="24"/>
        </w:rPr>
        <w:t>7.69%</w:t>
      </w:r>
      <w:r w:rsidRPr="007B681E">
        <w:rPr>
          <w:rFonts w:ascii="Times New Roman" w:eastAsia="楷体" w:hAnsi="Times New Roman" w:hint="eastAsia"/>
          <w:color w:val="000000" w:themeColor="text1"/>
          <w:sz w:val="24"/>
          <w:szCs w:val="24"/>
        </w:rPr>
        <w:t>并不如理想。外需方面，欧洲</w:t>
      </w:r>
      <w:r w:rsidRPr="007B681E">
        <w:rPr>
          <w:rFonts w:ascii="Times New Roman" w:eastAsia="楷体" w:hAnsi="Times New Roman" w:hint="eastAsia"/>
          <w:color w:val="000000" w:themeColor="text1"/>
          <w:sz w:val="24"/>
          <w:szCs w:val="24"/>
        </w:rPr>
        <w:t>10</w:t>
      </w:r>
      <w:r w:rsidRPr="007B681E">
        <w:rPr>
          <w:rFonts w:ascii="Times New Roman" w:eastAsia="楷体" w:hAnsi="Times New Roman" w:hint="eastAsia"/>
          <w:color w:val="000000" w:themeColor="text1"/>
          <w:sz w:val="24"/>
          <w:szCs w:val="24"/>
        </w:rPr>
        <w:t>月三大</w:t>
      </w:r>
      <w:r w:rsidRPr="007B681E">
        <w:rPr>
          <w:rFonts w:ascii="Times New Roman" w:eastAsia="楷体" w:hAnsi="Times New Roman" w:hint="eastAsia"/>
          <w:color w:val="000000" w:themeColor="text1"/>
          <w:sz w:val="24"/>
          <w:szCs w:val="24"/>
        </w:rPr>
        <w:t>PMI</w:t>
      </w:r>
      <w:r w:rsidRPr="007B681E">
        <w:rPr>
          <w:rFonts w:ascii="Times New Roman" w:eastAsia="楷体" w:hAnsi="Times New Roman" w:hint="eastAsia"/>
          <w:color w:val="000000" w:themeColor="text1"/>
          <w:sz w:val="24"/>
          <w:szCs w:val="24"/>
        </w:rPr>
        <w:t>指数继续处于荣枯线以下，高利率叠加低增长的环境下，欧洲经济疲软将延续，从而对需求产生抑制。</w:t>
      </w:r>
    </w:p>
    <w:p w:rsidR="00152664" w:rsidRDefault="007B681E" w:rsidP="007B681E">
      <w:pPr>
        <w:ind w:leftChars="300" w:left="630"/>
        <w:rPr>
          <w:rFonts w:ascii="Times New Roman" w:eastAsia="楷体" w:hAnsi="Times New Roman"/>
          <w:color w:val="000000" w:themeColor="text1"/>
          <w:sz w:val="24"/>
          <w:szCs w:val="24"/>
        </w:rPr>
      </w:pPr>
      <w:r w:rsidRPr="007B681E">
        <w:rPr>
          <w:rFonts w:ascii="Times New Roman" w:eastAsia="楷体" w:hAnsi="Times New Roman" w:hint="eastAsia"/>
          <w:color w:val="000000" w:themeColor="text1"/>
          <w:sz w:val="24"/>
          <w:szCs w:val="24"/>
        </w:rPr>
        <w:t>消息面兑现后，期货价格持续弱势，未来运价或回归供强需弱的中长期基本面，短期关注即期运价边际变化情况。建议操作上以区间顶部高空为主</w:t>
      </w:r>
      <w:r w:rsidR="00152664">
        <w:rPr>
          <w:rFonts w:ascii="Times New Roman" w:eastAsia="楷体" w:hAnsi="Times New Roman" w:hint="eastAsia"/>
          <w:color w:val="000000" w:themeColor="text1"/>
          <w:sz w:val="24"/>
          <w:szCs w:val="24"/>
        </w:rPr>
        <w:t>。</w:t>
      </w: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2" w:name="_Toc71212556"/>
      <w:bookmarkStart w:id="53" w:name="_Toc19667"/>
      <w:bookmarkStart w:id="54" w:name="_Toc98426751"/>
      <w:bookmarkStart w:id="55" w:name="_Toc12779"/>
      <w:bookmarkStart w:id="56" w:name="_Toc72481108"/>
      <w:r>
        <w:rPr>
          <w:rFonts w:ascii="Times New Roman" w:eastAsia="楷体" w:hAnsi="Times New Roman"/>
          <w:b/>
          <w:color w:val="411D05"/>
          <w:sz w:val="30"/>
          <w:szCs w:val="30"/>
        </w:rPr>
        <w:lastRenderedPageBreak/>
        <w:t>免责声明</w:t>
      </w:r>
      <w:bookmarkEnd w:id="52"/>
      <w:bookmarkEnd w:id="53"/>
      <w:bookmarkEnd w:id="54"/>
      <w:bookmarkEnd w:id="55"/>
      <w:bookmarkEnd w:id="56"/>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3F9" w:rsidRDefault="00B113F9">
      <w:r>
        <w:separator/>
      </w:r>
    </w:p>
  </w:endnote>
  <w:endnote w:type="continuationSeparator" w:id="0">
    <w:p w:rsidR="00B113F9" w:rsidRDefault="00B1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4C380024" wp14:editId="1B6A40B8">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7B681E">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7B681E">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3F9" w:rsidRDefault="00B113F9">
      <w:r>
        <w:separator/>
      </w:r>
    </w:p>
  </w:footnote>
  <w:footnote w:type="continuationSeparator" w:id="0">
    <w:p w:rsidR="00B113F9" w:rsidRDefault="00B113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1100F9E4" wp14:editId="6D7F6AFB">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56418BF0" wp14:editId="2BA25FC3">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7B681E">
      <w:rPr>
        <w:rFonts w:ascii="Times New Roman" w:eastAsia="楷体" w:hAnsi="Times New Roman" w:hint="eastAsia"/>
        <w:b/>
        <w:bCs/>
        <w:noProof/>
        <w:color w:val="833C0B"/>
        <w:sz w:val="21"/>
      </w:rPr>
      <w:t>2023</w:t>
    </w:r>
    <w:r w:rsidR="007B681E">
      <w:rPr>
        <w:rFonts w:ascii="Times New Roman" w:eastAsia="楷体" w:hAnsi="Times New Roman" w:hint="eastAsia"/>
        <w:b/>
        <w:bCs/>
        <w:noProof/>
        <w:color w:val="833C0B"/>
        <w:sz w:val="21"/>
      </w:rPr>
      <w:t>年</w:t>
    </w:r>
    <w:r w:rsidR="007B681E">
      <w:rPr>
        <w:rFonts w:ascii="Times New Roman" w:eastAsia="楷体" w:hAnsi="Times New Roman" w:hint="eastAsia"/>
        <w:b/>
        <w:bCs/>
        <w:noProof/>
        <w:color w:val="833C0B"/>
        <w:sz w:val="21"/>
      </w:rPr>
      <w:t>11</w:t>
    </w:r>
    <w:r w:rsidR="007B681E">
      <w:rPr>
        <w:rFonts w:ascii="Times New Roman" w:eastAsia="楷体" w:hAnsi="Times New Roman" w:hint="eastAsia"/>
        <w:b/>
        <w:bCs/>
        <w:noProof/>
        <w:color w:val="833C0B"/>
        <w:sz w:val="21"/>
      </w:rPr>
      <w:t>月</w:t>
    </w:r>
    <w:r w:rsidR="007B681E">
      <w:rPr>
        <w:rFonts w:ascii="Times New Roman" w:eastAsia="楷体" w:hAnsi="Times New Roman" w:hint="eastAsia"/>
        <w:b/>
        <w:bCs/>
        <w:noProof/>
        <w:color w:val="833C0B"/>
        <w:sz w:val="21"/>
      </w:rPr>
      <w:t>10</w:t>
    </w:r>
    <w:r w:rsidR="007B681E">
      <w:rPr>
        <w:rFonts w:ascii="Times New Roman" w:eastAsia="楷体" w:hAnsi="Times New Roman" w:hint="eastAsia"/>
        <w:b/>
        <w:bCs/>
        <w:noProof/>
        <w:color w:val="833C0B"/>
        <w:sz w:val="21"/>
      </w:rPr>
      <w:t>日星期五</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AA"/>
    <w:rsid w:val="00073CEF"/>
    <w:rsid w:val="00076420"/>
    <w:rsid w:val="000820C6"/>
    <w:rsid w:val="00093E40"/>
    <w:rsid w:val="00094BAE"/>
    <w:rsid w:val="00096258"/>
    <w:rsid w:val="000A390A"/>
    <w:rsid w:val="000A413E"/>
    <w:rsid w:val="000B0648"/>
    <w:rsid w:val="000B4E70"/>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75B7"/>
    <w:rsid w:val="00127803"/>
    <w:rsid w:val="00127FF1"/>
    <w:rsid w:val="00147668"/>
    <w:rsid w:val="00147B03"/>
    <w:rsid w:val="0015047B"/>
    <w:rsid w:val="00152664"/>
    <w:rsid w:val="001529BB"/>
    <w:rsid w:val="00155A0F"/>
    <w:rsid w:val="00156FEB"/>
    <w:rsid w:val="001579F3"/>
    <w:rsid w:val="00163984"/>
    <w:rsid w:val="00170E7B"/>
    <w:rsid w:val="00170EDF"/>
    <w:rsid w:val="001801C4"/>
    <w:rsid w:val="0018678E"/>
    <w:rsid w:val="001942CB"/>
    <w:rsid w:val="001945E9"/>
    <w:rsid w:val="001A3E49"/>
    <w:rsid w:val="001A44F9"/>
    <w:rsid w:val="001B0610"/>
    <w:rsid w:val="001B179D"/>
    <w:rsid w:val="001B1904"/>
    <w:rsid w:val="001B25C9"/>
    <w:rsid w:val="001B2D4C"/>
    <w:rsid w:val="001B6043"/>
    <w:rsid w:val="001B6394"/>
    <w:rsid w:val="001B6B7D"/>
    <w:rsid w:val="001C2E87"/>
    <w:rsid w:val="001C77D0"/>
    <w:rsid w:val="001D1F0A"/>
    <w:rsid w:val="001D40EA"/>
    <w:rsid w:val="001D4474"/>
    <w:rsid w:val="001D5419"/>
    <w:rsid w:val="001D7D0A"/>
    <w:rsid w:val="001E1A3C"/>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54F5"/>
    <w:rsid w:val="003C5F91"/>
    <w:rsid w:val="003D3A9E"/>
    <w:rsid w:val="003F2424"/>
    <w:rsid w:val="003F56A5"/>
    <w:rsid w:val="00404AFE"/>
    <w:rsid w:val="004123EF"/>
    <w:rsid w:val="0041664D"/>
    <w:rsid w:val="004177A8"/>
    <w:rsid w:val="004201F5"/>
    <w:rsid w:val="004230AC"/>
    <w:rsid w:val="00426AB5"/>
    <w:rsid w:val="00433C64"/>
    <w:rsid w:val="00440FBE"/>
    <w:rsid w:val="004427D1"/>
    <w:rsid w:val="00452F14"/>
    <w:rsid w:val="004567BD"/>
    <w:rsid w:val="00461147"/>
    <w:rsid w:val="004648E2"/>
    <w:rsid w:val="00484C53"/>
    <w:rsid w:val="00485A3F"/>
    <w:rsid w:val="00486646"/>
    <w:rsid w:val="00487F77"/>
    <w:rsid w:val="00490056"/>
    <w:rsid w:val="00491DD7"/>
    <w:rsid w:val="00495F18"/>
    <w:rsid w:val="004977A9"/>
    <w:rsid w:val="004A1926"/>
    <w:rsid w:val="004A382D"/>
    <w:rsid w:val="004A3F85"/>
    <w:rsid w:val="004A65B5"/>
    <w:rsid w:val="004A78BA"/>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45ED"/>
    <w:rsid w:val="00521683"/>
    <w:rsid w:val="00523E95"/>
    <w:rsid w:val="005245A4"/>
    <w:rsid w:val="00526949"/>
    <w:rsid w:val="00533D1C"/>
    <w:rsid w:val="00535DC9"/>
    <w:rsid w:val="005376B7"/>
    <w:rsid w:val="00540298"/>
    <w:rsid w:val="00541F3F"/>
    <w:rsid w:val="0054268F"/>
    <w:rsid w:val="00547DD7"/>
    <w:rsid w:val="00550252"/>
    <w:rsid w:val="00551A8D"/>
    <w:rsid w:val="005523A5"/>
    <w:rsid w:val="00553DEC"/>
    <w:rsid w:val="00554002"/>
    <w:rsid w:val="00572E35"/>
    <w:rsid w:val="00576234"/>
    <w:rsid w:val="005818A8"/>
    <w:rsid w:val="0058734B"/>
    <w:rsid w:val="005903F3"/>
    <w:rsid w:val="00591B89"/>
    <w:rsid w:val="005926B7"/>
    <w:rsid w:val="00593B03"/>
    <w:rsid w:val="00593F40"/>
    <w:rsid w:val="0059697A"/>
    <w:rsid w:val="005A5EEB"/>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2C65"/>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11CD"/>
    <w:rsid w:val="00717EF8"/>
    <w:rsid w:val="0072164F"/>
    <w:rsid w:val="007253E7"/>
    <w:rsid w:val="0072736C"/>
    <w:rsid w:val="007315D8"/>
    <w:rsid w:val="00740BD1"/>
    <w:rsid w:val="00743CFD"/>
    <w:rsid w:val="007664C1"/>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F18"/>
    <w:rsid w:val="007C7B84"/>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1497"/>
    <w:rsid w:val="008649BB"/>
    <w:rsid w:val="008655EA"/>
    <w:rsid w:val="00867CA5"/>
    <w:rsid w:val="00873ECE"/>
    <w:rsid w:val="008740D4"/>
    <w:rsid w:val="00874708"/>
    <w:rsid w:val="00875F9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23B5"/>
    <w:rsid w:val="0092326A"/>
    <w:rsid w:val="009260D3"/>
    <w:rsid w:val="009316EC"/>
    <w:rsid w:val="009317CD"/>
    <w:rsid w:val="00934728"/>
    <w:rsid w:val="009644D9"/>
    <w:rsid w:val="0097131C"/>
    <w:rsid w:val="00972485"/>
    <w:rsid w:val="00973185"/>
    <w:rsid w:val="00982F5B"/>
    <w:rsid w:val="009870E4"/>
    <w:rsid w:val="00992BCC"/>
    <w:rsid w:val="009A12FA"/>
    <w:rsid w:val="009A564D"/>
    <w:rsid w:val="009B0D7B"/>
    <w:rsid w:val="009B3801"/>
    <w:rsid w:val="009B534D"/>
    <w:rsid w:val="009B591A"/>
    <w:rsid w:val="009C30FE"/>
    <w:rsid w:val="009C3E56"/>
    <w:rsid w:val="009C483C"/>
    <w:rsid w:val="009D2477"/>
    <w:rsid w:val="009D4A74"/>
    <w:rsid w:val="009D5253"/>
    <w:rsid w:val="009D5D79"/>
    <w:rsid w:val="009D64FE"/>
    <w:rsid w:val="009D75BB"/>
    <w:rsid w:val="009E0994"/>
    <w:rsid w:val="009E25E0"/>
    <w:rsid w:val="009E4452"/>
    <w:rsid w:val="009E5993"/>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3C93"/>
    <w:rsid w:val="00B42124"/>
    <w:rsid w:val="00B443CE"/>
    <w:rsid w:val="00B4555A"/>
    <w:rsid w:val="00B51CAF"/>
    <w:rsid w:val="00B53C56"/>
    <w:rsid w:val="00B60464"/>
    <w:rsid w:val="00B606EF"/>
    <w:rsid w:val="00B618F8"/>
    <w:rsid w:val="00B64133"/>
    <w:rsid w:val="00B72E2D"/>
    <w:rsid w:val="00B745CB"/>
    <w:rsid w:val="00B805BD"/>
    <w:rsid w:val="00B80E26"/>
    <w:rsid w:val="00B81DA7"/>
    <w:rsid w:val="00B873E2"/>
    <w:rsid w:val="00B91D3D"/>
    <w:rsid w:val="00B94E7D"/>
    <w:rsid w:val="00B97F08"/>
    <w:rsid w:val="00BA4663"/>
    <w:rsid w:val="00BA696B"/>
    <w:rsid w:val="00BA7212"/>
    <w:rsid w:val="00BC5F45"/>
    <w:rsid w:val="00BC71D6"/>
    <w:rsid w:val="00BD4C85"/>
    <w:rsid w:val="00BE1EFD"/>
    <w:rsid w:val="00BE456E"/>
    <w:rsid w:val="00BF3137"/>
    <w:rsid w:val="00BF4417"/>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1367C"/>
    <w:rsid w:val="00D14B3E"/>
    <w:rsid w:val="00D1582A"/>
    <w:rsid w:val="00D17FB1"/>
    <w:rsid w:val="00D21BE4"/>
    <w:rsid w:val="00D25C5A"/>
    <w:rsid w:val="00D309C4"/>
    <w:rsid w:val="00D32D2F"/>
    <w:rsid w:val="00D341CA"/>
    <w:rsid w:val="00D41AF4"/>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164D"/>
    <w:rsid w:val="00DF1796"/>
    <w:rsid w:val="00DF270D"/>
    <w:rsid w:val="00DF3137"/>
    <w:rsid w:val="00DF3B28"/>
    <w:rsid w:val="00DF5606"/>
    <w:rsid w:val="00DF56EC"/>
    <w:rsid w:val="00E020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6B0E"/>
    <w:rsid w:val="00FE1B77"/>
    <w:rsid w:val="00FE40D8"/>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1633C8-1423-453C-AE6A-50BD4370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4523</TotalTime>
  <Pages>10</Pages>
  <Words>1611</Words>
  <Characters>9188</Characters>
  <Application>Microsoft Office Word</Application>
  <DocSecurity>0</DocSecurity>
  <Lines>76</Lines>
  <Paragraphs>21</Paragraphs>
  <ScaleCrop>false</ScaleCrop>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132</cp:revision>
  <cp:lastPrinted>2023-06-08T02:23:00Z</cp:lastPrinted>
  <dcterms:created xsi:type="dcterms:W3CDTF">2022-11-15T10:06:00Z</dcterms:created>
  <dcterms:modified xsi:type="dcterms:W3CDTF">2023-11-10T03:25:00Z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