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DC68BB"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DC68BB" w:rsidRPr="00A87229">
            <w:rPr>
              <w:rStyle w:val="a9"/>
              <w:noProof/>
            </w:rPr>
            <w:fldChar w:fldCharType="begin"/>
          </w:r>
          <w:r w:rsidR="00DC68BB" w:rsidRPr="00A87229">
            <w:rPr>
              <w:rStyle w:val="a9"/>
              <w:noProof/>
            </w:rPr>
            <w:instrText xml:space="preserve"> </w:instrText>
          </w:r>
          <w:r w:rsidR="00DC68BB">
            <w:rPr>
              <w:noProof/>
            </w:rPr>
            <w:instrText>HYPERLINK \l "_Toc150429538"</w:instrText>
          </w:r>
          <w:r w:rsidR="00DC68BB" w:rsidRPr="00A87229">
            <w:rPr>
              <w:rStyle w:val="a9"/>
              <w:noProof/>
            </w:rPr>
            <w:instrText xml:space="preserve"> </w:instrText>
          </w:r>
          <w:r w:rsidR="00DC68BB" w:rsidRPr="00A87229">
            <w:rPr>
              <w:rStyle w:val="a9"/>
              <w:noProof/>
            </w:rPr>
          </w:r>
          <w:r w:rsidR="00DC68BB" w:rsidRPr="00A87229">
            <w:rPr>
              <w:rStyle w:val="a9"/>
              <w:noProof/>
            </w:rPr>
            <w:fldChar w:fldCharType="separate"/>
          </w:r>
          <w:r w:rsidR="00DC68BB" w:rsidRPr="00A87229">
            <w:rPr>
              <w:rStyle w:val="a9"/>
              <w:rFonts w:ascii="Times New Roman" w:eastAsia="楷体" w:hAnsi="Times New Roman"/>
              <w:b/>
              <w:noProof/>
            </w:rPr>
            <w:t>[</w:t>
          </w:r>
          <w:r w:rsidR="00DC68BB" w:rsidRPr="00A87229">
            <w:rPr>
              <w:rStyle w:val="a9"/>
              <w:rFonts w:ascii="Times New Roman" w:eastAsia="楷体" w:hAnsi="Times New Roman"/>
              <w:b/>
              <w:noProof/>
            </w:rPr>
            <w:t>金融</w:t>
          </w:r>
          <w:r w:rsidR="00DC68BB" w:rsidRPr="00A87229">
            <w:rPr>
              <w:rStyle w:val="a9"/>
              <w:rFonts w:ascii="Times New Roman" w:eastAsia="楷体" w:hAnsi="Times New Roman"/>
              <w:b/>
              <w:noProof/>
            </w:rPr>
            <w:t>]</w:t>
          </w:r>
          <w:r w:rsidR="00DC68BB" w:rsidRPr="00A87229">
            <w:rPr>
              <w:rStyle w:val="a9"/>
              <w:noProof/>
            </w:rPr>
            <w:fldChar w:fldCharType="end"/>
          </w:r>
        </w:p>
        <w:p w:rsidR="00DC68BB" w:rsidRDefault="00DC68BB">
          <w:pPr>
            <w:pStyle w:val="23"/>
            <w:tabs>
              <w:tab w:val="right" w:leader="dot" w:pos="8296"/>
            </w:tabs>
            <w:rPr>
              <w:rFonts w:eastAsiaTheme="minorEastAsia"/>
              <w:noProof/>
              <w:szCs w:val="22"/>
            </w:rPr>
          </w:pPr>
          <w:hyperlink w:anchor="_Toc150429539" w:history="1">
            <w:r w:rsidRPr="00A87229">
              <w:rPr>
                <w:rStyle w:val="a9"/>
                <w:rFonts w:ascii="Times New Roman" w:eastAsia="楷体" w:hAnsi="Times New Roman"/>
                <w:b/>
                <w:noProof/>
              </w:rPr>
              <w:t>股指：短线有盘整需求，低吸思路为主</w:t>
            </w:r>
          </w:hyperlink>
        </w:p>
        <w:p w:rsidR="00DC68BB" w:rsidRDefault="00DC68BB">
          <w:pPr>
            <w:pStyle w:val="11"/>
            <w:tabs>
              <w:tab w:val="right" w:leader="dot" w:pos="8296"/>
            </w:tabs>
            <w:rPr>
              <w:rFonts w:eastAsiaTheme="minorEastAsia"/>
              <w:noProof/>
              <w:szCs w:val="22"/>
            </w:rPr>
          </w:pPr>
          <w:hyperlink w:anchor="_Toc150429540" w:history="1">
            <w:r w:rsidRPr="00A87229">
              <w:rPr>
                <w:rStyle w:val="a9"/>
                <w:rFonts w:ascii="Times New Roman" w:eastAsia="楷体" w:hAnsi="Times New Roman"/>
                <w:b/>
                <w:noProof/>
              </w:rPr>
              <w:t>[</w:t>
            </w:r>
            <w:r w:rsidRPr="00A87229">
              <w:rPr>
                <w:rStyle w:val="a9"/>
                <w:rFonts w:ascii="Times New Roman" w:eastAsia="楷体" w:hAnsi="Times New Roman"/>
                <w:b/>
                <w:noProof/>
              </w:rPr>
              <w:t>贵金属</w:t>
            </w:r>
            <w:r w:rsidRPr="00A87229">
              <w:rPr>
                <w:rStyle w:val="a9"/>
                <w:rFonts w:ascii="Times New Roman" w:eastAsia="楷体" w:hAnsi="Times New Roman"/>
                <w:b/>
                <w:noProof/>
              </w:rPr>
              <w:t>]</w:t>
            </w:r>
          </w:hyperlink>
        </w:p>
        <w:p w:rsidR="00DC68BB" w:rsidRDefault="00DC68BB">
          <w:pPr>
            <w:pStyle w:val="23"/>
            <w:tabs>
              <w:tab w:val="right" w:leader="dot" w:pos="8296"/>
            </w:tabs>
            <w:rPr>
              <w:rFonts w:eastAsiaTheme="minorEastAsia"/>
              <w:noProof/>
              <w:szCs w:val="22"/>
            </w:rPr>
          </w:pPr>
          <w:hyperlink w:anchor="_Toc150429541" w:history="1">
            <w:r w:rsidRPr="00A87229">
              <w:rPr>
                <w:rStyle w:val="a9"/>
                <w:rFonts w:ascii="Times New Roman" w:eastAsia="楷体" w:hAnsi="Times New Roman"/>
                <w:b/>
                <w:noProof/>
              </w:rPr>
              <w:t>贵金属：美债期限利差倒挂小幅走阔，内盘贵金属价格下跌</w:t>
            </w:r>
          </w:hyperlink>
        </w:p>
        <w:p w:rsidR="00DC68BB" w:rsidRDefault="00DC68BB">
          <w:pPr>
            <w:pStyle w:val="11"/>
            <w:tabs>
              <w:tab w:val="right" w:leader="dot" w:pos="8296"/>
            </w:tabs>
            <w:rPr>
              <w:rFonts w:eastAsiaTheme="minorEastAsia"/>
              <w:noProof/>
              <w:szCs w:val="22"/>
            </w:rPr>
          </w:pPr>
          <w:hyperlink w:anchor="_Toc150429542" w:history="1">
            <w:r w:rsidRPr="00A87229">
              <w:rPr>
                <w:rStyle w:val="a9"/>
                <w:rFonts w:ascii="Times New Roman" w:eastAsia="楷体" w:hAnsi="Times New Roman"/>
                <w:b/>
                <w:noProof/>
              </w:rPr>
              <w:t>[</w:t>
            </w:r>
            <w:r w:rsidRPr="00A87229">
              <w:rPr>
                <w:rStyle w:val="a9"/>
                <w:rFonts w:ascii="Times New Roman" w:eastAsia="楷体" w:hAnsi="Times New Roman"/>
                <w:b/>
                <w:noProof/>
              </w:rPr>
              <w:t>金属</w:t>
            </w:r>
            <w:r w:rsidRPr="00A87229">
              <w:rPr>
                <w:rStyle w:val="a9"/>
                <w:rFonts w:ascii="Times New Roman" w:eastAsia="楷体" w:hAnsi="Times New Roman"/>
                <w:b/>
                <w:noProof/>
              </w:rPr>
              <w:t>]</w:t>
            </w:r>
          </w:hyperlink>
        </w:p>
        <w:p w:rsidR="00DC68BB" w:rsidRDefault="00DC68BB">
          <w:pPr>
            <w:pStyle w:val="23"/>
            <w:tabs>
              <w:tab w:val="right" w:leader="dot" w:pos="8296"/>
            </w:tabs>
            <w:rPr>
              <w:rFonts w:eastAsiaTheme="minorEastAsia"/>
              <w:noProof/>
              <w:szCs w:val="22"/>
            </w:rPr>
          </w:pPr>
          <w:hyperlink w:anchor="_Toc150429543" w:history="1">
            <w:r w:rsidRPr="00A87229">
              <w:rPr>
                <w:rStyle w:val="a9"/>
                <w:rFonts w:ascii="楷体" w:eastAsia="楷体" w:hAnsi="楷体"/>
                <w:b/>
                <w:noProof/>
              </w:rPr>
              <w:t>碳酸锂：现货价格维持下跌，期价创新低后尾盘小幅回升</w:t>
            </w:r>
          </w:hyperlink>
        </w:p>
        <w:p w:rsidR="00DC68BB" w:rsidRDefault="00DC68BB">
          <w:pPr>
            <w:pStyle w:val="23"/>
            <w:tabs>
              <w:tab w:val="right" w:leader="dot" w:pos="8296"/>
            </w:tabs>
            <w:rPr>
              <w:rFonts w:eastAsiaTheme="minorEastAsia"/>
              <w:noProof/>
              <w:szCs w:val="22"/>
            </w:rPr>
          </w:pPr>
          <w:hyperlink w:anchor="_Toc150429544" w:history="1">
            <w:r w:rsidRPr="00A87229">
              <w:rPr>
                <w:rStyle w:val="a9"/>
                <w:rFonts w:ascii="楷体" w:eastAsia="楷体" w:hAnsi="楷体"/>
                <w:b/>
                <w:noProof/>
              </w:rPr>
              <w:t>螺纹钢：价格逼近电炉成本，关注上方压力</w:t>
            </w:r>
          </w:hyperlink>
        </w:p>
        <w:p w:rsidR="00DC68BB" w:rsidRDefault="00DC68BB">
          <w:pPr>
            <w:pStyle w:val="23"/>
            <w:tabs>
              <w:tab w:val="right" w:leader="dot" w:pos="8296"/>
            </w:tabs>
            <w:rPr>
              <w:rFonts w:eastAsiaTheme="minorEastAsia"/>
              <w:noProof/>
              <w:szCs w:val="22"/>
            </w:rPr>
          </w:pPr>
          <w:hyperlink w:anchor="_Toc150429545" w:history="1">
            <w:r w:rsidRPr="00A87229">
              <w:rPr>
                <w:rStyle w:val="a9"/>
                <w:rFonts w:ascii="楷体" w:eastAsia="楷体" w:hAnsi="楷体"/>
                <w:b/>
                <w:noProof/>
              </w:rPr>
              <w:t>焦炭：情绪推动升水，注意成材指引</w:t>
            </w:r>
          </w:hyperlink>
        </w:p>
        <w:p w:rsidR="00DC68BB" w:rsidRDefault="00DC68BB">
          <w:pPr>
            <w:pStyle w:val="23"/>
            <w:tabs>
              <w:tab w:val="right" w:leader="dot" w:pos="8296"/>
            </w:tabs>
            <w:rPr>
              <w:rFonts w:eastAsiaTheme="minorEastAsia"/>
              <w:noProof/>
              <w:szCs w:val="22"/>
            </w:rPr>
          </w:pPr>
          <w:hyperlink w:anchor="_Toc150429546" w:history="1">
            <w:r w:rsidRPr="00A87229">
              <w:rPr>
                <w:rStyle w:val="a9"/>
                <w:rFonts w:ascii="楷体" w:eastAsia="楷体" w:hAnsi="楷体"/>
                <w:b/>
                <w:noProof/>
              </w:rPr>
              <w:t>焦煤：情绪推动升水，注意成材指引</w:t>
            </w:r>
          </w:hyperlink>
        </w:p>
        <w:p w:rsidR="00DC68BB" w:rsidRDefault="00DC68BB">
          <w:pPr>
            <w:pStyle w:val="23"/>
            <w:tabs>
              <w:tab w:val="right" w:leader="dot" w:pos="8296"/>
            </w:tabs>
            <w:rPr>
              <w:rFonts w:eastAsiaTheme="minorEastAsia"/>
              <w:noProof/>
              <w:szCs w:val="22"/>
            </w:rPr>
          </w:pPr>
          <w:hyperlink w:anchor="_Toc150429547" w:history="1">
            <w:r w:rsidRPr="00A87229">
              <w:rPr>
                <w:rStyle w:val="a9"/>
                <w:rFonts w:ascii="楷体" w:eastAsia="楷体" w:hAnsi="楷体"/>
                <w:b/>
                <w:noProof/>
              </w:rPr>
              <w:t>铜：短期缺乏明显驱动，震荡整理为主</w:t>
            </w:r>
          </w:hyperlink>
        </w:p>
        <w:p w:rsidR="00DC68BB" w:rsidRDefault="00DC68BB">
          <w:pPr>
            <w:pStyle w:val="23"/>
            <w:tabs>
              <w:tab w:val="right" w:leader="dot" w:pos="8296"/>
            </w:tabs>
            <w:rPr>
              <w:rFonts w:eastAsiaTheme="minorEastAsia"/>
              <w:noProof/>
              <w:szCs w:val="22"/>
            </w:rPr>
          </w:pPr>
          <w:hyperlink w:anchor="_Toc150429548" w:history="1">
            <w:r w:rsidRPr="00A87229">
              <w:rPr>
                <w:rStyle w:val="a9"/>
                <w:rFonts w:ascii="楷体" w:eastAsia="楷体" w:hAnsi="楷体"/>
                <w:b/>
                <w:noProof/>
              </w:rPr>
              <w:t>铝：铝市供缩需减，价格震荡为主</w:t>
            </w:r>
          </w:hyperlink>
        </w:p>
        <w:p w:rsidR="00DC68BB" w:rsidRDefault="00DC68BB">
          <w:pPr>
            <w:pStyle w:val="23"/>
            <w:tabs>
              <w:tab w:val="right" w:leader="dot" w:pos="8296"/>
            </w:tabs>
            <w:rPr>
              <w:rFonts w:eastAsiaTheme="minorEastAsia"/>
              <w:noProof/>
              <w:szCs w:val="22"/>
            </w:rPr>
          </w:pPr>
          <w:hyperlink w:anchor="_Toc150429549" w:history="1">
            <w:r w:rsidRPr="00A87229">
              <w:rPr>
                <w:rStyle w:val="a9"/>
                <w:rFonts w:ascii="楷体" w:eastAsia="楷体" w:hAnsi="楷体"/>
                <w:b/>
                <w:noProof/>
              </w:rPr>
              <w:t>锌：锌价冲高但支撑驱动不足</w:t>
            </w:r>
          </w:hyperlink>
        </w:p>
        <w:p w:rsidR="00DC68BB" w:rsidRDefault="00DC68BB">
          <w:pPr>
            <w:pStyle w:val="23"/>
            <w:tabs>
              <w:tab w:val="right" w:leader="dot" w:pos="8296"/>
            </w:tabs>
            <w:rPr>
              <w:rFonts w:eastAsiaTheme="minorEastAsia"/>
              <w:noProof/>
              <w:szCs w:val="22"/>
            </w:rPr>
          </w:pPr>
          <w:hyperlink w:anchor="_Toc150429550" w:history="1">
            <w:r w:rsidRPr="00A87229">
              <w:rPr>
                <w:rStyle w:val="a9"/>
                <w:rFonts w:ascii="楷体" w:eastAsia="楷体" w:hAnsi="楷体"/>
                <w:b/>
                <w:noProof/>
              </w:rPr>
              <w:t>镍：供增需弱叠加成本松动，持续压制镍价</w:t>
            </w:r>
          </w:hyperlink>
        </w:p>
        <w:p w:rsidR="00DC68BB" w:rsidRDefault="00DC68BB">
          <w:pPr>
            <w:pStyle w:val="23"/>
            <w:tabs>
              <w:tab w:val="right" w:leader="dot" w:pos="8296"/>
            </w:tabs>
            <w:rPr>
              <w:rFonts w:eastAsiaTheme="minorEastAsia"/>
              <w:noProof/>
              <w:szCs w:val="22"/>
            </w:rPr>
          </w:pPr>
          <w:hyperlink w:anchor="_Toc150429551" w:history="1">
            <w:r w:rsidRPr="00A87229">
              <w:rPr>
                <w:rStyle w:val="a9"/>
                <w:rFonts w:ascii="楷体" w:eastAsia="楷体" w:hAnsi="楷体"/>
                <w:b/>
                <w:noProof/>
              </w:rPr>
              <w:t>铅：铝价上方压力仍存</w:t>
            </w:r>
          </w:hyperlink>
        </w:p>
        <w:p w:rsidR="00DC68BB" w:rsidRDefault="00DC68BB">
          <w:pPr>
            <w:pStyle w:val="23"/>
            <w:tabs>
              <w:tab w:val="right" w:leader="dot" w:pos="8296"/>
            </w:tabs>
            <w:rPr>
              <w:rFonts w:eastAsiaTheme="minorEastAsia"/>
              <w:noProof/>
              <w:szCs w:val="22"/>
            </w:rPr>
          </w:pPr>
          <w:hyperlink w:anchor="_Toc150429552" w:history="1">
            <w:r w:rsidRPr="00A87229">
              <w:rPr>
                <w:rStyle w:val="a9"/>
                <w:rFonts w:ascii="楷体" w:eastAsia="楷体" w:hAnsi="楷体"/>
                <w:b/>
                <w:noProof/>
              </w:rPr>
              <w:t>不锈钢：成本难企稳，暂无明显反弹动能</w:t>
            </w:r>
          </w:hyperlink>
        </w:p>
        <w:p w:rsidR="00DC68BB" w:rsidRDefault="00DC68BB">
          <w:pPr>
            <w:pStyle w:val="23"/>
            <w:tabs>
              <w:tab w:val="right" w:leader="dot" w:pos="8296"/>
            </w:tabs>
            <w:rPr>
              <w:rFonts w:eastAsiaTheme="minorEastAsia"/>
              <w:noProof/>
              <w:szCs w:val="22"/>
            </w:rPr>
          </w:pPr>
          <w:hyperlink w:anchor="_Toc150429553" w:history="1">
            <w:r w:rsidRPr="00A87229">
              <w:rPr>
                <w:rStyle w:val="a9"/>
                <w:rFonts w:ascii="楷体" w:eastAsia="楷体" w:hAnsi="楷体"/>
                <w:b/>
                <w:noProof/>
              </w:rPr>
              <w:t>工业硅：暂无明显单边驱动，盘面或震荡为主</w:t>
            </w:r>
          </w:hyperlink>
        </w:p>
        <w:p w:rsidR="00DC68BB" w:rsidRDefault="00DC68BB">
          <w:pPr>
            <w:pStyle w:val="11"/>
            <w:tabs>
              <w:tab w:val="right" w:leader="dot" w:pos="8296"/>
            </w:tabs>
            <w:rPr>
              <w:rFonts w:eastAsiaTheme="minorEastAsia"/>
              <w:noProof/>
              <w:szCs w:val="22"/>
            </w:rPr>
          </w:pPr>
          <w:hyperlink w:anchor="_Toc150429554" w:history="1">
            <w:r w:rsidRPr="00A87229">
              <w:rPr>
                <w:rStyle w:val="a9"/>
                <w:rFonts w:ascii="Times New Roman" w:eastAsia="楷体" w:hAnsi="Times New Roman"/>
                <w:b/>
                <w:noProof/>
              </w:rPr>
              <w:t>[</w:t>
            </w:r>
            <w:r w:rsidRPr="00A87229">
              <w:rPr>
                <w:rStyle w:val="a9"/>
                <w:rFonts w:ascii="Times New Roman" w:eastAsia="楷体" w:hAnsi="Times New Roman"/>
                <w:b/>
                <w:noProof/>
              </w:rPr>
              <w:t>化工</w:t>
            </w:r>
            <w:r w:rsidRPr="00A87229">
              <w:rPr>
                <w:rStyle w:val="a9"/>
                <w:rFonts w:ascii="Times New Roman" w:eastAsia="楷体" w:hAnsi="Times New Roman"/>
                <w:b/>
                <w:noProof/>
              </w:rPr>
              <w:t>]</w:t>
            </w:r>
          </w:hyperlink>
        </w:p>
        <w:p w:rsidR="00DC68BB" w:rsidRDefault="00DC68BB">
          <w:pPr>
            <w:pStyle w:val="23"/>
            <w:tabs>
              <w:tab w:val="right" w:leader="dot" w:pos="8296"/>
            </w:tabs>
            <w:rPr>
              <w:rFonts w:eastAsiaTheme="minorEastAsia"/>
              <w:noProof/>
              <w:szCs w:val="22"/>
            </w:rPr>
          </w:pPr>
          <w:hyperlink w:anchor="_Toc150429555" w:history="1">
            <w:r w:rsidRPr="00A87229">
              <w:rPr>
                <w:rStyle w:val="a9"/>
                <w:rFonts w:ascii="Times New Roman" w:eastAsia="楷体" w:hAnsi="Times New Roman"/>
                <w:b/>
                <w:noProof/>
              </w:rPr>
              <w:t>天然橡胶</w:t>
            </w:r>
            <w:r w:rsidRPr="00A87229">
              <w:rPr>
                <w:rStyle w:val="a9"/>
                <w:rFonts w:ascii="Times New Roman" w:eastAsia="楷体" w:hAnsi="Times New Roman"/>
                <w:b/>
                <w:noProof/>
              </w:rPr>
              <w:t>:</w:t>
            </w:r>
            <w:r w:rsidRPr="00A87229">
              <w:rPr>
                <w:rStyle w:val="a9"/>
                <w:rFonts w:ascii="楷体" w:eastAsia="楷体" w:hAnsi="楷体"/>
                <w:b/>
                <w:noProof/>
              </w:rPr>
              <w:t xml:space="preserve"> 天胶边际供应压力增加，或震荡整理为主</w:t>
            </w:r>
          </w:hyperlink>
        </w:p>
        <w:p w:rsidR="00DC68BB" w:rsidRDefault="00DC68BB">
          <w:pPr>
            <w:pStyle w:val="23"/>
            <w:tabs>
              <w:tab w:val="right" w:leader="dot" w:pos="8296"/>
            </w:tabs>
            <w:rPr>
              <w:rFonts w:eastAsiaTheme="minorEastAsia"/>
              <w:noProof/>
              <w:szCs w:val="22"/>
            </w:rPr>
          </w:pPr>
          <w:hyperlink w:anchor="_Toc150429556" w:history="1">
            <w:r w:rsidRPr="00A87229">
              <w:rPr>
                <w:rStyle w:val="a9"/>
                <w:rFonts w:ascii="楷体" w:eastAsia="楷体" w:hAnsi="楷体"/>
                <w:b/>
                <w:noProof/>
              </w:rPr>
              <w:t>PTA：</w:t>
            </w:r>
            <w:r w:rsidRPr="00A87229">
              <w:rPr>
                <w:rStyle w:val="a9"/>
                <w:rFonts w:ascii="Calibri" w:eastAsia="楷体" w:hAnsi="Calibri" w:cs="Calibri"/>
                <w:b/>
                <w:noProof/>
              </w:rPr>
              <w:t>供应偏宽松预期</w:t>
            </w:r>
            <w:r w:rsidRPr="00A87229">
              <w:rPr>
                <w:rStyle w:val="a9"/>
                <w:rFonts w:ascii="Calibri" w:eastAsia="楷体" w:hAnsi="Calibri" w:cs="Calibri"/>
                <w:b/>
                <w:noProof/>
              </w:rPr>
              <w:t xml:space="preserve">  </w:t>
            </w:r>
            <w:r w:rsidRPr="00A87229">
              <w:rPr>
                <w:rStyle w:val="a9"/>
                <w:rFonts w:ascii="Calibri" w:eastAsia="楷体" w:hAnsi="Calibri" w:cs="Calibri"/>
                <w:b/>
                <w:noProof/>
              </w:rPr>
              <w:t>关注上方压力位</w:t>
            </w:r>
          </w:hyperlink>
        </w:p>
        <w:p w:rsidR="00DC68BB" w:rsidRDefault="00DC68BB">
          <w:pPr>
            <w:pStyle w:val="23"/>
            <w:tabs>
              <w:tab w:val="right" w:leader="dot" w:pos="8296"/>
            </w:tabs>
            <w:rPr>
              <w:rFonts w:eastAsiaTheme="minorEastAsia"/>
              <w:noProof/>
              <w:szCs w:val="22"/>
            </w:rPr>
          </w:pPr>
          <w:hyperlink w:anchor="_Toc150429557" w:history="1">
            <w:r w:rsidRPr="00A87229">
              <w:rPr>
                <w:rStyle w:val="a9"/>
                <w:rFonts w:ascii="楷体" w:eastAsia="楷体" w:hAnsi="楷体"/>
                <w:b/>
                <w:noProof/>
              </w:rPr>
              <w:t>聚烯烃：基本面持续偏空发展 聚烯烃维持弱势震荡</w:t>
            </w:r>
          </w:hyperlink>
        </w:p>
        <w:p w:rsidR="00DC68BB" w:rsidRDefault="00DC68BB">
          <w:pPr>
            <w:pStyle w:val="23"/>
            <w:tabs>
              <w:tab w:val="right" w:leader="dot" w:pos="8296"/>
            </w:tabs>
            <w:rPr>
              <w:rFonts w:eastAsiaTheme="minorEastAsia"/>
              <w:noProof/>
              <w:szCs w:val="22"/>
            </w:rPr>
          </w:pPr>
          <w:hyperlink w:anchor="_Toc150429558" w:history="1">
            <w:r w:rsidRPr="00A87229">
              <w:rPr>
                <w:rStyle w:val="a9"/>
                <w:rFonts w:ascii="楷体" w:eastAsia="楷体" w:hAnsi="楷体"/>
                <w:b/>
                <w:noProof/>
              </w:rPr>
              <w:t>MEG：11月有望去库 乙二醇震荡偏强</w:t>
            </w:r>
          </w:hyperlink>
        </w:p>
        <w:p w:rsidR="00DC68BB" w:rsidRDefault="00DC68BB">
          <w:pPr>
            <w:pStyle w:val="23"/>
            <w:tabs>
              <w:tab w:val="right" w:leader="dot" w:pos="8296"/>
            </w:tabs>
            <w:rPr>
              <w:rFonts w:eastAsiaTheme="minorEastAsia"/>
              <w:noProof/>
              <w:szCs w:val="22"/>
            </w:rPr>
          </w:pPr>
          <w:hyperlink w:anchor="_Toc150429559" w:history="1">
            <w:r w:rsidRPr="00A87229">
              <w:rPr>
                <w:rStyle w:val="a9"/>
                <w:rFonts w:ascii="楷体" w:eastAsia="楷体" w:hAnsi="楷体"/>
                <w:b/>
                <w:noProof/>
              </w:rPr>
              <w:t>玻璃：强预期弱现实，期价高位震荡</w:t>
            </w:r>
          </w:hyperlink>
        </w:p>
        <w:p w:rsidR="00DC68BB" w:rsidRDefault="00DC68BB">
          <w:pPr>
            <w:pStyle w:val="23"/>
            <w:tabs>
              <w:tab w:val="right" w:leader="dot" w:pos="8296"/>
            </w:tabs>
            <w:rPr>
              <w:rFonts w:eastAsiaTheme="minorEastAsia"/>
              <w:noProof/>
              <w:szCs w:val="22"/>
            </w:rPr>
          </w:pPr>
          <w:hyperlink w:anchor="_Toc150429560" w:history="1">
            <w:r w:rsidRPr="00A87229">
              <w:rPr>
                <w:rStyle w:val="a9"/>
                <w:rFonts w:ascii="楷体" w:eastAsia="楷体" w:hAnsi="楷体"/>
                <w:b/>
                <w:noProof/>
              </w:rPr>
              <w:t>纯碱：成本端煤价反弹，纯碱反弹暂未结束</w:t>
            </w:r>
          </w:hyperlink>
        </w:p>
        <w:p w:rsidR="00DC68BB" w:rsidRDefault="00DC68BB">
          <w:pPr>
            <w:pStyle w:val="11"/>
            <w:tabs>
              <w:tab w:val="right" w:leader="dot" w:pos="8296"/>
            </w:tabs>
            <w:rPr>
              <w:rFonts w:eastAsiaTheme="minorEastAsia"/>
              <w:noProof/>
              <w:szCs w:val="22"/>
            </w:rPr>
          </w:pPr>
          <w:hyperlink w:anchor="_Toc150429561" w:history="1">
            <w:r w:rsidRPr="00A87229">
              <w:rPr>
                <w:rStyle w:val="a9"/>
                <w:rFonts w:ascii="Times New Roman" w:eastAsia="楷体" w:hAnsi="Times New Roman"/>
                <w:b/>
                <w:noProof/>
              </w:rPr>
              <w:t>[</w:t>
            </w:r>
            <w:r w:rsidRPr="00A87229">
              <w:rPr>
                <w:rStyle w:val="a9"/>
                <w:rFonts w:ascii="Times New Roman" w:eastAsia="楷体" w:hAnsi="Times New Roman"/>
                <w:b/>
                <w:noProof/>
              </w:rPr>
              <w:t>农产品</w:t>
            </w:r>
            <w:r w:rsidRPr="00A87229">
              <w:rPr>
                <w:rStyle w:val="a9"/>
                <w:rFonts w:ascii="Times New Roman" w:eastAsia="楷体" w:hAnsi="Times New Roman"/>
                <w:b/>
                <w:noProof/>
              </w:rPr>
              <w:t>]</w:t>
            </w:r>
          </w:hyperlink>
        </w:p>
        <w:p w:rsidR="00DC68BB" w:rsidRDefault="00DC68BB">
          <w:pPr>
            <w:pStyle w:val="23"/>
            <w:tabs>
              <w:tab w:val="right" w:leader="dot" w:pos="8296"/>
            </w:tabs>
            <w:rPr>
              <w:rFonts w:eastAsiaTheme="minorEastAsia"/>
              <w:noProof/>
              <w:szCs w:val="22"/>
            </w:rPr>
          </w:pPr>
          <w:hyperlink w:anchor="_Toc150429562" w:history="1">
            <w:r w:rsidRPr="00A87229">
              <w:rPr>
                <w:rStyle w:val="a9"/>
                <w:rFonts w:ascii="楷体" w:eastAsia="楷体" w:hAnsi="楷体"/>
                <w:b/>
                <w:noProof/>
              </w:rPr>
              <w:t>豆粕/菜粕：南美天气升水支撑，期价偏强震荡</w:t>
            </w:r>
          </w:hyperlink>
        </w:p>
        <w:p w:rsidR="00DC68BB" w:rsidRDefault="00DC68BB">
          <w:pPr>
            <w:pStyle w:val="23"/>
            <w:tabs>
              <w:tab w:val="right" w:leader="dot" w:pos="8296"/>
            </w:tabs>
            <w:rPr>
              <w:rFonts w:eastAsiaTheme="minorEastAsia"/>
              <w:noProof/>
              <w:szCs w:val="22"/>
            </w:rPr>
          </w:pPr>
          <w:hyperlink w:anchor="_Toc150429563" w:history="1">
            <w:r w:rsidRPr="00A87229">
              <w:rPr>
                <w:rStyle w:val="a9"/>
                <w:rFonts w:ascii="楷体" w:eastAsia="楷体" w:hAnsi="楷体"/>
                <w:b/>
                <w:noProof/>
              </w:rPr>
              <w:t>油脂：宽幅震荡，等待本周报告公布</w:t>
            </w:r>
          </w:hyperlink>
        </w:p>
        <w:p w:rsidR="00DC68BB" w:rsidRDefault="00DC68BB">
          <w:pPr>
            <w:pStyle w:val="23"/>
            <w:tabs>
              <w:tab w:val="right" w:leader="dot" w:pos="8296"/>
            </w:tabs>
            <w:rPr>
              <w:rFonts w:eastAsiaTheme="minorEastAsia"/>
              <w:noProof/>
              <w:szCs w:val="22"/>
            </w:rPr>
          </w:pPr>
          <w:hyperlink w:anchor="_Toc150429564" w:history="1">
            <w:r w:rsidRPr="00A87229">
              <w:rPr>
                <w:rStyle w:val="a9"/>
                <w:rFonts w:ascii="楷体" w:eastAsia="楷体" w:hAnsi="楷体"/>
                <w:b/>
                <w:bCs/>
                <w:noProof/>
              </w:rPr>
              <w:t>玉米与淀粉：</w:t>
            </w:r>
            <w:r w:rsidRPr="00A87229">
              <w:rPr>
                <w:rStyle w:val="a9"/>
                <w:rFonts w:ascii="楷体" w:eastAsia="楷体" w:hAnsi="楷体"/>
                <w:b/>
                <w:noProof/>
              </w:rPr>
              <w:t>期价偏强震荡</w:t>
            </w:r>
          </w:hyperlink>
        </w:p>
        <w:p w:rsidR="00DC68BB" w:rsidRDefault="00DC68BB">
          <w:pPr>
            <w:pStyle w:val="23"/>
            <w:tabs>
              <w:tab w:val="right" w:leader="dot" w:pos="8296"/>
            </w:tabs>
            <w:rPr>
              <w:rFonts w:eastAsiaTheme="minorEastAsia"/>
              <w:noProof/>
              <w:szCs w:val="22"/>
            </w:rPr>
          </w:pPr>
          <w:hyperlink w:anchor="_Toc150429565" w:history="1">
            <w:r w:rsidRPr="00A87229">
              <w:rPr>
                <w:rStyle w:val="a9"/>
                <w:rFonts w:ascii="楷体" w:eastAsia="楷体" w:hAnsi="楷体"/>
                <w:b/>
                <w:bCs/>
                <w:noProof/>
              </w:rPr>
              <w:t>畜禽养殖：现货带动近月期价延续弱势</w:t>
            </w:r>
          </w:hyperlink>
        </w:p>
        <w:p w:rsidR="00DC68BB" w:rsidRDefault="00DC68BB">
          <w:pPr>
            <w:pStyle w:val="23"/>
            <w:tabs>
              <w:tab w:val="right" w:leader="dot" w:pos="8296"/>
            </w:tabs>
            <w:rPr>
              <w:rFonts w:eastAsiaTheme="minorEastAsia"/>
              <w:noProof/>
              <w:szCs w:val="22"/>
            </w:rPr>
          </w:pPr>
          <w:hyperlink w:anchor="_Toc150429566" w:history="1">
            <w:r w:rsidRPr="00A87229">
              <w:rPr>
                <w:rStyle w:val="a9"/>
                <w:rFonts w:ascii="楷体" w:eastAsia="楷体" w:hAnsi="楷体"/>
                <w:b/>
                <w:noProof/>
              </w:rPr>
              <w:t>郑棉：偏弱震荡，空单持有或观望</w:t>
            </w:r>
          </w:hyperlink>
        </w:p>
        <w:p w:rsidR="00DC68BB" w:rsidRDefault="00DC68BB">
          <w:pPr>
            <w:pStyle w:val="23"/>
            <w:tabs>
              <w:tab w:val="right" w:leader="dot" w:pos="8296"/>
            </w:tabs>
            <w:rPr>
              <w:rFonts w:eastAsiaTheme="minorEastAsia"/>
              <w:noProof/>
              <w:szCs w:val="22"/>
            </w:rPr>
          </w:pPr>
          <w:hyperlink w:anchor="_Toc150429567" w:history="1">
            <w:r w:rsidRPr="00A87229">
              <w:rPr>
                <w:rStyle w:val="a9"/>
                <w:rFonts w:ascii="楷体" w:eastAsia="楷体" w:hAnsi="楷体"/>
                <w:b/>
                <w:noProof/>
              </w:rPr>
              <w:t>白糖：区间震荡，6950附近逢高建立空单</w:t>
            </w:r>
          </w:hyperlink>
        </w:p>
        <w:p w:rsidR="00DC68BB" w:rsidRDefault="00DC68BB">
          <w:pPr>
            <w:pStyle w:val="11"/>
            <w:tabs>
              <w:tab w:val="right" w:leader="dot" w:pos="8296"/>
            </w:tabs>
            <w:rPr>
              <w:rFonts w:eastAsiaTheme="minorEastAsia"/>
              <w:noProof/>
              <w:szCs w:val="22"/>
            </w:rPr>
          </w:pPr>
          <w:hyperlink w:anchor="_Toc150429568" w:history="1">
            <w:r w:rsidRPr="00A87229">
              <w:rPr>
                <w:rStyle w:val="a9"/>
                <w:rFonts w:ascii="Times New Roman" w:eastAsia="楷体" w:hAnsi="Times New Roman"/>
                <w:b/>
                <w:noProof/>
              </w:rPr>
              <w:t>[</w:t>
            </w:r>
            <w:r w:rsidRPr="00A87229">
              <w:rPr>
                <w:rStyle w:val="a9"/>
                <w:rFonts w:ascii="Times New Roman" w:eastAsia="楷体" w:hAnsi="Times New Roman"/>
                <w:b/>
                <w:noProof/>
              </w:rPr>
              <w:t>指数</w:t>
            </w:r>
            <w:r w:rsidRPr="00A87229">
              <w:rPr>
                <w:rStyle w:val="a9"/>
                <w:rFonts w:ascii="Times New Roman" w:eastAsia="楷体" w:hAnsi="Times New Roman"/>
                <w:b/>
                <w:noProof/>
              </w:rPr>
              <w:t>]</w:t>
            </w:r>
          </w:hyperlink>
        </w:p>
        <w:p w:rsidR="00DC68BB" w:rsidRDefault="00DC68BB">
          <w:pPr>
            <w:pStyle w:val="23"/>
            <w:tabs>
              <w:tab w:val="right" w:leader="dot" w:pos="8296"/>
            </w:tabs>
            <w:rPr>
              <w:rFonts w:eastAsiaTheme="minorEastAsia"/>
              <w:noProof/>
              <w:szCs w:val="22"/>
            </w:rPr>
          </w:pPr>
          <w:hyperlink w:anchor="_Toc150429569" w:history="1">
            <w:r w:rsidRPr="00A87229">
              <w:rPr>
                <w:rStyle w:val="a9"/>
                <w:rFonts w:ascii="Times New Roman" w:eastAsia="楷体" w:hAnsi="Times New Roman"/>
                <w:b/>
                <w:noProof/>
              </w:rPr>
              <w:t>集运指数（欧线）：挺价计划兑现，期市维持弱势震荡</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5042953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50429539"/>
      <w:bookmarkEnd w:id="4"/>
      <w:r>
        <w:rPr>
          <w:rFonts w:ascii="Times New Roman" w:eastAsia="楷体" w:hAnsi="Times New Roman" w:hint="eastAsia"/>
          <w:b/>
          <w:color w:val="000000" w:themeColor="text1"/>
          <w:sz w:val="24"/>
          <w:szCs w:val="24"/>
        </w:rPr>
        <w:t>股指：</w:t>
      </w:r>
      <w:bookmarkEnd w:id="6"/>
      <w:bookmarkEnd w:id="7"/>
      <w:r w:rsidR="005D0D16" w:rsidRPr="005D0D16">
        <w:rPr>
          <w:rFonts w:ascii="Times New Roman" w:eastAsia="楷体" w:hAnsi="Times New Roman" w:hint="eastAsia"/>
          <w:b/>
          <w:color w:val="000000" w:themeColor="text1"/>
          <w:sz w:val="24"/>
          <w:szCs w:val="24"/>
        </w:rPr>
        <w:t>短线有盘整需求，低吸思路为主</w:t>
      </w:r>
      <w:bookmarkEnd w:id="8"/>
    </w:p>
    <w:p w:rsidR="003F56A5" w:rsidRDefault="005D0D16" w:rsidP="00CF42F6">
      <w:pPr>
        <w:ind w:leftChars="300" w:left="630"/>
        <w:rPr>
          <w:rFonts w:ascii="Times New Roman" w:eastAsia="楷体" w:hAnsi="Times New Roman"/>
          <w:color w:val="000000" w:themeColor="text1"/>
          <w:sz w:val="24"/>
          <w:szCs w:val="24"/>
        </w:rPr>
      </w:pPr>
      <w:r w:rsidRPr="005D0D16">
        <w:rPr>
          <w:rFonts w:ascii="Times New Roman" w:eastAsia="楷体" w:hAnsi="Times New Roman" w:hint="eastAsia"/>
          <w:color w:val="000000" w:themeColor="text1"/>
          <w:sz w:val="24"/>
          <w:szCs w:val="24"/>
        </w:rPr>
        <w:t>昨日盘后，沪深交易所出台再融资新规，再融资阶段性收紧，有助于促进投融资两端的动态平衡，提振投资者信心。技术上，大盘</w:t>
      </w:r>
      <w:r w:rsidRPr="005D0D16">
        <w:rPr>
          <w:rFonts w:ascii="Times New Roman" w:eastAsia="楷体" w:hAnsi="Times New Roman" w:hint="eastAsia"/>
          <w:color w:val="000000" w:themeColor="text1"/>
          <w:sz w:val="24"/>
          <w:szCs w:val="24"/>
        </w:rPr>
        <w:t>3053</w:t>
      </w:r>
      <w:r w:rsidRPr="005D0D16">
        <w:rPr>
          <w:rFonts w:ascii="Times New Roman" w:eastAsia="楷体" w:hAnsi="Times New Roman" w:hint="eastAsia"/>
          <w:color w:val="000000" w:themeColor="text1"/>
          <w:sz w:val="24"/>
          <w:szCs w:val="24"/>
        </w:rPr>
        <w:t>点上方平台压力较为明显，短期内突破需增量资金配合，但</w:t>
      </w:r>
      <w:r w:rsidRPr="005D0D16">
        <w:rPr>
          <w:rFonts w:ascii="Times New Roman" w:eastAsia="楷体" w:hAnsi="Times New Roman" w:hint="eastAsia"/>
          <w:color w:val="000000" w:themeColor="text1"/>
          <w:sz w:val="24"/>
          <w:szCs w:val="24"/>
        </w:rPr>
        <w:t>A</w:t>
      </w:r>
      <w:r w:rsidRPr="005D0D16">
        <w:rPr>
          <w:rFonts w:ascii="Times New Roman" w:eastAsia="楷体" w:hAnsi="Times New Roman" w:hint="eastAsia"/>
          <w:color w:val="000000" w:themeColor="text1"/>
          <w:sz w:val="24"/>
          <w:szCs w:val="24"/>
        </w:rPr>
        <w:t>股市场先行指标保持强势，科创</w:t>
      </w:r>
      <w:r w:rsidRPr="005D0D16">
        <w:rPr>
          <w:rFonts w:ascii="Times New Roman" w:eastAsia="楷体" w:hAnsi="Times New Roman" w:hint="eastAsia"/>
          <w:color w:val="000000" w:themeColor="text1"/>
          <w:sz w:val="24"/>
          <w:szCs w:val="24"/>
        </w:rPr>
        <w:t>100</w:t>
      </w:r>
      <w:r w:rsidRPr="005D0D16">
        <w:rPr>
          <w:rFonts w:ascii="Times New Roman" w:eastAsia="楷体" w:hAnsi="Times New Roman" w:hint="eastAsia"/>
          <w:color w:val="000000" w:themeColor="text1"/>
          <w:sz w:val="24"/>
          <w:szCs w:val="24"/>
        </w:rPr>
        <w:t>、国证</w:t>
      </w:r>
      <w:r w:rsidRPr="005D0D16">
        <w:rPr>
          <w:rFonts w:ascii="Times New Roman" w:eastAsia="楷体" w:hAnsi="Times New Roman" w:hint="eastAsia"/>
          <w:color w:val="000000" w:themeColor="text1"/>
          <w:sz w:val="24"/>
          <w:szCs w:val="24"/>
        </w:rPr>
        <w:t>2000</w:t>
      </w:r>
      <w:r w:rsidRPr="005D0D16">
        <w:rPr>
          <w:rFonts w:ascii="Times New Roman" w:eastAsia="楷体" w:hAnsi="Times New Roman" w:hint="eastAsia"/>
          <w:color w:val="000000" w:themeColor="text1"/>
          <w:sz w:val="24"/>
          <w:szCs w:val="24"/>
        </w:rPr>
        <w:t>已收复</w:t>
      </w:r>
      <w:r w:rsidRPr="005D0D16">
        <w:rPr>
          <w:rFonts w:ascii="Times New Roman" w:eastAsia="楷体" w:hAnsi="Times New Roman" w:hint="eastAsia"/>
          <w:color w:val="000000" w:themeColor="text1"/>
          <w:sz w:val="24"/>
          <w:szCs w:val="24"/>
        </w:rPr>
        <w:t>8</w:t>
      </w:r>
      <w:r w:rsidRPr="005D0D16">
        <w:rPr>
          <w:rFonts w:ascii="Times New Roman" w:eastAsia="楷体" w:hAnsi="Times New Roman" w:hint="eastAsia"/>
          <w:color w:val="000000" w:themeColor="text1"/>
          <w:sz w:val="24"/>
          <w:szCs w:val="24"/>
        </w:rPr>
        <w:t>月</w:t>
      </w:r>
      <w:r w:rsidRPr="005D0D16">
        <w:rPr>
          <w:rFonts w:ascii="Times New Roman" w:eastAsia="楷体" w:hAnsi="Times New Roman" w:hint="eastAsia"/>
          <w:color w:val="000000" w:themeColor="text1"/>
          <w:sz w:val="24"/>
          <w:szCs w:val="24"/>
        </w:rPr>
        <w:t>28</w:t>
      </w:r>
      <w:r w:rsidRPr="005D0D16">
        <w:rPr>
          <w:rFonts w:ascii="Times New Roman" w:eastAsia="楷体" w:hAnsi="Times New Roman" w:hint="eastAsia"/>
          <w:color w:val="000000" w:themeColor="text1"/>
          <w:sz w:val="24"/>
          <w:szCs w:val="24"/>
        </w:rPr>
        <w:t>日高点并向上挺进，中证</w:t>
      </w:r>
      <w:r w:rsidRPr="005D0D16">
        <w:rPr>
          <w:rFonts w:ascii="Times New Roman" w:eastAsia="楷体" w:hAnsi="Times New Roman" w:hint="eastAsia"/>
          <w:color w:val="000000" w:themeColor="text1"/>
          <w:sz w:val="24"/>
          <w:szCs w:val="24"/>
        </w:rPr>
        <w:t>1000</w:t>
      </w:r>
      <w:r w:rsidRPr="005D0D16">
        <w:rPr>
          <w:rFonts w:ascii="Times New Roman" w:eastAsia="楷体" w:hAnsi="Times New Roman" w:hint="eastAsia"/>
          <w:color w:val="000000" w:themeColor="text1"/>
          <w:sz w:val="24"/>
          <w:szCs w:val="24"/>
        </w:rPr>
        <w:t>、创业板、科创</w:t>
      </w:r>
      <w:r w:rsidRPr="005D0D16">
        <w:rPr>
          <w:rFonts w:ascii="Times New Roman" w:eastAsia="楷体" w:hAnsi="Times New Roman" w:hint="eastAsia"/>
          <w:color w:val="000000" w:themeColor="text1"/>
          <w:sz w:val="24"/>
          <w:szCs w:val="24"/>
        </w:rPr>
        <w:t>50</w:t>
      </w:r>
      <w:r w:rsidRPr="005D0D16">
        <w:rPr>
          <w:rFonts w:ascii="Times New Roman" w:eastAsia="楷体" w:hAnsi="Times New Roman" w:hint="eastAsia"/>
          <w:color w:val="000000" w:themeColor="text1"/>
          <w:sz w:val="24"/>
          <w:szCs w:val="24"/>
        </w:rPr>
        <w:t>的“</w:t>
      </w:r>
      <w:r w:rsidRPr="005D0D16">
        <w:rPr>
          <w:rFonts w:ascii="Times New Roman" w:eastAsia="楷体" w:hAnsi="Times New Roman" w:hint="eastAsia"/>
          <w:color w:val="000000" w:themeColor="text1"/>
          <w:sz w:val="24"/>
          <w:szCs w:val="24"/>
        </w:rPr>
        <w:t>w</w:t>
      </w:r>
      <w:r w:rsidRPr="005D0D16">
        <w:rPr>
          <w:rFonts w:ascii="Times New Roman" w:eastAsia="楷体" w:hAnsi="Times New Roman" w:hint="eastAsia"/>
          <w:color w:val="000000" w:themeColor="text1"/>
          <w:sz w:val="24"/>
          <w:szCs w:val="24"/>
        </w:rPr>
        <w:t>”底得到确认，为后市大盘突破平台压力指明方向，大盘短暂蓄势后有望继续走出震荡攀升的走势，量能依旧是决定大盘运行的关键</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5042954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50429541"/>
      <w:r>
        <w:rPr>
          <w:rFonts w:ascii="Times New Roman" w:eastAsia="楷体" w:hAnsi="Times New Roman" w:hint="eastAsia"/>
          <w:b/>
          <w:color w:val="000000" w:themeColor="text1"/>
          <w:sz w:val="24"/>
          <w:szCs w:val="24"/>
        </w:rPr>
        <w:t>贵金属：</w:t>
      </w:r>
      <w:r w:rsidR="00DC68BB" w:rsidRPr="00DC68BB">
        <w:rPr>
          <w:rFonts w:ascii="Times New Roman" w:eastAsia="楷体" w:hAnsi="Times New Roman" w:hint="eastAsia"/>
          <w:b/>
          <w:color w:val="000000" w:themeColor="text1"/>
          <w:sz w:val="24"/>
          <w:szCs w:val="24"/>
        </w:rPr>
        <w:t>美债期限利差倒挂小幅走阔，内盘贵金属价格下跌</w:t>
      </w:r>
      <w:bookmarkEnd w:id="10"/>
    </w:p>
    <w:p w:rsidR="003F56A5" w:rsidRDefault="00DC68BB">
      <w:pPr>
        <w:ind w:leftChars="300" w:left="630"/>
        <w:rPr>
          <w:rFonts w:ascii="Times New Roman" w:eastAsia="楷体" w:hAnsi="Times New Roman"/>
          <w:sz w:val="24"/>
          <w:szCs w:val="24"/>
        </w:rPr>
      </w:pPr>
      <w:r w:rsidRPr="00DC68BB">
        <w:rPr>
          <w:rFonts w:ascii="Times New Roman" w:eastAsia="楷体" w:hAnsi="Times New Roman" w:hint="eastAsia"/>
          <w:color w:val="000000" w:themeColor="text1"/>
          <w:sz w:val="24"/>
          <w:szCs w:val="24"/>
        </w:rPr>
        <w:t>昨日十年期国债收益率下跌</w:t>
      </w:r>
      <w:r w:rsidRPr="00DC68BB">
        <w:rPr>
          <w:rFonts w:ascii="Times New Roman" w:eastAsia="楷体" w:hAnsi="Times New Roman" w:hint="eastAsia"/>
          <w:color w:val="000000" w:themeColor="text1"/>
          <w:sz w:val="24"/>
          <w:szCs w:val="24"/>
        </w:rPr>
        <w:t>7.6bp</w:t>
      </w:r>
      <w:r w:rsidRPr="00DC68BB">
        <w:rPr>
          <w:rFonts w:ascii="Times New Roman" w:eastAsia="楷体" w:hAnsi="Times New Roman" w:hint="eastAsia"/>
          <w:color w:val="000000" w:themeColor="text1"/>
          <w:sz w:val="24"/>
          <w:szCs w:val="24"/>
        </w:rPr>
        <w:t>至</w:t>
      </w:r>
      <w:r w:rsidRPr="00DC68BB">
        <w:rPr>
          <w:rFonts w:ascii="Times New Roman" w:eastAsia="楷体" w:hAnsi="Times New Roman" w:hint="eastAsia"/>
          <w:color w:val="000000" w:themeColor="text1"/>
          <w:sz w:val="24"/>
          <w:szCs w:val="24"/>
        </w:rPr>
        <w:t>4.496%</w:t>
      </w:r>
      <w:r w:rsidRPr="00DC68BB">
        <w:rPr>
          <w:rFonts w:ascii="Times New Roman" w:eastAsia="楷体" w:hAnsi="Times New Roman" w:hint="eastAsia"/>
          <w:color w:val="000000" w:themeColor="text1"/>
          <w:sz w:val="24"/>
          <w:szCs w:val="24"/>
        </w:rPr>
        <w:t>，美元指数涨</w:t>
      </w:r>
      <w:r w:rsidRPr="00DC68BB">
        <w:rPr>
          <w:rFonts w:ascii="Times New Roman" w:eastAsia="楷体" w:hAnsi="Times New Roman" w:hint="eastAsia"/>
          <w:color w:val="000000" w:themeColor="text1"/>
          <w:sz w:val="24"/>
          <w:szCs w:val="24"/>
        </w:rPr>
        <w:t>0.02%</w:t>
      </w:r>
      <w:r w:rsidRPr="00DC68BB">
        <w:rPr>
          <w:rFonts w:ascii="Times New Roman" w:eastAsia="楷体" w:hAnsi="Times New Roman" w:hint="eastAsia"/>
          <w:color w:val="000000" w:themeColor="text1"/>
          <w:sz w:val="24"/>
          <w:szCs w:val="24"/>
        </w:rPr>
        <w:t>至</w:t>
      </w:r>
      <w:r w:rsidRPr="00DC68BB">
        <w:rPr>
          <w:rFonts w:ascii="Times New Roman" w:eastAsia="楷体" w:hAnsi="Times New Roman" w:hint="eastAsia"/>
          <w:color w:val="000000" w:themeColor="text1"/>
          <w:sz w:val="24"/>
          <w:szCs w:val="24"/>
        </w:rPr>
        <w:t>105.53</w:t>
      </w:r>
      <w:r w:rsidRPr="00DC68BB">
        <w:rPr>
          <w:rFonts w:ascii="Times New Roman" w:eastAsia="楷体" w:hAnsi="Times New Roman" w:hint="eastAsia"/>
          <w:color w:val="000000" w:themeColor="text1"/>
          <w:sz w:val="24"/>
          <w:szCs w:val="24"/>
        </w:rPr>
        <w:t>，美债期限利差倒挂小幅走阔。联储官员鹰派讲话令贵金属价格承压，外盘</w:t>
      </w:r>
      <w:r w:rsidRPr="00DC68BB">
        <w:rPr>
          <w:rFonts w:ascii="Times New Roman" w:eastAsia="楷体" w:hAnsi="Times New Roman" w:hint="eastAsia"/>
          <w:color w:val="000000" w:themeColor="text1"/>
          <w:sz w:val="24"/>
          <w:szCs w:val="24"/>
        </w:rPr>
        <w:t>COMEX</w:t>
      </w:r>
      <w:r w:rsidRPr="00DC68BB">
        <w:rPr>
          <w:rFonts w:ascii="Times New Roman" w:eastAsia="楷体" w:hAnsi="Times New Roman" w:hint="eastAsia"/>
          <w:color w:val="000000" w:themeColor="text1"/>
          <w:sz w:val="24"/>
          <w:szCs w:val="24"/>
        </w:rPr>
        <w:t>金价回落至</w:t>
      </w:r>
      <w:r w:rsidRPr="00DC68BB">
        <w:rPr>
          <w:rFonts w:ascii="Times New Roman" w:eastAsia="楷体" w:hAnsi="Times New Roman" w:hint="eastAsia"/>
          <w:color w:val="000000" w:themeColor="text1"/>
          <w:sz w:val="24"/>
          <w:szCs w:val="24"/>
        </w:rPr>
        <w:t>1955</w:t>
      </w:r>
      <w:r w:rsidRPr="00DC68BB">
        <w:rPr>
          <w:rFonts w:ascii="Times New Roman" w:eastAsia="楷体" w:hAnsi="Times New Roman" w:hint="eastAsia"/>
          <w:color w:val="000000" w:themeColor="text1"/>
          <w:sz w:val="24"/>
          <w:szCs w:val="24"/>
        </w:rPr>
        <w:t>美元</w:t>
      </w:r>
      <w:r w:rsidRPr="00DC68BB">
        <w:rPr>
          <w:rFonts w:ascii="Times New Roman" w:eastAsia="楷体" w:hAnsi="Times New Roman" w:hint="eastAsia"/>
          <w:color w:val="000000" w:themeColor="text1"/>
          <w:sz w:val="24"/>
          <w:szCs w:val="24"/>
        </w:rPr>
        <w:t>/</w:t>
      </w:r>
      <w:r w:rsidRPr="00DC68BB">
        <w:rPr>
          <w:rFonts w:ascii="Times New Roman" w:eastAsia="楷体" w:hAnsi="Times New Roman" w:hint="eastAsia"/>
          <w:color w:val="000000" w:themeColor="text1"/>
          <w:sz w:val="24"/>
          <w:szCs w:val="24"/>
        </w:rPr>
        <w:t>盎司，沪金、沪银维持下跌。美国财政部上周宣布，四季度借款水平</w:t>
      </w:r>
      <w:r w:rsidRPr="00DC68BB">
        <w:rPr>
          <w:rFonts w:ascii="Times New Roman" w:eastAsia="楷体" w:hAnsi="Times New Roman" w:hint="eastAsia"/>
          <w:color w:val="000000" w:themeColor="text1"/>
          <w:sz w:val="24"/>
          <w:szCs w:val="24"/>
        </w:rPr>
        <w:t>7760</w:t>
      </w:r>
      <w:r w:rsidRPr="00DC68BB">
        <w:rPr>
          <w:rFonts w:ascii="Times New Roman" w:eastAsia="楷体" w:hAnsi="Times New Roman" w:hint="eastAsia"/>
          <w:color w:val="000000" w:themeColor="text1"/>
          <w:sz w:val="24"/>
          <w:szCs w:val="24"/>
        </w:rPr>
        <w:t>亿美元，较此前预期下调。避险情绪回落，美联储主席鲍威尔在周三的讲话中未对货币政策及经济前景表态，其表示，美联储必须愿意跳出传统上用来预测经济的复杂数学模拟，预测时保持灵活。美联储理事鲍曼表示，预计仍需进一步提高联邦基金利率；自</w:t>
      </w:r>
      <w:r w:rsidRPr="00DC68BB">
        <w:rPr>
          <w:rFonts w:ascii="Times New Roman" w:eastAsia="楷体" w:hAnsi="Times New Roman" w:hint="eastAsia"/>
          <w:color w:val="000000" w:themeColor="text1"/>
          <w:sz w:val="24"/>
          <w:szCs w:val="24"/>
        </w:rPr>
        <w:t>9</w:t>
      </w:r>
      <w:r w:rsidRPr="00DC68BB">
        <w:rPr>
          <w:rFonts w:ascii="Times New Roman" w:eastAsia="楷体" w:hAnsi="Times New Roman" w:hint="eastAsia"/>
          <w:color w:val="000000" w:themeColor="text1"/>
          <w:sz w:val="24"/>
          <w:szCs w:val="24"/>
        </w:rPr>
        <w:t>月以来金融条件已收紧，目前还不清楚紧缩的金融条件对经济活动和通胀的影响；货币政策没有预设好的路径，由较高的长债收益率影响导致的紧缩可能是不稳定的。周内留意美国</w:t>
      </w:r>
      <w:r w:rsidRPr="00DC68BB">
        <w:rPr>
          <w:rFonts w:ascii="Times New Roman" w:eastAsia="楷体" w:hAnsi="Times New Roman" w:hint="eastAsia"/>
          <w:color w:val="000000" w:themeColor="text1"/>
          <w:sz w:val="24"/>
          <w:szCs w:val="24"/>
        </w:rPr>
        <w:t>11</w:t>
      </w:r>
      <w:r w:rsidRPr="00DC68BB">
        <w:rPr>
          <w:rFonts w:ascii="Times New Roman" w:eastAsia="楷体" w:hAnsi="Times New Roman" w:hint="eastAsia"/>
          <w:color w:val="000000" w:themeColor="text1"/>
          <w:sz w:val="24"/>
          <w:szCs w:val="24"/>
        </w:rPr>
        <w:t>月密歇根大学消费者信心指数公布，多位美联储官员将进行公开讲话，近期美国经济景气度指标下滑、就业表现走弱，因当前联储加息已接近峰值，市场预期明年年中或启动降息，中长线角度仍相对看好贵金属价格表现，建议沪金、沪银逢回调择机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5042954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50429543"/>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5D0D16" w:rsidRPr="005D0D16">
        <w:rPr>
          <w:rFonts w:ascii="楷体" w:eastAsia="楷体" w:hAnsi="楷体" w:hint="eastAsia"/>
          <w:b/>
          <w:color w:val="000000" w:themeColor="text1"/>
          <w:sz w:val="24"/>
          <w:szCs w:val="24"/>
        </w:rPr>
        <w:t>现货价格维持下跌，期价创新低后尾盘小幅回升</w:t>
      </w:r>
      <w:bookmarkEnd w:id="18"/>
    </w:p>
    <w:p w:rsidR="00F50569" w:rsidRDefault="005D0D16" w:rsidP="00F50569">
      <w:pPr>
        <w:ind w:leftChars="300" w:left="630"/>
        <w:rPr>
          <w:rFonts w:ascii="楷体" w:eastAsia="楷体" w:hAnsi="楷体"/>
          <w:color w:val="000000" w:themeColor="text1"/>
          <w:sz w:val="24"/>
          <w:szCs w:val="24"/>
        </w:rPr>
      </w:pPr>
      <w:r w:rsidRPr="005D0D16">
        <w:rPr>
          <w:rFonts w:ascii="楷体" w:eastAsia="楷体" w:hAnsi="楷体" w:hint="eastAsia"/>
          <w:color w:val="000000" w:themeColor="text1"/>
          <w:sz w:val="24"/>
          <w:szCs w:val="24"/>
        </w:rPr>
        <w:t>昨日期货价格盘初进一步下跌，一度触及138300元/吨新低后止跌反弹，尾盘放量上涨回升至前低支撑水平，01合约收涨1.08%至145350元/吨。电池级现货价格跌3000元/吨至15.6万元/吨，需求未见明显改善，仅少量刚需零单成交。正极材料端以消耗原料库存为主，开工有所下滑，压价情绪较强。截至上周三元材料开工率降至49%，磷酸铁锂开工率微跌至58%。周内关注锂辉石线上拍卖成交情况。后续随交割月临近，市场逻辑或逐步转向围绕仓单实际注册量及交割进行交易，届时重点关注交易所仓单注册情况。考虑到当前距离交割尚有约两个月时间，近期基差或维持缓慢收敛，近期震荡中枢或进一步下移，参考区间13-16万元/吨</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50429544"/>
      <w:r>
        <w:rPr>
          <w:rFonts w:ascii="楷体" w:eastAsia="楷体" w:hAnsi="楷体" w:hint="eastAsia"/>
          <w:b/>
          <w:color w:val="000000" w:themeColor="text1"/>
          <w:sz w:val="24"/>
          <w:szCs w:val="24"/>
        </w:rPr>
        <w:lastRenderedPageBreak/>
        <w:t>螺纹钢：</w:t>
      </w:r>
      <w:bookmarkEnd w:id="16"/>
      <w:bookmarkEnd w:id="17"/>
      <w:r w:rsidR="00F84075" w:rsidRPr="00F84075">
        <w:rPr>
          <w:rFonts w:ascii="楷体" w:eastAsia="楷体" w:hAnsi="楷体" w:hint="eastAsia"/>
          <w:b/>
          <w:color w:val="000000" w:themeColor="text1"/>
          <w:sz w:val="24"/>
          <w:szCs w:val="24"/>
        </w:rPr>
        <w:t>价格逼近电炉成本，关注上方压力</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F84075" w:rsidP="00201944">
      <w:pPr>
        <w:ind w:leftChars="300" w:left="630"/>
        <w:rPr>
          <w:rFonts w:ascii="楷体" w:eastAsia="楷体" w:hAnsi="楷体"/>
          <w:color w:val="000000" w:themeColor="text1"/>
          <w:sz w:val="24"/>
          <w:szCs w:val="24"/>
        </w:rPr>
      </w:pPr>
      <w:r w:rsidRPr="00F84075">
        <w:rPr>
          <w:rFonts w:ascii="楷体" w:eastAsia="楷体" w:hAnsi="楷体" w:hint="eastAsia"/>
          <w:color w:val="000000" w:themeColor="text1"/>
          <w:sz w:val="24"/>
          <w:szCs w:val="24"/>
        </w:rPr>
        <w:t>预期推动钢材价格向上修复，价格接近平电成本。本周基本面数据较为健康，但环比变化不大，期货价格短期技术性创近期新高，预计价格或震荡偏强运行，关注现实价格跟进情况</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50429545"/>
      <w:r>
        <w:rPr>
          <w:rFonts w:ascii="楷体" w:eastAsia="楷体" w:hAnsi="楷体" w:hint="eastAsia"/>
          <w:b/>
          <w:color w:val="000000" w:themeColor="text1"/>
          <w:sz w:val="24"/>
          <w:szCs w:val="24"/>
        </w:rPr>
        <w:t>焦炭：</w:t>
      </w:r>
      <w:bookmarkEnd w:id="20"/>
      <w:bookmarkEnd w:id="21"/>
      <w:r w:rsidR="00F84075" w:rsidRPr="00F84075">
        <w:rPr>
          <w:rFonts w:ascii="楷体" w:eastAsia="楷体" w:hAnsi="楷体" w:hint="eastAsia"/>
          <w:b/>
          <w:color w:val="000000" w:themeColor="text1"/>
          <w:sz w:val="24"/>
          <w:szCs w:val="24"/>
        </w:rPr>
        <w:t>情绪推动升水，注意成材指引</w:t>
      </w:r>
      <w:bookmarkEnd w:id="22"/>
    </w:p>
    <w:p w:rsidR="003F56A5" w:rsidRDefault="00F84075" w:rsidP="00572E35">
      <w:pPr>
        <w:ind w:leftChars="300" w:left="630"/>
        <w:rPr>
          <w:rFonts w:ascii="楷体" w:eastAsia="楷体" w:hAnsi="楷体"/>
          <w:color w:val="000000" w:themeColor="text1"/>
          <w:sz w:val="24"/>
          <w:szCs w:val="24"/>
        </w:rPr>
      </w:pPr>
      <w:r w:rsidRPr="00F84075">
        <w:rPr>
          <w:rFonts w:ascii="楷体" w:eastAsia="楷体" w:hAnsi="楷体" w:hint="eastAsia"/>
          <w:color w:val="000000" w:themeColor="text1"/>
          <w:sz w:val="24"/>
          <w:szCs w:val="24"/>
        </w:rPr>
        <w:t>成材利润矛盾突出情况下，第一轮提降提出，焦炭供需缺口收敛，下游采购意愿减弱。成材创近期新高，技术性突破下，焦炭升水1轮厂库，短期注意成材价格信号</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50429546"/>
      <w:r>
        <w:rPr>
          <w:rFonts w:ascii="楷体" w:eastAsia="楷体" w:hAnsi="楷体" w:hint="eastAsia"/>
          <w:b/>
          <w:color w:val="000000" w:themeColor="text1"/>
          <w:sz w:val="24"/>
          <w:szCs w:val="24"/>
        </w:rPr>
        <w:t>焦煤：</w:t>
      </w:r>
      <w:r w:rsidR="00F84075" w:rsidRPr="00F84075">
        <w:rPr>
          <w:rFonts w:ascii="楷体" w:eastAsia="楷体" w:hAnsi="楷体" w:hint="eastAsia"/>
          <w:b/>
          <w:sz w:val="24"/>
          <w:szCs w:val="24"/>
        </w:rPr>
        <w:t>情绪推动升水，注意成材指引</w:t>
      </w:r>
      <w:bookmarkEnd w:id="23"/>
    </w:p>
    <w:p w:rsidR="003F56A5" w:rsidRDefault="00F84075">
      <w:pPr>
        <w:ind w:leftChars="300" w:left="630"/>
        <w:rPr>
          <w:rFonts w:ascii="楷体" w:eastAsia="楷体" w:hAnsi="楷体"/>
          <w:bCs/>
          <w:sz w:val="24"/>
          <w:szCs w:val="24"/>
        </w:rPr>
      </w:pPr>
      <w:r w:rsidRPr="00F84075">
        <w:rPr>
          <w:rFonts w:ascii="楷体" w:eastAsia="楷体" w:hAnsi="楷体" w:hint="eastAsia"/>
          <w:sz w:val="24"/>
          <w:szCs w:val="24"/>
        </w:rPr>
        <w:t>现货市场第一轮提降提出，利润矛盾下，现货价格向上驱动不明显。夜盘陡升至升水，关注成材期、现市场情况</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50429547"/>
      <w:r>
        <w:rPr>
          <w:rFonts w:ascii="楷体" w:eastAsia="楷体" w:hAnsi="楷体" w:hint="eastAsia"/>
          <w:b/>
          <w:color w:val="000000" w:themeColor="text1"/>
          <w:sz w:val="24"/>
          <w:szCs w:val="24"/>
        </w:rPr>
        <w:t>铜：</w:t>
      </w:r>
      <w:bookmarkEnd w:id="24"/>
      <w:bookmarkEnd w:id="25"/>
      <w:r w:rsidR="00FE40D8" w:rsidRPr="00FE40D8">
        <w:rPr>
          <w:rFonts w:ascii="楷体" w:eastAsia="楷体" w:hAnsi="楷体" w:hint="eastAsia"/>
          <w:b/>
          <w:color w:val="000000" w:themeColor="text1"/>
          <w:sz w:val="24"/>
          <w:szCs w:val="24"/>
        </w:rPr>
        <w:t>短期缺乏明显驱动，震荡整理为主</w:t>
      </w:r>
      <w:bookmarkEnd w:id="26"/>
    </w:p>
    <w:p w:rsidR="00FE40D8" w:rsidRPr="00FE40D8" w:rsidRDefault="00FE40D8" w:rsidP="00FE40D8">
      <w:pPr>
        <w:ind w:leftChars="300" w:left="630"/>
        <w:rPr>
          <w:rFonts w:ascii="楷体" w:eastAsia="楷体" w:hAnsi="楷体" w:hint="eastAsia"/>
          <w:color w:val="000000" w:themeColor="text1"/>
          <w:sz w:val="24"/>
          <w:szCs w:val="24"/>
        </w:rPr>
      </w:pPr>
      <w:r w:rsidRPr="00FE40D8">
        <w:rPr>
          <w:rFonts w:ascii="楷体" w:eastAsia="楷体" w:hAnsi="楷体" w:hint="eastAsia"/>
          <w:color w:val="000000" w:themeColor="text1"/>
          <w:sz w:val="24"/>
          <w:szCs w:val="24"/>
        </w:rPr>
        <w:t>(1)产业：据外媒消息，全球最大的铜生产商Codelco已提出以每吨89美元的溢价向2024年的主要中国客户出售铜，低于今年的每吨140美元。国际铜研究集团（ICSG）预测，2024年将出现467000公吨的盈余。</w:t>
      </w:r>
    </w:p>
    <w:p w:rsidR="00FE40D8" w:rsidRPr="00FE40D8" w:rsidRDefault="00FE40D8" w:rsidP="00FE40D8">
      <w:pPr>
        <w:ind w:leftChars="300" w:left="630"/>
        <w:rPr>
          <w:rFonts w:ascii="楷体" w:eastAsia="楷体" w:hAnsi="楷体" w:hint="eastAsia"/>
          <w:color w:val="000000" w:themeColor="text1"/>
          <w:sz w:val="24"/>
          <w:szCs w:val="24"/>
        </w:rPr>
      </w:pPr>
      <w:r w:rsidRPr="00FE40D8">
        <w:rPr>
          <w:rFonts w:ascii="楷体" w:eastAsia="楷体" w:hAnsi="楷体" w:hint="eastAsia"/>
          <w:color w:val="000000" w:themeColor="text1"/>
          <w:sz w:val="24"/>
          <w:szCs w:val="24"/>
        </w:rPr>
        <w:t>(2)库存：11月08日，SHFE仓单库存1132吨，增379吨；LME仓单库存178125吨，减625吨。</w:t>
      </w:r>
    </w:p>
    <w:p w:rsidR="00FE40D8" w:rsidRPr="00FE40D8" w:rsidRDefault="00FE40D8" w:rsidP="00FE40D8">
      <w:pPr>
        <w:ind w:leftChars="300" w:left="630"/>
        <w:rPr>
          <w:rFonts w:ascii="楷体" w:eastAsia="楷体" w:hAnsi="楷体" w:hint="eastAsia"/>
          <w:color w:val="000000" w:themeColor="text1"/>
          <w:sz w:val="24"/>
          <w:szCs w:val="24"/>
        </w:rPr>
      </w:pPr>
      <w:r w:rsidRPr="00FE40D8">
        <w:rPr>
          <w:rFonts w:ascii="楷体" w:eastAsia="楷体" w:hAnsi="楷体" w:hint="eastAsia"/>
          <w:color w:val="000000" w:themeColor="text1"/>
          <w:sz w:val="24"/>
          <w:szCs w:val="24"/>
        </w:rPr>
        <w:t>(3)精废价差：11月08日，Mysteel精废价差1448，收窄24。目前价差在合理价差1379之上。</w:t>
      </w:r>
    </w:p>
    <w:p w:rsidR="00FE40D8" w:rsidRPr="00FE40D8" w:rsidRDefault="00FE40D8" w:rsidP="00FE40D8">
      <w:pPr>
        <w:ind w:leftChars="300" w:left="630"/>
        <w:rPr>
          <w:rFonts w:ascii="楷体" w:eastAsia="楷体" w:hAnsi="楷体"/>
          <w:color w:val="000000" w:themeColor="text1"/>
          <w:sz w:val="24"/>
          <w:szCs w:val="24"/>
        </w:rPr>
      </w:pPr>
    </w:p>
    <w:p w:rsidR="00127803" w:rsidRPr="00127803" w:rsidRDefault="00FE40D8" w:rsidP="00FE40D8">
      <w:pPr>
        <w:ind w:leftChars="300" w:left="630"/>
        <w:rPr>
          <w:rFonts w:ascii="楷体" w:eastAsia="楷体" w:hAnsi="楷体"/>
          <w:color w:val="000000" w:themeColor="text1"/>
          <w:sz w:val="24"/>
          <w:szCs w:val="24"/>
        </w:rPr>
      </w:pPr>
      <w:r w:rsidRPr="00FE40D8">
        <w:rPr>
          <w:rFonts w:ascii="楷体" w:eastAsia="楷体" w:hAnsi="楷体" w:hint="eastAsia"/>
          <w:color w:val="000000" w:themeColor="text1"/>
          <w:sz w:val="24"/>
          <w:szCs w:val="24"/>
        </w:rPr>
        <w:t>综述：美元在大跌后企稳反弹，铜价承压回落。与上个月相比，2023年10月中国出口增速继续维持低位，对市场信心形成一定拖累。基本面，近期国内货源流通紧张使得升水持续高企。但价格快速回升后精废价差扩大，废铜替代优势逐步增强，废铜流通货源增加，精铜消费受抑。短期缺乏明显驱动，价格震荡运行为主，维持波动区间66500-68500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50429548"/>
      <w:r>
        <w:rPr>
          <w:rFonts w:ascii="楷体" w:eastAsia="楷体" w:hAnsi="楷体" w:hint="eastAsia"/>
          <w:b/>
          <w:color w:val="000000" w:themeColor="text1"/>
          <w:sz w:val="24"/>
          <w:szCs w:val="24"/>
        </w:rPr>
        <w:t>铝：</w:t>
      </w:r>
      <w:bookmarkEnd w:id="27"/>
      <w:bookmarkEnd w:id="28"/>
      <w:r w:rsidR="00CF42F6" w:rsidRPr="00CF42F6">
        <w:rPr>
          <w:rFonts w:ascii="楷体" w:eastAsia="楷体" w:hAnsi="楷体" w:hint="eastAsia"/>
          <w:b/>
          <w:color w:val="000000" w:themeColor="text1"/>
          <w:sz w:val="24"/>
          <w:szCs w:val="24"/>
        </w:rPr>
        <w:t>铝市供缩需减，价格震荡为主</w:t>
      </w:r>
      <w:bookmarkEnd w:id="29"/>
    </w:p>
    <w:p w:rsidR="003F56A5" w:rsidRDefault="00CF42F6" w:rsidP="00127803">
      <w:pPr>
        <w:ind w:leftChars="300" w:left="630"/>
        <w:rPr>
          <w:rFonts w:ascii="楷体" w:eastAsia="楷体" w:hAnsi="楷体"/>
          <w:color w:val="000000" w:themeColor="text1"/>
          <w:sz w:val="24"/>
          <w:szCs w:val="24"/>
        </w:rPr>
      </w:pPr>
      <w:r w:rsidRPr="00CF42F6">
        <w:rPr>
          <w:rFonts w:ascii="楷体" w:eastAsia="楷体" w:hAnsi="楷体" w:hint="eastAsia"/>
          <w:color w:val="000000" w:themeColor="text1"/>
          <w:sz w:val="24"/>
          <w:szCs w:val="24"/>
        </w:rPr>
        <w:t>欧美暂停加息提振市场信心，但海外经济风险仍存，国内释放万亿国债，市场信心修复，国内PMI数据公布表现不及预期好，宏观情绪多空扰动。矿端供应趋紧，氧化铝供应紧平衡，冶炼生产成本抬升，电解铝运行产能高位，云南地区进入枯水期水电供应受限，产能缩减约计115万吨，已逐步落实减产控制，进口盈利窗口持续打开，铝锭进口源源不断，国庆后厂家多有原料备库，冶炼端开工未收到明显影响，短期铝市供应维持偏松。下游消费逐渐转入淡季，地产需求低迷，光伏、新能源消费维持高增速，未锻造铝材出口量走弱，目前铝市库存累库不明显，绝对库存位置保持低库。铝市供需均有缩减，另外有绝对库存低位支撑，价格上下有限，维持高位震荡</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50429549"/>
      <w:r>
        <w:rPr>
          <w:rFonts w:ascii="楷体" w:eastAsia="楷体" w:hAnsi="楷体" w:hint="eastAsia"/>
          <w:b/>
          <w:color w:val="000000" w:themeColor="text1"/>
          <w:sz w:val="24"/>
          <w:szCs w:val="24"/>
        </w:rPr>
        <w:t>锌：</w:t>
      </w:r>
      <w:r w:rsidR="00CF42F6" w:rsidRPr="00CF42F6">
        <w:rPr>
          <w:rFonts w:ascii="楷体" w:eastAsia="楷体" w:hAnsi="楷体" w:hint="eastAsia"/>
          <w:b/>
          <w:color w:val="000000" w:themeColor="text1"/>
          <w:sz w:val="24"/>
          <w:szCs w:val="24"/>
        </w:rPr>
        <w:t>锌价冲高但支撑驱动不足</w:t>
      </w:r>
      <w:bookmarkEnd w:id="30"/>
    </w:p>
    <w:p w:rsidR="003F56A5" w:rsidRDefault="00CF42F6" w:rsidP="000B0648">
      <w:pPr>
        <w:ind w:leftChars="300" w:left="630"/>
        <w:rPr>
          <w:rFonts w:ascii="楷体" w:eastAsia="楷体" w:hAnsi="楷体"/>
          <w:color w:val="000000" w:themeColor="text1"/>
          <w:sz w:val="24"/>
          <w:szCs w:val="24"/>
        </w:rPr>
      </w:pPr>
      <w:r w:rsidRPr="00CF42F6">
        <w:rPr>
          <w:rFonts w:ascii="楷体" w:eastAsia="楷体" w:hAnsi="楷体" w:hint="eastAsia"/>
          <w:color w:val="000000" w:themeColor="text1"/>
          <w:sz w:val="24"/>
          <w:szCs w:val="24"/>
        </w:rPr>
        <w:t>NYSTAR宣布矿山减产强化了市场对矿端供应收紧预期，目前整体冶炼端开工影响不大，TC加工费走弱，目前精锌冶炼开工维持高位，且年底有新增</w:t>
      </w:r>
      <w:r w:rsidRPr="00CF42F6">
        <w:rPr>
          <w:rFonts w:ascii="楷体" w:eastAsia="楷体" w:hAnsi="楷体" w:hint="eastAsia"/>
          <w:color w:val="000000" w:themeColor="text1"/>
          <w:sz w:val="24"/>
          <w:szCs w:val="24"/>
        </w:rPr>
        <w:lastRenderedPageBreak/>
        <w:t>产能投放，供应短期内大概率维持偏高水平。需求端看，下游企业开工率转弱，北方冬季环保管理力度加大，镀锌企业开工受限，部分企业因订单不佳选择减产，锌合金和氧化锌开工情况不佳，目前需求转入淡季消费，锌价冲高驱动不足</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50429550"/>
      <w:r>
        <w:rPr>
          <w:rFonts w:ascii="楷体" w:eastAsia="楷体" w:hAnsi="楷体" w:hint="eastAsia"/>
          <w:b/>
          <w:color w:val="000000" w:themeColor="text1"/>
          <w:sz w:val="24"/>
          <w:szCs w:val="24"/>
        </w:rPr>
        <w:t>镍：</w:t>
      </w:r>
      <w:r w:rsidR="00FE40D8" w:rsidRPr="00FE40D8">
        <w:rPr>
          <w:rFonts w:ascii="楷体" w:eastAsia="楷体" w:hAnsi="楷体" w:hint="eastAsia"/>
          <w:b/>
          <w:color w:val="000000" w:themeColor="text1"/>
          <w:sz w:val="24"/>
          <w:szCs w:val="24"/>
        </w:rPr>
        <w:t>供增需弱叠加成本松动，持续压制镍价</w:t>
      </w:r>
      <w:bookmarkEnd w:id="31"/>
    </w:p>
    <w:p w:rsidR="003F56A5" w:rsidRDefault="00FE40D8">
      <w:pPr>
        <w:ind w:leftChars="300" w:left="630"/>
        <w:rPr>
          <w:rFonts w:ascii="楷体" w:eastAsia="楷体" w:hAnsi="楷体"/>
          <w:color w:val="000000" w:themeColor="text1"/>
          <w:sz w:val="24"/>
          <w:szCs w:val="24"/>
        </w:rPr>
      </w:pPr>
      <w:r w:rsidRPr="00FE40D8">
        <w:rPr>
          <w:rFonts w:ascii="楷体" w:eastAsia="楷体" w:hAnsi="楷体" w:hint="eastAsia"/>
          <w:color w:val="000000" w:themeColor="text1"/>
          <w:sz w:val="24"/>
          <w:szCs w:val="24"/>
        </w:rPr>
        <w:t>在供应过剩、需求不振及电积镍成本松动因素下，镍价持续承压。精炼镍产量仍在继续释放，库存延续累库趋势，过剩压力愈发凸显。随着不锈钢厂11月继续减产，镍的需求趋弱。电积镍成本在中间品供应增量预期下松动。综合来看，镍基本面供大于需格局较明晰，中长期对镍保持看空思路，但短期来看，绝对低位库存和生产成本为镍价提供一定的支撑，镍价下跌空间有限，若宏观利好情绪提振，镍价存在小幅反弹的可能性</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50429551"/>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50429552"/>
      <w:r>
        <w:rPr>
          <w:rFonts w:ascii="楷体" w:eastAsia="楷体" w:hAnsi="楷体" w:hint="eastAsia"/>
          <w:b/>
          <w:color w:val="000000" w:themeColor="text1"/>
          <w:sz w:val="24"/>
          <w:szCs w:val="24"/>
        </w:rPr>
        <w:t>不锈钢：</w:t>
      </w:r>
      <w:r w:rsidR="00FE40D8" w:rsidRPr="00FE40D8">
        <w:rPr>
          <w:rFonts w:ascii="楷体" w:eastAsia="楷体" w:hAnsi="楷体" w:hint="eastAsia"/>
          <w:b/>
          <w:color w:val="000000" w:themeColor="text1"/>
          <w:sz w:val="24"/>
          <w:szCs w:val="24"/>
        </w:rPr>
        <w:t>成本难企稳，暂无明显反弹动能</w:t>
      </w:r>
      <w:bookmarkEnd w:id="33"/>
    </w:p>
    <w:p w:rsidR="003F56A5" w:rsidRDefault="00FE40D8" w:rsidP="001529BB">
      <w:pPr>
        <w:ind w:leftChars="300" w:left="630"/>
        <w:rPr>
          <w:rFonts w:ascii="楷体" w:eastAsia="楷体" w:hAnsi="楷体"/>
          <w:color w:val="000000" w:themeColor="text1"/>
          <w:sz w:val="24"/>
          <w:szCs w:val="24"/>
        </w:rPr>
      </w:pPr>
      <w:r w:rsidRPr="00FE40D8">
        <w:rPr>
          <w:rFonts w:ascii="楷体" w:eastAsia="楷体" w:hAnsi="楷体" w:hint="eastAsia"/>
          <w:color w:val="000000" w:themeColor="text1"/>
          <w:sz w:val="24"/>
          <w:szCs w:val="24"/>
        </w:rPr>
        <w:t>据Mysteel调研，不锈钢厂11月将再减产26.5万吨。钢厂减产的负反馈由下往上传导至镍铁，叠加印尼回流压力，镍铁价格预计偏弱运行。在产业链压力和印尼镍矿新配额消息的影响下，镍矿价格预计也将弱势运行。需求方面维持疲弱，下游交投氛围以刚需采购为主。不锈钢社会库存缓慢去化，仍处于绝对高位。综合而言，不锈钢产业链负反馈仍在持续，成本端暂未企稳，在需求不佳现实和库存高位水平下，不锈钢暂无明显修复动能，或在宏观利好情绪情绪消化后震荡偏弱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50429553"/>
      <w:r>
        <w:rPr>
          <w:rFonts w:ascii="楷体" w:eastAsia="楷体" w:hAnsi="楷体" w:hint="eastAsia"/>
          <w:b/>
          <w:color w:val="000000" w:themeColor="text1"/>
          <w:sz w:val="24"/>
          <w:szCs w:val="24"/>
        </w:rPr>
        <w:t>工业硅：</w:t>
      </w:r>
      <w:r w:rsidR="00DC68BB" w:rsidRPr="00DC68BB">
        <w:rPr>
          <w:rFonts w:ascii="楷体" w:eastAsia="楷体" w:hAnsi="楷体" w:hint="eastAsia"/>
          <w:b/>
          <w:sz w:val="24"/>
          <w:szCs w:val="24"/>
        </w:rPr>
        <w:t>暂无明显单边驱动，盘面或震荡为主</w:t>
      </w:r>
      <w:bookmarkEnd w:id="34"/>
    </w:p>
    <w:p w:rsidR="003F56A5" w:rsidRDefault="00DC68BB" w:rsidP="00827E8A">
      <w:pPr>
        <w:ind w:leftChars="300" w:left="630"/>
        <w:rPr>
          <w:rFonts w:ascii="楷体" w:eastAsia="楷体" w:hAnsi="楷体"/>
          <w:sz w:val="24"/>
          <w:szCs w:val="24"/>
        </w:rPr>
      </w:pPr>
      <w:r w:rsidRPr="00DC68BB">
        <w:rPr>
          <w:rFonts w:ascii="楷体" w:eastAsia="楷体" w:hAnsi="楷体" w:hint="eastAsia"/>
          <w:sz w:val="24"/>
          <w:szCs w:val="24"/>
        </w:rPr>
        <w:t>11月8日，Si2401主力合约呈V型反弹走势，收盘价14175元/吨，较上一收盘价涨跌幅+0.32%。供应方面，西南进入枯水期，生产成本已抬升，当地工厂陆续出现减产情况，12月后电价或仍将上调，届时减产存在进一步扩大预期。需求方面，部分多晶硅厂硅粉招标推进，硅粉中标价格较10月中下旬有所下降，降价压力或将传导至工业硅市场。整体而言，主产区减产以及生产成本抬升预期对市场有一定支撑，但多晶硅需求预期转弱也将压制反弹空间，短期盘面或震荡为主。策略上，维持波段操作思路，参</w:t>
      </w:r>
      <w:r w:rsidRPr="00DC68BB">
        <w:rPr>
          <w:rFonts w:ascii="楷体" w:eastAsia="楷体" w:hAnsi="楷体" w:hint="eastAsia"/>
          <w:sz w:val="24"/>
          <w:szCs w:val="24"/>
        </w:rPr>
        <w:lastRenderedPageBreak/>
        <w:t>考区间（13800，14500）</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5042955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024C21" w:rsidRDefault="00CC3FFA" w:rsidP="00024C21">
      <w:pPr>
        <w:ind w:firstLineChars="200" w:firstLine="482"/>
        <w:outlineLvl w:val="1"/>
        <w:rPr>
          <w:rFonts w:ascii="楷体" w:eastAsia="楷体" w:hAnsi="楷体"/>
          <w:b/>
          <w:sz w:val="24"/>
          <w:szCs w:val="24"/>
        </w:rPr>
      </w:pPr>
      <w:bookmarkStart w:id="37" w:name="_Toc150429555"/>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5D0D16" w:rsidRPr="005D0D16">
        <w:rPr>
          <w:rFonts w:ascii="楷体" w:eastAsia="楷体" w:hAnsi="楷体" w:hint="eastAsia"/>
          <w:b/>
          <w:sz w:val="24"/>
          <w:szCs w:val="24"/>
        </w:rPr>
        <w:t>天胶边际供应压力增加，或震荡整理为主</w:t>
      </w:r>
      <w:bookmarkEnd w:id="37"/>
    </w:p>
    <w:p w:rsidR="003F56A5" w:rsidRDefault="005D0D16">
      <w:pPr>
        <w:ind w:leftChars="300" w:left="630"/>
        <w:rPr>
          <w:rFonts w:ascii="楷体" w:eastAsia="楷体" w:hAnsi="楷体"/>
          <w:sz w:val="24"/>
          <w:szCs w:val="24"/>
        </w:rPr>
      </w:pPr>
      <w:r w:rsidRPr="005D0D16">
        <w:rPr>
          <w:rFonts w:ascii="楷体" w:eastAsia="楷体" w:hAnsi="楷体" w:hint="eastAsia"/>
          <w:sz w:val="24"/>
          <w:szCs w:val="24"/>
        </w:rPr>
        <w:t>点评：昨日天然橡胶小幅企稳反弹。供应方面，东南亚主产区降雨天气缓解，原料产出持续上量，原料收购价格存下降预期，供应端利好削弱。库存方面，国内天然橡胶库存虽仍在去库，但去库幅度偏缓，下游工厂对原材料高价抵触心理。需求端来看，半钢胎企业排产运行平稳，部分企业为填补缺货产品库存，适度调整排产，带动样本企业产能利用率微幅走高。月底外贸出货尚可，内销走货相对缓慢。全钢胎样本企业销售压力逐步攀升，企业成品库存进一步走高，对整体产能利用率形成一定拖拽。终端汽车方面，9月数据同环比继续走强，创过去十年同期历史新高，十月汽车消费旺季再度来临下汽车市场景气度高。整体看，近期基本面转好幅度有所减弱，在新的利好支撑出现前，橡胶或震荡整理</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50429556"/>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FE40D8" w:rsidRPr="00FE40D8">
        <w:rPr>
          <w:rFonts w:ascii="Calibri" w:eastAsia="楷体" w:hAnsi="Calibri" w:cs="Calibri" w:hint="eastAsia"/>
          <w:b/>
          <w:color w:val="000000" w:themeColor="text1"/>
          <w:sz w:val="24"/>
          <w:szCs w:val="24"/>
        </w:rPr>
        <w:t>供应偏宽松预期</w:t>
      </w:r>
      <w:r w:rsidR="00FE40D8" w:rsidRPr="00FE40D8">
        <w:rPr>
          <w:rFonts w:ascii="Calibri" w:eastAsia="楷体" w:hAnsi="Calibri" w:cs="Calibri" w:hint="eastAsia"/>
          <w:b/>
          <w:color w:val="000000" w:themeColor="text1"/>
          <w:sz w:val="24"/>
          <w:szCs w:val="24"/>
        </w:rPr>
        <w:t xml:space="preserve">  </w:t>
      </w:r>
      <w:r w:rsidR="00FE40D8" w:rsidRPr="00FE40D8">
        <w:rPr>
          <w:rFonts w:ascii="Calibri" w:eastAsia="楷体" w:hAnsi="Calibri" w:cs="Calibri" w:hint="eastAsia"/>
          <w:b/>
          <w:color w:val="000000" w:themeColor="text1"/>
          <w:sz w:val="24"/>
          <w:szCs w:val="24"/>
        </w:rPr>
        <w:t>关注上方压力位</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FE40D8" w:rsidP="002C73FE">
      <w:pPr>
        <w:ind w:leftChars="300" w:left="630"/>
        <w:rPr>
          <w:rFonts w:ascii="楷体" w:eastAsia="楷体" w:hAnsi="楷体"/>
          <w:color w:val="000000" w:themeColor="text1"/>
          <w:sz w:val="24"/>
          <w:szCs w:val="24"/>
        </w:rPr>
      </w:pPr>
      <w:r w:rsidRPr="00FE40D8">
        <w:rPr>
          <w:rFonts w:ascii="楷体" w:eastAsia="楷体" w:hAnsi="楷体" w:hint="eastAsia"/>
          <w:color w:val="000000" w:themeColor="text1"/>
          <w:sz w:val="24"/>
          <w:szCs w:val="24"/>
        </w:rPr>
        <w:t>原油方面交易逻辑从地缘风险回归自身基本面，EIA11月库存月报预期四季度供应偏过剩，跌势或进一步扩大。PX方面，随着调油需求走弱，歧化装置开工率有望进一步提升， Q4 PX供应充足。PTA供应方面，本周逸盛宁波4线220万吨，亚东75万吨装置检修，至11.3 PTA负荷调整至75.4%。本周聚酯装置大体稳定运行，截至11.3 初步核算国内大陆地区聚酯负荷在90.3%，目前聚酯负荷仍处于高位，但后市存在季节性走弱预期。终端开工率尚可但涤纶长丝库存节后累库节奏较快，随着聚酯原料价格走低，工厂出货意愿较大。综合来看，近期PTA加工费高于旺季水平，后续检修恐难持续。恒力220缩减合约量30%与逸盛400推迟检修并存及后续投产预期，供应仍偏宽松。 终端订单减少及产成品库存累库将带来负反馈压力。伴随成本端支撑走弱及现实端转弱的矛盾，PTA市场恐仍面临回调风险，关注上方5950附近压力位。仅供参考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C68BB" w:rsidRDefault="00CC3FFA" w:rsidP="00DC68BB">
      <w:pPr>
        <w:ind w:leftChars="200" w:left="420"/>
        <w:outlineLvl w:val="1"/>
        <w:rPr>
          <w:rFonts w:ascii="楷体" w:eastAsia="楷体" w:hAnsi="楷体"/>
          <w:b/>
          <w:color w:val="000000" w:themeColor="text1"/>
          <w:sz w:val="24"/>
          <w:szCs w:val="24"/>
        </w:rPr>
      </w:pPr>
      <w:bookmarkStart w:id="39" w:name="_Toc150429557"/>
      <w:r>
        <w:rPr>
          <w:rFonts w:ascii="楷体" w:eastAsia="楷体" w:hAnsi="楷体" w:hint="eastAsia"/>
          <w:b/>
          <w:color w:val="000000" w:themeColor="text1"/>
          <w:sz w:val="24"/>
          <w:szCs w:val="24"/>
        </w:rPr>
        <w:t>聚烯烃：</w:t>
      </w:r>
      <w:r w:rsidR="00DC68BB" w:rsidRPr="00DC68BB">
        <w:rPr>
          <w:rFonts w:ascii="楷体" w:eastAsia="楷体" w:hAnsi="楷体" w:hint="eastAsia"/>
          <w:b/>
          <w:color w:val="000000" w:themeColor="text1"/>
          <w:sz w:val="24"/>
          <w:szCs w:val="24"/>
        </w:rPr>
        <w:t>基本面持续偏空发展 聚烯烃维持弱势震荡</w:t>
      </w:r>
      <w:bookmarkEnd w:id="39"/>
    </w:p>
    <w:p w:rsidR="003F56A5" w:rsidRDefault="00DC68BB">
      <w:pPr>
        <w:ind w:leftChars="300" w:left="630"/>
        <w:rPr>
          <w:rFonts w:ascii="楷体" w:eastAsia="楷体" w:hAnsi="楷体"/>
          <w:bCs/>
          <w:sz w:val="24"/>
          <w:szCs w:val="24"/>
        </w:rPr>
      </w:pPr>
      <w:r w:rsidRPr="00DC68BB">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上周美国原油库存骤增近1200万桶，担心需求减弱， 国际油价继续大跌。需求方面，PE下游方面，农膜整体需求平平，工厂生产清淡。棚膜工厂多停机检修；PP下游方面，BOPP市场成交刚需有量，整体量较上一交易日增加，BOPP企业未交付订单多数在一周以内，个别可至八月中。综合来看，PE方面，短期来看，传统旺季接近尾声，需求难有进一步提升空间，国内整体供应压力仍存，成交难有放量，供需边际向偏空方向发展，预计今PE价格维持弱势震荡。PP方面，检修损失量上涨，叠加新增扩能空窗期，市场供应压力稍缓。下游行业开工率小幅向上，但场内情绪不高，</w:t>
      </w:r>
      <w:r w:rsidRPr="00DC68BB">
        <w:rPr>
          <w:rFonts w:ascii="楷体" w:eastAsia="楷体" w:hAnsi="楷体" w:hint="eastAsia"/>
          <w:color w:val="000000" w:themeColor="text1"/>
          <w:sz w:val="24"/>
          <w:szCs w:val="24"/>
        </w:rPr>
        <w:lastRenderedPageBreak/>
        <w:t>工厂多随用随取，需求呈疲态。市场缺乏上行驱动力</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50429558"/>
      <w:r>
        <w:rPr>
          <w:rFonts w:ascii="楷体" w:eastAsia="楷体" w:hAnsi="楷体" w:hint="eastAsia"/>
          <w:b/>
          <w:color w:val="000000" w:themeColor="text1"/>
          <w:sz w:val="24"/>
          <w:szCs w:val="24"/>
        </w:rPr>
        <w:t>MEG：</w:t>
      </w:r>
      <w:r w:rsidR="00FE40D8" w:rsidRPr="00FE40D8">
        <w:rPr>
          <w:rFonts w:ascii="楷体" w:eastAsia="楷体" w:hAnsi="楷体" w:hint="eastAsia"/>
          <w:b/>
          <w:color w:val="000000" w:themeColor="text1"/>
          <w:sz w:val="24"/>
          <w:szCs w:val="24"/>
        </w:rPr>
        <w:t>11月有望去库 乙二醇震荡偏强</w:t>
      </w:r>
      <w:bookmarkEnd w:id="40"/>
    </w:p>
    <w:p w:rsidR="003F56A5" w:rsidRDefault="00FE40D8" w:rsidP="00152664">
      <w:pPr>
        <w:ind w:leftChars="300" w:left="630"/>
        <w:rPr>
          <w:rFonts w:ascii="楷体" w:eastAsia="楷体" w:hAnsi="楷体"/>
          <w:color w:val="000000" w:themeColor="text1"/>
          <w:sz w:val="24"/>
          <w:szCs w:val="24"/>
        </w:rPr>
      </w:pPr>
      <w:r w:rsidRPr="00FE40D8">
        <w:rPr>
          <w:rFonts w:ascii="楷体" w:eastAsia="楷体" w:hAnsi="楷体" w:hint="eastAsia"/>
          <w:color w:val="000000" w:themeColor="text1"/>
          <w:sz w:val="24"/>
          <w:szCs w:val="24"/>
        </w:rPr>
        <w:t>供需情况，11.06 华东主港地区MEG港口库存约126.5万吨附近，环比上期减少1.1万吨。两主流库日均发货5700-5800吨附近，江阴及常州15.6万吨，较上期持稳。另外，主流内贸中转罐统计库存在5.3万吨附近，较上期减少0.7万吨。截至11月2日，中国大陆地区乙二醇整体开工负荷在61.82%（+2.99%），其中煤制乙二醇开工负荷在64.48%（-0.21%）。</w:t>
      </w:r>
      <w:r w:rsidRPr="00FE40D8">
        <w:rPr>
          <w:rFonts w:ascii="Calibri" w:eastAsia="楷体" w:hAnsi="Calibri" w:cs="Calibri"/>
          <w:color w:val="000000" w:themeColor="text1"/>
          <w:sz w:val="24"/>
          <w:szCs w:val="24"/>
        </w:rPr>
        <w:t> </w:t>
      </w:r>
      <w:r w:rsidRPr="00FE40D8">
        <w:rPr>
          <w:rFonts w:ascii="楷体" w:eastAsia="楷体" w:hAnsi="楷体" w:hint="eastAsia"/>
          <w:color w:val="000000" w:themeColor="text1"/>
          <w:sz w:val="24"/>
          <w:szCs w:val="24"/>
        </w:rPr>
        <w:t>截至11月3日，国内大陆地区聚酯负荷在90.3%，环比高位维持。终端来看，节后江浙加弹综合开工已回升至89%（+3%），江浙织机综合开工小幅回落至80%，江浙印染综合开工82%维持。综合来看，近期宏观预期及商品氛围整体好转，供应端收缩预期及聚酯高开工维持，11月份有望驱动去库。成本端煤价持续走强提振，乙二醇维持震荡偏强格局，4080-4250波动。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50429559"/>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FE40D8" w:rsidRPr="00FE40D8">
        <w:rPr>
          <w:rFonts w:ascii="楷体" w:eastAsia="楷体" w:hAnsi="楷体" w:hint="eastAsia"/>
          <w:b/>
          <w:color w:val="000000" w:themeColor="text1"/>
          <w:sz w:val="24"/>
          <w:szCs w:val="24"/>
        </w:rPr>
        <w:t>强预期弱现实，期价高位震荡</w:t>
      </w:r>
      <w:bookmarkEnd w:id="41"/>
    </w:p>
    <w:p w:rsidR="00A71A7E" w:rsidRDefault="00FE40D8" w:rsidP="004C4CA5">
      <w:pPr>
        <w:ind w:leftChars="300" w:left="630"/>
        <w:rPr>
          <w:rFonts w:ascii="楷体" w:eastAsia="楷体" w:hAnsi="楷体"/>
          <w:color w:val="000000" w:themeColor="text1"/>
          <w:sz w:val="24"/>
          <w:szCs w:val="24"/>
        </w:rPr>
      </w:pPr>
      <w:r w:rsidRPr="00FE40D8">
        <w:rPr>
          <w:rFonts w:ascii="楷体" w:eastAsia="楷体" w:hAnsi="楷体" w:hint="eastAsia"/>
          <w:color w:val="000000" w:themeColor="text1"/>
          <w:sz w:val="24"/>
          <w:szCs w:val="24"/>
        </w:rPr>
        <w:t>今日全国均价2046元/吨，环比昨日价格-1元/吨。截止到20231102，全国浮法玻璃样本企业总库存4126.8万重箱，环比增加61万重箱，环比+1.5%，偏中性，周度平均产销在93.5%左右，较上周小幅下滑。周内原片厂优惠较多，主动去库，下游拿货谨慎，而进入11月后月初一般有阶段性补库需求；供给端产量维持17万吨/天左右相对偏高位置，供需平衡。成本端纯碱价格下跌成本下降，宏观上保交楼+旧改+保障性住房三轮政策托底，对玻璃价格有一定支撑。盘面受煤化工反弹影响和资金月初博弈影响宽幅震荡，基本面延续弱势，库存由原片厂向贸易商转移，期间高位震荡，参考区间（1600，1700）</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50429560"/>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FE40D8" w:rsidRPr="00FE40D8">
        <w:rPr>
          <w:rFonts w:ascii="楷体" w:eastAsia="楷体" w:hAnsi="楷体" w:hint="eastAsia"/>
          <w:b/>
          <w:color w:val="000000" w:themeColor="text1"/>
          <w:sz w:val="24"/>
          <w:szCs w:val="24"/>
        </w:rPr>
        <w:t>成本端煤价反弹，纯碱反弹暂未结束</w:t>
      </w:r>
      <w:bookmarkEnd w:id="42"/>
    </w:p>
    <w:p w:rsidR="00A71A7E" w:rsidRDefault="00FE40D8" w:rsidP="00F51139">
      <w:pPr>
        <w:ind w:leftChars="300" w:left="630"/>
        <w:rPr>
          <w:rFonts w:ascii="楷体" w:eastAsia="楷体" w:hAnsi="楷体"/>
          <w:bCs/>
          <w:sz w:val="24"/>
          <w:szCs w:val="24"/>
        </w:rPr>
      </w:pPr>
      <w:r w:rsidRPr="00FE40D8">
        <w:rPr>
          <w:rFonts w:ascii="楷体" w:eastAsia="楷体" w:hAnsi="楷体" w:hint="eastAsia"/>
          <w:color w:val="000000" w:themeColor="text1"/>
          <w:sz w:val="24"/>
          <w:szCs w:val="24"/>
        </w:rPr>
        <w:t>纯碱现货价格周内继续下移。华中地区重碱报价2200元/吨（环比-100元/吨），青海地区重碱报价2000元/吨。供给方面，纯碱周产量67.83万吨，跌幅1.71%，本周青海盐湖和发投环保问题减产，部分企业短停，三友11月有轮检计划，产量小幅下降，预计65万吨附近；本周厂库库存51.13吨，环比+5.93吨，涨幅13.07%，社会库存窄幅下降，环比下降接近0.2万吨。需求上，下游基本刚需为主，周度表需在62万吨左右，预计周度累库2-3万吨。进出口上，后续仍有低价进口到港，供需趋于宽松。盘面远月合约受基差和成本端煤价反弹影响表现较强，短期小作文较多，空单大幅减仓，临近变盘关口，建议观望</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5042956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5042956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FE40D8" w:rsidRPr="00FE40D8">
        <w:rPr>
          <w:rFonts w:ascii="楷体" w:eastAsia="楷体" w:hAnsi="楷体" w:hint="eastAsia"/>
          <w:b/>
          <w:sz w:val="24"/>
          <w:szCs w:val="24"/>
        </w:rPr>
        <w:t>南美天气升水支撑，期价偏强震荡</w:t>
      </w:r>
      <w:bookmarkEnd w:id="44"/>
    </w:p>
    <w:p w:rsidR="003F56A5" w:rsidRDefault="00FE40D8">
      <w:pPr>
        <w:ind w:leftChars="300" w:left="630"/>
        <w:rPr>
          <w:rFonts w:ascii="楷体" w:eastAsia="楷体" w:hAnsi="楷体"/>
          <w:sz w:val="24"/>
          <w:szCs w:val="24"/>
        </w:rPr>
      </w:pPr>
      <w:r w:rsidRPr="00FE40D8">
        <w:rPr>
          <w:rFonts w:ascii="楷体" w:eastAsia="楷体" w:hAnsi="楷体" w:hint="eastAsia"/>
          <w:sz w:val="24"/>
          <w:szCs w:val="24"/>
        </w:rPr>
        <w:t>因巴西新作大豆种植进度落后，天气升水叠加美豆边际需求改善，支撑CBOT大豆保持坚挺。随着美豆定产后，市场定价重心将逐步转向南美，虽当前巴西部分产区天气改善，但降水分布不均，目前种植进度落后于去年</w:t>
      </w:r>
      <w:r w:rsidRPr="00FE40D8">
        <w:rPr>
          <w:rFonts w:ascii="楷体" w:eastAsia="楷体" w:hAnsi="楷体" w:hint="eastAsia"/>
          <w:sz w:val="24"/>
          <w:szCs w:val="24"/>
        </w:rPr>
        <w:lastRenderedPageBreak/>
        <w:t>同期水平，中长期南美丰产预期能否兑现仍是后续价格走势的关键。国内现货基差继续承压运行，随着价格反弹或提振下游补库需求。供应端在9-10月份大豆阶段性到港减少下，油厂大豆库存维持偏低水平，随着油厂开机恢复，豆粕产出缓增，但部分油厂存断豆停机情况，豆粕库存较前一周减少至62.29万吨，当前沿海主流油厂豆粕现货报价上调至4230-4320元/吨。10月份进口大豆到港量为516万吨，环比减27.8%，11-12月预计会增至月均950万吨的到港，但当前市场对后续到港量存在分歧，关注后续大豆是否存在延迟到港情况。需求，下游生猪养殖利润不佳，但在能繁存栏高位下，下游维持刚需补库，保持安全库存。菜粕供应存宽松预期，但当前库存较低。随着6月份后菜籽到港减少，油厂压榨也在逐步下滑，但四季度随着菜籽进口增加，菜粕供应预计转宽。而需求方面，随着水产消费旺季的结束，菜粕刚需减少，但在豆菜粕价差较大下提振菜粕的替代需求。策略方面，远月压力仍存，短期跟随外盘波动偏强震荡，建议短线操作，豆粕关注1-5正套，菜粕波动区间2850-3100，暂看区间上沿压力</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50429563"/>
      <w:r>
        <w:rPr>
          <w:rFonts w:ascii="楷体" w:eastAsia="楷体" w:hAnsi="楷体" w:hint="eastAsia"/>
          <w:b/>
          <w:color w:val="000000" w:themeColor="text1"/>
          <w:sz w:val="24"/>
          <w:szCs w:val="24"/>
        </w:rPr>
        <w:t>油脂：</w:t>
      </w:r>
      <w:r w:rsidR="00FE40D8" w:rsidRPr="00FE40D8">
        <w:rPr>
          <w:rFonts w:ascii="楷体" w:eastAsia="楷体" w:hAnsi="楷体" w:hint="eastAsia"/>
          <w:b/>
          <w:sz w:val="24"/>
          <w:szCs w:val="24"/>
        </w:rPr>
        <w:t>宽幅震荡，等待本周报告公布</w:t>
      </w:r>
      <w:bookmarkEnd w:id="45"/>
    </w:p>
    <w:p w:rsidR="003F56A5" w:rsidRDefault="00FE40D8" w:rsidP="00792D31">
      <w:pPr>
        <w:ind w:leftChars="300" w:left="630"/>
        <w:rPr>
          <w:rFonts w:ascii="楷体" w:eastAsia="楷体" w:hAnsi="楷体"/>
          <w:sz w:val="24"/>
          <w:szCs w:val="24"/>
        </w:rPr>
      </w:pPr>
      <w:r w:rsidRPr="00FE40D8">
        <w:rPr>
          <w:rFonts w:ascii="楷体" w:eastAsia="楷体" w:hAnsi="楷体" w:hint="eastAsia"/>
          <w:sz w:val="24"/>
          <w:szCs w:val="24"/>
        </w:rPr>
        <w:t>在油脂库存偏高压力下，国内供需矛盾未出现，短期尚不具备单边驱动动力。棕榈油，产地季节性增产周期下10月存继续累库预期，印尼棕榈油8月份因产需双降，库存修复不及预期。而马棕9月库存增至新高，基本符合市场预期。马棕10月出口环比增加6%-8%，而在产量延续增势下，预计10月仍将保持累库趋势；但11月产地将进入季节性减产阶段，关注厄尔尼诺对产量的影响，为中长期潜在利多因素。国内棕榈油8-9月份进口到港维持高位，在买船积极下，进口供应稳增，最新商业库存继续增加至92.27万吨。需求端，随着各地气温转凉，棕榈油逐步进入消费淡季，掺混需求预计减少。豆油库存去化仍需看需求增量。国内受9-10月大豆到港减少大豆库存偏低影响，虽油厂开机有所回升，但整体压榨水平偏低，豆油供应增量有限。需求端，终端存在一定补库需求，且四季度为豆油消费旺季，部分掺混需求预计转向豆油，但当前价格优势并不明显，限制替代需求，近期成交未见明显增量，库存维持中性偏低水平。菜油短期供应压力减轻，但四季度存供应宽松预期。当前主产地菜籽新作进入收割出口阶段，集中上市压力也抑制期价走势。虽8-9月份进口加籽到港量减少，菜籽开机及压榨水平偏低，9月菜籽进口32万吨，环比减18.9%，四季度菜籽进口预期宽松。需求方面，与豆油价差持续收窄，部分地区出现与豆油价格平水情况，或提振替代需求。短期油脂维持宽幅震荡，上行驱动预计有限，建议短线波段操作，高抛低吸；中长期关注天气及需求表现，维持谨慎看多观点，关注做多油粕比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50429564"/>
      <w:r>
        <w:rPr>
          <w:rFonts w:ascii="楷体" w:eastAsia="楷体" w:hAnsi="楷体" w:hint="eastAsia"/>
          <w:b/>
          <w:bCs/>
          <w:color w:val="000000" w:themeColor="text1"/>
        </w:rPr>
        <w:t>玉米与淀粉：</w:t>
      </w:r>
      <w:r w:rsidR="00FE40D8" w:rsidRPr="00FE40D8">
        <w:rPr>
          <w:rFonts w:ascii="楷体" w:eastAsia="楷体" w:hAnsi="楷体" w:hint="eastAsia"/>
          <w:b/>
        </w:rPr>
        <w:t>期价偏强震荡</w:t>
      </w:r>
      <w:bookmarkEnd w:id="46"/>
    </w:p>
    <w:p w:rsidR="00FE40D8" w:rsidRPr="00FE40D8" w:rsidRDefault="00FE40D8" w:rsidP="00FE40D8">
      <w:pPr>
        <w:pStyle w:val="paragraph"/>
        <w:spacing w:before="60" w:after="60"/>
        <w:ind w:leftChars="300" w:left="630"/>
        <w:rPr>
          <w:rFonts w:ascii="楷体" w:eastAsia="楷体" w:hAnsi="楷体" w:hint="eastAsia"/>
        </w:rPr>
      </w:pPr>
      <w:r w:rsidRPr="00FE40D8">
        <w:rPr>
          <w:rFonts w:ascii="楷体" w:eastAsia="楷体" w:hAnsi="楷体" w:hint="eastAsia"/>
        </w:rPr>
        <w:t>对于玉米而言，基于之前的逻辑，市场更多等待新作压力的释放，11月以来东北产区中黑龙江和吉林逐步止跌回升，盘面呈现远月升水结构，或表明新作上市压力临近尾声，而中下游库存相对偏低，且国产玉米性价比在持续回落之后有显著提升，目前已优于小麦和陈稻，仅次于进口玉米，后期市场或逐步基于年度产需缺口而进入补库阶段，这有望带动</w:t>
      </w:r>
      <w:r w:rsidRPr="00FE40D8">
        <w:rPr>
          <w:rFonts w:ascii="楷体" w:eastAsia="楷体" w:hAnsi="楷体" w:hint="eastAsia"/>
        </w:rPr>
        <w:lastRenderedPageBreak/>
        <w:t>现货止跌回升。综上所述，我们维持谨慎看多观点，建议谨慎投资者观望，激进投资者择机做多，或持有前期多单。</w:t>
      </w:r>
    </w:p>
    <w:p w:rsidR="003F56A5" w:rsidRDefault="00FE40D8" w:rsidP="00FE40D8">
      <w:pPr>
        <w:pStyle w:val="paragraph"/>
        <w:spacing w:before="60" w:beforeAutospacing="0" w:after="60" w:afterAutospacing="0"/>
        <w:ind w:leftChars="300" w:left="630"/>
        <w:rPr>
          <w:rFonts w:ascii="楷体" w:eastAsia="楷体" w:hAnsi="楷体"/>
        </w:rPr>
      </w:pPr>
      <w:r w:rsidRPr="00FE40D8">
        <w:rPr>
          <w:rFonts w:ascii="楷体" w:eastAsia="楷体" w:hAnsi="楷体" w:hint="eastAsia"/>
        </w:rPr>
        <w:t>对于淀粉而言，近期淀粉-玉米价差整体小幅走扩，主要源于行业供需端和副产品端相对利多，特别是副产品价格持续下跌影响相对较大，进入11月以来，影响淀粉-玉米价差的三个方面因素已经发生变化，原料端转向利多，供需端则有望从利多转向利空，供需端则存在较大变数。在这种情况下，我们倾向于认为淀粉-玉米价差仍有望在原料端的带动持续走扩，但受制于供需端的变化其上方空间或相对有限，除非蛋白粕带动副产品价格继续下跌。综上所述，维持谨慎看多观点，单边建议投资者择机入场做多或持有前期多单，套利方面则建议持有淀粉-玉米价差走扩套利组合，后期择机获利离场</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50429565"/>
      <w:r>
        <w:rPr>
          <w:rFonts w:ascii="楷体" w:eastAsia="楷体" w:hAnsi="楷体" w:hint="eastAsia"/>
          <w:b/>
          <w:bCs/>
          <w:color w:val="000000" w:themeColor="text1"/>
        </w:rPr>
        <w:t>畜禽养殖：</w:t>
      </w:r>
      <w:r w:rsidR="00FE40D8" w:rsidRPr="00FE40D8">
        <w:rPr>
          <w:rFonts w:ascii="楷体" w:eastAsia="楷体" w:hAnsi="楷体" w:hint="eastAsia"/>
          <w:b/>
          <w:bCs/>
          <w:color w:val="000000" w:themeColor="text1"/>
        </w:rPr>
        <w:t>现货带动近月期价延续弱势</w:t>
      </w:r>
      <w:bookmarkEnd w:id="47"/>
    </w:p>
    <w:p w:rsidR="00FE40D8" w:rsidRPr="00FE40D8" w:rsidRDefault="00FE40D8" w:rsidP="00FE40D8">
      <w:pPr>
        <w:pStyle w:val="paragraph"/>
        <w:spacing w:before="60" w:after="60"/>
        <w:ind w:leftChars="300" w:left="630"/>
        <w:rPr>
          <w:rFonts w:ascii="楷体" w:eastAsia="楷体" w:hAnsi="楷体" w:hint="eastAsia"/>
        </w:rPr>
      </w:pPr>
      <w:r w:rsidRPr="00FE40D8">
        <w:rPr>
          <w:rFonts w:ascii="楷体" w:eastAsia="楷体" w:hAnsi="楷体" w:hint="eastAsia"/>
        </w:rPr>
        <w:t>对于生猪而言，从期价表现可以看出，市场对远月供需预期趋于乐观，这主要源于产能去化有望加快，具体而言来自两个方面，其一是仔猪价格的持续下跌，其二是10月下半月局部地区非洲猪瘟疫情带来的担忧。在前期报告中我们指出，市场或更多关注现货价格波动的区间和节奏，当前节奏符合我们之前先抑后扬的判断，考虑到8月以来现货持续下跌带来供应的消化，后期现货有望出现反弹机会，这对应1月合约。而对于明年上半年合约而言，从目前数据来看，供应整体仍较为充裕，需求受季节性因素抑制，现货表现或难言乐观。综上所述，考虑到产能去化加快，市场对于远期供需预期趋于乐观存在合理性，但春节前后合约或存在结构性机会，我们维持谨慎看多观点，建议投资者关注1-3或1-5正套的交易机会，激进投资者择机轻仓买入2401合约。</w:t>
      </w:r>
    </w:p>
    <w:p w:rsidR="003F56A5" w:rsidRDefault="00FE40D8" w:rsidP="00FE40D8">
      <w:pPr>
        <w:pStyle w:val="paragraph"/>
        <w:spacing w:before="60" w:beforeAutospacing="0" w:after="60" w:afterAutospacing="0"/>
        <w:ind w:leftChars="300" w:left="630"/>
        <w:rPr>
          <w:rFonts w:ascii="楷体" w:eastAsia="楷体" w:hAnsi="楷体"/>
        </w:rPr>
      </w:pPr>
      <w:r w:rsidRPr="00FE40D8">
        <w:rPr>
          <w:rFonts w:ascii="楷体" w:eastAsia="楷体" w:hAnsi="楷体" w:hint="eastAsia"/>
        </w:rPr>
        <w:t>对于鸡蛋而言，10月期间期现货表现符合我们之前报告预期，自9月下半月以来鸡蛋持续季节性下跌，表现符合往年季节性规律。从供需角度看，卓创资讯数据显示，在产蛋鸡存栏连续四个月环比增加，考虑到今年节后以来蛋鸡苗销量均同比增加，而蛋鸡淘汰量持续处于历史低位水平，蛋鸡淘汰日龄则持续位于历史同期高位，由此可以看出，后期鸡蛋供需有望继续趋于改善。考虑到目前1月合约大致平水于主产区均价，且市场对春节前的需求旺季有所期待，这有望带来短期支撑，但考虑到整个动物蛋白供需过剩和鸡蛋供需趋于改善的大背景，鸡蛋期现货价格或仍有下跌空间。在这种情况下，我们维持谨慎看空观点，建议持有前期空单，如无前期空单，则可以考虑择机逢高入场做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50429566"/>
      <w:r>
        <w:rPr>
          <w:rFonts w:ascii="楷体" w:eastAsia="楷体" w:hAnsi="楷体" w:hint="eastAsia"/>
          <w:b/>
          <w:sz w:val="24"/>
          <w:szCs w:val="24"/>
        </w:rPr>
        <w:t>郑棉：</w:t>
      </w:r>
      <w:r w:rsidR="00FE40D8" w:rsidRPr="00FE40D8">
        <w:rPr>
          <w:rFonts w:ascii="楷体" w:eastAsia="楷体" w:hAnsi="楷体" w:hint="eastAsia"/>
          <w:b/>
          <w:sz w:val="24"/>
          <w:szCs w:val="24"/>
        </w:rPr>
        <w:t>偏弱震荡，空单持有或观望</w:t>
      </w:r>
      <w:bookmarkEnd w:id="48"/>
    </w:p>
    <w:p w:rsidR="003F56A5" w:rsidRDefault="00FE40D8" w:rsidP="007B3290">
      <w:pPr>
        <w:ind w:leftChars="300" w:left="630"/>
        <w:rPr>
          <w:rFonts w:ascii="楷体" w:eastAsia="楷体" w:hAnsi="楷体"/>
          <w:sz w:val="24"/>
          <w:szCs w:val="24"/>
        </w:rPr>
      </w:pPr>
      <w:r w:rsidRPr="00FE40D8">
        <w:rPr>
          <w:rFonts w:ascii="楷体" w:eastAsia="楷体" w:hAnsi="楷体" w:hint="eastAsia"/>
          <w:sz w:val="24"/>
          <w:szCs w:val="24"/>
        </w:rPr>
        <w:t>新疆棉纺产能迅速扩张，且成本较之内地有极大优势。近期尽管内地已普遍亏损甚至有减产预期，但新疆纺织厂仍有一定利润，因此开机率仍保持在一定水平。不过，在始终缺乏新单的情况下，新疆纺织厂年末亦有降开机甚至是停机的计划。贸易商和纺织厂近期开始清理库存，纱线价格加速下滑。新棉收购接近中后期，成本逐渐明朗，套保预期压制下郑棉反弹高</w:t>
      </w:r>
      <w:r w:rsidRPr="00FE40D8">
        <w:rPr>
          <w:rFonts w:ascii="楷体" w:eastAsia="楷体" w:hAnsi="楷体" w:hint="eastAsia"/>
          <w:sz w:val="24"/>
          <w:szCs w:val="24"/>
        </w:rPr>
        <w:lastRenderedPageBreak/>
        <w:t>度受限。1-5价差和5-9价差先缩后扩，此前1-5接近平水时给予了较好的基差贸易正套机会，预计短期内郑棉1.55-1.6万区间震荡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50429567"/>
      <w:r>
        <w:rPr>
          <w:rFonts w:ascii="楷体" w:eastAsia="楷体" w:hAnsi="楷体" w:hint="eastAsia"/>
          <w:b/>
          <w:sz w:val="24"/>
          <w:szCs w:val="24"/>
        </w:rPr>
        <w:t>白糖：</w:t>
      </w:r>
      <w:r w:rsidR="00FE40D8" w:rsidRPr="00FE40D8">
        <w:rPr>
          <w:rFonts w:ascii="楷体" w:eastAsia="楷体" w:hAnsi="楷体" w:hint="eastAsia"/>
          <w:b/>
          <w:sz w:val="24"/>
          <w:szCs w:val="24"/>
        </w:rPr>
        <w:t>区间震荡，6950附近逢高建立空单</w:t>
      </w:r>
      <w:bookmarkEnd w:id="49"/>
    </w:p>
    <w:p w:rsidR="00296325" w:rsidRDefault="00FE40D8" w:rsidP="00296325">
      <w:pPr>
        <w:ind w:leftChars="300" w:left="630"/>
        <w:rPr>
          <w:rFonts w:ascii="楷体" w:eastAsia="楷体" w:hAnsi="楷体"/>
          <w:sz w:val="24"/>
          <w:szCs w:val="24"/>
        </w:rPr>
      </w:pPr>
      <w:r w:rsidRPr="00FE40D8">
        <w:rPr>
          <w:rFonts w:ascii="楷体" w:eastAsia="楷体" w:hAnsi="楷体" w:hint="eastAsia"/>
          <w:sz w:val="24"/>
          <w:szCs w:val="24"/>
        </w:rPr>
        <w:t>巴西食糖丰产，但巴西主要港口的拥堵使其对国际的输出受限。除巴西外，厄尔尼诺天气影响下，市场对新季白糖的供应感到担忧，ICE原糖保持强势。主要产糖大国印度的乙醇燃料计划使其甘蔗使用量大增，出口限制政策延续。泰国的产糖前景也不乐观，泰国发布限制出口政策，国际糖价再创新高后回落。对于国内糖价来说，传闻10月交割的原糖大部分将运往中国，新榨季也已开始，供应紧张局面短期内有所缓解，现货价格较前期松动，基差收敛。白糖外强内弱</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50429568"/>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50429569"/>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D81ED8" w:rsidRPr="00D81ED8">
        <w:rPr>
          <w:rFonts w:ascii="Times New Roman" w:eastAsia="楷体" w:hAnsi="Times New Roman" w:hint="eastAsia"/>
          <w:b/>
          <w:color w:val="000000" w:themeColor="text1"/>
          <w:sz w:val="24"/>
          <w:szCs w:val="24"/>
        </w:rPr>
        <w:t>挺价计划兑现，期市维持弱势震荡</w:t>
      </w:r>
      <w:bookmarkEnd w:id="51"/>
    </w:p>
    <w:p w:rsidR="00D81ED8" w:rsidRPr="00D81ED8" w:rsidRDefault="00D81ED8" w:rsidP="00D81ED8">
      <w:pPr>
        <w:ind w:leftChars="300" w:left="630"/>
        <w:rPr>
          <w:rFonts w:ascii="Times New Roman" w:eastAsia="楷体" w:hAnsi="Times New Roman" w:hint="eastAsia"/>
          <w:color w:val="000000" w:themeColor="text1"/>
          <w:sz w:val="24"/>
          <w:szCs w:val="24"/>
        </w:rPr>
      </w:pPr>
      <w:r w:rsidRPr="00D81ED8">
        <w:rPr>
          <w:rFonts w:ascii="Times New Roman" w:eastAsia="楷体" w:hAnsi="Times New Roman" w:hint="eastAsia"/>
          <w:color w:val="000000" w:themeColor="text1"/>
          <w:sz w:val="24"/>
          <w:szCs w:val="24"/>
        </w:rPr>
        <w:t>昨日</w:t>
      </w:r>
      <w:r w:rsidRPr="00D81ED8">
        <w:rPr>
          <w:rFonts w:ascii="Times New Roman" w:eastAsia="楷体" w:hAnsi="Times New Roman" w:hint="eastAsia"/>
          <w:color w:val="000000" w:themeColor="text1"/>
          <w:sz w:val="24"/>
          <w:szCs w:val="24"/>
        </w:rPr>
        <w:t>EC</w:t>
      </w:r>
      <w:r w:rsidRPr="00D81ED8">
        <w:rPr>
          <w:rFonts w:ascii="Times New Roman" w:eastAsia="楷体" w:hAnsi="Times New Roman" w:hint="eastAsia"/>
          <w:color w:val="000000" w:themeColor="text1"/>
          <w:sz w:val="24"/>
          <w:szCs w:val="24"/>
        </w:rPr>
        <w:t>合约小幅反弹，整体仍然呈现弱势震荡格局。供应端方面，近日船公司陆续削减航线以控制运力。即期运价方面，船公司</w:t>
      </w:r>
      <w:r w:rsidRPr="00D81ED8">
        <w:rPr>
          <w:rFonts w:ascii="Times New Roman" w:eastAsia="楷体" w:hAnsi="Times New Roman" w:hint="eastAsia"/>
          <w:color w:val="000000" w:themeColor="text1"/>
          <w:sz w:val="24"/>
          <w:szCs w:val="24"/>
        </w:rPr>
        <w:t>11</w:t>
      </w:r>
      <w:r w:rsidRPr="00D81ED8">
        <w:rPr>
          <w:rFonts w:ascii="Times New Roman" w:eastAsia="楷体" w:hAnsi="Times New Roman" w:hint="eastAsia"/>
          <w:color w:val="000000" w:themeColor="text1"/>
          <w:sz w:val="24"/>
          <w:szCs w:val="24"/>
        </w:rPr>
        <w:t>月初开始正式上调运价，但</w:t>
      </w:r>
      <w:r w:rsidRPr="00D81ED8">
        <w:rPr>
          <w:rFonts w:ascii="Times New Roman" w:eastAsia="楷体" w:hAnsi="Times New Roman" w:hint="eastAsia"/>
          <w:color w:val="000000" w:themeColor="text1"/>
          <w:sz w:val="24"/>
          <w:szCs w:val="24"/>
        </w:rPr>
        <w:t>6</w:t>
      </w:r>
      <w:r w:rsidRPr="00D81ED8">
        <w:rPr>
          <w:rFonts w:ascii="Times New Roman" w:eastAsia="楷体" w:hAnsi="Times New Roman" w:hint="eastAsia"/>
          <w:color w:val="000000" w:themeColor="text1"/>
          <w:sz w:val="24"/>
          <w:szCs w:val="24"/>
        </w:rPr>
        <w:t>日盘后公布</w:t>
      </w:r>
      <w:r w:rsidRPr="00D81ED8">
        <w:rPr>
          <w:rFonts w:ascii="Times New Roman" w:eastAsia="楷体" w:hAnsi="Times New Roman" w:hint="eastAsia"/>
          <w:color w:val="000000" w:themeColor="text1"/>
          <w:sz w:val="24"/>
          <w:szCs w:val="24"/>
        </w:rPr>
        <w:t>SCFIS</w:t>
      </w:r>
      <w:r w:rsidRPr="00D81ED8">
        <w:rPr>
          <w:rFonts w:ascii="Times New Roman" w:eastAsia="楷体" w:hAnsi="Times New Roman" w:hint="eastAsia"/>
          <w:color w:val="000000" w:themeColor="text1"/>
          <w:sz w:val="24"/>
          <w:szCs w:val="24"/>
        </w:rPr>
        <w:t>欧线，反映的是提价计划实施的第一周的运价，仅上涨</w:t>
      </w:r>
      <w:r w:rsidRPr="00D81ED8">
        <w:rPr>
          <w:rFonts w:ascii="Times New Roman" w:eastAsia="楷体" w:hAnsi="Times New Roman" w:hint="eastAsia"/>
          <w:color w:val="000000" w:themeColor="text1"/>
          <w:sz w:val="24"/>
          <w:szCs w:val="24"/>
        </w:rPr>
        <w:t>7.69%</w:t>
      </w:r>
      <w:r w:rsidRPr="00D81ED8">
        <w:rPr>
          <w:rFonts w:ascii="Times New Roman" w:eastAsia="楷体" w:hAnsi="Times New Roman" w:hint="eastAsia"/>
          <w:color w:val="000000" w:themeColor="text1"/>
          <w:sz w:val="24"/>
          <w:szCs w:val="24"/>
        </w:rPr>
        <w:t>并不如理想。外需方面，欧洲</w:t>
      </w:r>
      <w:r w:rsidRPr="00D81ED8">
        <w:rPr>
          <w:rFonts w:ascii="Times New Roman" w:eastAsia="楷体" w:hAnsi="Times New Roman" w:hint="eastAsia"/>
          <w:color w:val="000000" w:themeColor="text1"/>
          <w:sz w:val="24"/>
          <w:szCs w:val="24"/>
        </w:rPr>
        <w:t>10</w:t>
      </w:r>
      <w:r w:rsidRPr="00D81ED8">
        <w:rPr>
          <w:rFonts w:ascii="Times New Roman" w:eastAsia="楷体" w:hAnsi="Times New Roman" w:hint="eastAsia"/>
          <w:color w:val="000000" w:themeColor="text1"/>
          <w:sz w:val="24"/>
          <w:szCs w:val="24"/>
        </w:rPr>
        <w:t>月三大</w:t>
      </w:r>
      <w:r w:rsidRPr="00D81ED8">
        <w:rPr>
          <w:rFonts w:ascii="Times New Roman" w:eastAsia="楷体" w:hAnsi="Times New Roman" w:hint="eastAsia"/>
          <w:color w:val="000000" w:themeColor="text1"/>
          <w:sz w:val="24"/>
          <w:szCs w:val="24"/>
        </w:rPr>
        <w:t>PMI</w:t>
      </w:r>
      <w:r w:rsidRPr="00D81ED8">
        <w:rPr>
          <w:rFonts w:ascii="Times New Roman" w:eastAsia="楷体" w:hAnsi="Times New Roman" w:hint="eastAsia"/>
          <w:color w:val="000000" w:themeColor="text1"/>
          <w:sz w:val="24"/>
          <w:szCs w:val="24"/>
        </w:rPr>
        <w:t>指数继续处于荣枯线以下，高利率叠加低增长的环境下，欧洲经济疲软将延续，从而对需求产生抑制。</w:t>
      </w:r>
    </w:p>
    <w:p w:rsidR="00152664" w:rsidRDefault="00D81ED8" w:rsidP="00D81ED8">
      <w:pPr>
        <w:ind w:leftChars="300" w:left="630"/>
        <w:rPr>
          <w:rFonts w:ascii="Times New Roman" w:eastAsia="楷体" w:hAnsi="Times New Roman"/>
          <w:color w:val="000000" w:themeColor="text1"/>
          <w:sz w:val="24"/>
          <w:szCs w:val="24"/>
        </w:rPr>
      </w:pPr>
      <w:r w:rsidRPr="00D81ED8">
        <w:rPr>
          <w:rFonts w:ascii="Times New Roman" w:eastAsia="楷体" w:hAnsi="Times New Roman" w:hint="eastAsia"/>
          <w:color w:val="000000" w:themeColor="text1"/>
          <w:sz w:val="24"/>
          <w:szCs w:val="24"/>
        </w:rPr>
        <w:t>消息面兑现后，未来运价或回归供强需弱的中长期基本面，短期或继续弱势运行。建议操作上以区间顶部高空为主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EF8" w:rsidRDefault="00717EF8">
      <w:r>
        <w:separator/>
      </w:r>
    </w:p>
  </w:endnote>
  <w:endnote w:type="continuationSeparator" w:id="0">
    <w:p w:rsidR="00717EF8" w:rsidRDefault="0071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210A7B96" wp14:editId="2A33FEE9">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C68BB">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C68BB">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EF8" w:rsidRDefault="00717EF8">
      <w:r>
        <w:separator/>
      </w:r>
    </w:p>
  </w:footnote>
  <w:footnote w:type="continuationSeparator" w:id="0">
    <w:p w:rsidR="00717EF8" w:rsidRDefault="00717E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225EA85D" wp14:editId="246DBD78">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27C70D2F" wp14:editId="1A51841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FE40D8">
      <w:rPr>
        <w:rFonts w:ascii="Times New Roman" w:eastAsia="楷体" w:hAnsi="Times New Roman" w:hint="eastAsia"/>
        <w:b/>
        <w:bCs/>
        <w:noProof/>
        <w:color w:val="833C0B"/>
        <w:sz w:val="21"/>
      </w:rPr>
      <w:t>2023</w:t>
    </w:r>
    <w:r w:rsidR="00FE40D8">
      <w:rPr>
        <w:rFonts w:ascii="Times New Roman" w:eastAsia="楷体" w:hAnsi="Times New Roman" w:hint="eastAsia"/>
        <w:b/>
        <w:bCs/>
        <w:noProof/>
        <w:color w:val="833C0B"/>
        <w:sz w:val="21"/>
      </w:rPr>
      <w:t>年</w:t>
    </w:r>
    <w:r w:rsidR="00FE40D8">
      <w:rPr>
        <w:rFonts w:ascii="Times New Roman" w:eastAsia="楷体" w:hAnsi="Times New Roman" w:hint="eastAsia"/>
        <w:b/>
        <w:bCs/>
        <w:noProof/>
        <w:color w:val="833C0B"/>
        <w:sz w:val="21"/>
      </w:rPr>
      <w:t>11</w:t>
    </w:r>
    <w:r w:rsidR="00FE40D8">
      <w:rPr>
        <w:rFonts w:ascii="Times New Roman" w:eastAsia="楷体" w:hAnsi="Times New Roman" w:hint="eastAsia"/>
        <w:b/>
        <w:bCs/>
        <w:noProof/>
        <w:color w:val="833C0B"/>
        <w:sz w:val="21"/>
      </w:rPr>
      <w:t>月</w:t>
    </w:r>
    <w:r w:rsidR="00FE40D8">
      <w:rPr>
        <w:rFonts w:ascii="Times New Roman" w:eastAsia="楷体" w:hAnsi="Times New Roman" w:hint="eastAsia"/>
        <w:b/>
        <w:bCs/>
        <w:noProof/>
        <w:color w:val="833C0B"/>
        <w:sz w:val="21"/>
      </w:rPr>
      <w:t>9</w:t>
    </w:r>
    <w:r w:rsidR="00FE40D8">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AA"/>
    <w:rsid w:val="00073CEF"/>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2664"/>
    <w:rsid w:val="001529BB"/>
    <w:rsid w:val="00155A0F"/>
    <w:rsid w:val="00156FEB"/>
    <w:rsid w:val="001579F3"/>
    <w:rsid w:val="00163984"/>
    <w:rsid w:val="00170E7B"/>
    <w:rsid w:val="00170EDF"/>
    <w:rsid w:val="001801C4"/>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D3A9E"/>
    <w:rsid w:val="003F2424"/>
    <w:rsid w:val="003F56A5"/>
    <w:rsid w:val="00404AFE"/>
    <w:rsid w:val="004123EF"/>
    <w:rsid w:val="0041664D"/>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45ED"/>
    <w:rsid w:val="00521683"/>
    <w:rsid w:val="00523E95"/>
    <w:rsid w:val="005245A4"/>
    <w:rsid w:val="00526949"/>
    <w:rsid w:val="00533D1C"/>
    <w:rsid w:val="00535DC9"/>
    <w:rsid w:val="005376B7"/>
    <w:rsid w:val="00540298"/>
    <w:rsid w:val="00541F3F"/>
    <w:rsid w:val="0054268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17EF8"/>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23B5"/>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23F73"/>
    <w:rsid w:val="00B33C93"/>
    <w:rsid w:val="00B42124"/>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56E"/>
    <w:rsid w:val="00BF3137"/>
    <w:rsid w:val="00BF441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164D"/>
    <w:rsid w:val="00DF1796"/>
    <w:rsid w:val="00DF270D"/>
    <w:rsid w:val="00DF3137"/>
    <w:rsid w:val="00DF3B28"/>
    <w:rsid w:val="00DF5606"/>
    <w:rsid w:val="00DF56EC"/>
    <w:rsid w:val="00E020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6B0E"/>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8F849-6D2B-4CC5-9134-CE3E9963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4517</TotalTime>
  <Pages>10</Pages>
  <Words>1670</Words>
  <Characters>9524</Characters>
  <Application>Microsoft Office Word</Application>
  <DocSecurity>0</DocSecurity>
  <Lines>79</Lines>
  <Paragraphs>22</Paragraphs>
  <ScaleCrop>false</ScaleCrop>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131</cp:revision>
  <cp:lastPrinted>2023-06-08T02:23:00Z</cp:lastPrinted>
  <dcterms:created xsi:type="dcterms:W3CDTF">2022-11-15T10:06:00Z</dcterms:created>
  <dcterms:modified xsi:type="dcterms:W3CDTF">2023-11-09T05:38:00Z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