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03BB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03BBB" w:rsidRPr="0070669F">
            <w:rPr>
              <w:rStyle w:val="a9"/>
              <w:noProof/>
            </w:rPr>
            <w:fldChar w:fldCharType="begin"/>
          </w:r>
          <w:r w:rsidR="00003BBB" w:rsidRPr="0070669F">
            <w:rPr>
              <w:rStyle w:val="a9"/>
              <w:noProof/>
            </w:rPr>
            <w:instrText xml:space="preserve"> </w:instrText>
          </w:r>
          <w:r w:rsidR="00003BBB">
            <w:rPr>
              <w:noProof/>
            </w:rPr>
            <w:instrText>HYPERLINK \l "_Toc149901671"</w:instrText>
          </w:r>
          <w:r w:rsidR="00003BBB" w:rsidRPr="0070669F">
            <w:rPr>
              <w:rStyle w:val="a9"/>
              <w:noProof/>
            </w:rPr>
            <w:instrText xml:space="preserve"> </w:instrText>
          </w:r>
          <w:r w:rsidR="00003BBB" w:rsidRPr="0070669F">
            <w:rPr>
              <w:rStyle w:val="a9"/>
              <w:noProof/>
            </w:rPr>
          </w:r>
          <w:r w:rsidR="00003BBB" w:rsidRPr="0070669F">
            <w:rPr>
              <w:rStyle w:val="a9"/>
              <w:noProof/>
            </w:rPr>
            <w:fldChar w:fldCharType="separate"/>
          </w:r>
          <w:r w:rsidR="00003BBB" w:rsidRPr="0070669F">
            <w:rPr>
              <w:rStyle w:val="a9"/>
              <w:rFonts w:ascii="Times New Roman" w:eastAsia="楷体" w:hAnsi="Times New Roman"/>
              <w:b/>
              <w:noProof/>
            </w:rPr>
            <w:t>[</w:t>
          </w:r>
          <w:r w:rsidR="00003BBB" w:rsidRPr="0070669F">
            <w:rPr>
              <w:rStyle w:val="a9"/>
              <w:rFonts w:ascii="Times New Roman" w:eastAsia="楷体" w:hAnsi="Times New Roman"/>
              <w:b/>
              <w:noProof/>
            </w:rPr>
            <w:t>金融</w:t>
          </w:r>
          <w:r w:rsidR="00003BBB" w:rsidRPr="0070669F">
            <w:rPr>
              <w:rStyle w:val="a9"/>
              <w:rFonts w:ascii="Times New Roman" w:eastAsia="楷体" w:hAnsi="Times New Roman"/>
              <w:b/>
              <w:noProof/>
            </w:rPr>
            <w:t>]</w:t>
          </w:r>
          <w:r w:rsidR="00003BBB" w:rsidRPr="0070669F">
            <w:rPr>
              <w:rStyle w:val="a9"/>
              <w:noProof/>
            </w:rPr>
            <w:fldChar w:fldCharType="end"/>
          </w:r>
        </w:p>
        <w:p w:rsidR="00003BBB" w:rsidRDefault="00003BBB">
          <w:pPr>
            <w:pStyle w:val="23"/>
            <w:tabs>
              <w:tab w:val="right" w:leader="dot" w:pos="8296"/>
            </w:tabs>
            <w:rPr>
              <w:rFonts w:eastAsiaTheme="minorEastAsia"/>
              <w:noProof/>
              <w:szCs w:val="22"/>
            </w:rPr>
          </w:pPr>
          <w:hyperlink w:anchor="_Toc149901672" w:history="1">
            <w:r w:rsidRPr="0070669F">
              <w:rPr>
                <w:rStyle w:val="a9"/>
                <w:rFonts w:ascii="Times New Roman" w:eastAsia="楷体" w:hAnsi="Times New Roman"/>
                <w:b/>
                <w:noProof/>
              </w:rPr>
              <w:t>股指：指数多单持有</w:t>
            </w:r>
          </w:hyperlink>
        </w:p>
        <w:p w:rsidR="00003BBB" w:rsidRDefault="00003BBB">
          <w:pPr>
            <w:pStyle w:val="11"/>
            <w:tabs>
              <w:tab w:val="right" w:leader="dot" w:pos="8296"/>
            </w:tabs>
            <w:rPr>
              <w:rFonts w:eastAsiaTheme="minorEastAsia"/>
              <w:noProof/>
              <w:szCs w:val="22"/>
            </w:rPr>
          </w:pPr>
          <w:hyperlink w:anchor="_Toc149901673" w:history="1">
            <w:r w:rsidRPr="0070669F">
              <w:rPr>
                <w:rStyle w:val="a9"/>
                <w:rFonts w:ascii="Times New Roman" w:eastAsia="楷体" w:hAnsi="Times New Roman"/>
                <w:b/>
                <w:noProof/>
              </w:rPr>
              <w:t>[</w:t>
            </w:r>
            <w:r w:rsidRPr="0070669F">
              <w:rPr>
                <w:rStyle w:val="a9"/>
                <w:rFonts w:ascii="Times New Roman" w:eastAsia="楷体" w:hAnsi="Times New Roman"/>
                <w:b/>
                <w:noProof/>
              </w:rPr>
              <w:t>贵金属</w:t>
            </w:r>
            <w:r w:rsidRPr="0070669F">
              <w:rPr>
                <w:rStyle w:val="a9"/>
                <w:rFonts w:ascii="Times New Roman" w:eastAsia="楷体" w:hAnsi="Times New Roman"/>
                <w:b/>
                <w:noProof/>
              </w:rPr>
              <w:t>]</w:t>
            </w:r>
          </w:hyperlink>
        </w:p>
        <w:p w:rsidR="00003BBB" w:rsidRDefault="00003BBB">
          <w:pPr>
            <w:pStyle w:val="23"/>
            <w:tabs>
              <w:tab w:val="right" w:leader="dot" w:pos="8296"/>
            </w:tabs>
            <w:rPr>
              <w:rFonts w:eastAsiaTheme="minorEastAsia"/>
              <w:noProof/>
              <w:szCs w:val="22"/>
            </w:rPr>
          </w:pPr>
          <w:hyperlink w:anchor="_Toc149901674" w:history="1">
            <w:r w:rsidRPr="0070669F">
              <w:rPr>
                <w:rStyle w:val="a9"/>
                <w:rFonts w:ascii="Times New Roman" w:eastAsia="楷体" w:hAnsi="Times New Roman"/>
                <w:b/>
                <w:noProof/>
              </w:rPr>
              <w:t>贵金属：静待美国非农就业数据公布，贵金属价格小幅上涨</w:t>
            </w:r>
          </w:hyperlink>
        </w:p>
        <w:p w:rsidR="00003BBB" w:rsidRDefault="00003BBB">
          <w:pPr>
            <w:pStyle w:val="11"/>
            <w:tabs>
              <w:tab w:val="right" w:leader="dot" w:pos="8296"/>
            </w:tabs>
            <w:rPr>
              <w:rFonts w:eastAsiaTheme="minorEastAsia"/>
              <w:noProof/>
              <w:szCs w:val="22"/>
            </w:rPr>
          </w:pPr>
          <w:hyperlink w:anchor="_Toc149901675" w:history="1">
            <w:r w:rsidRPr="0070669F">
              <w:rPr>
                <w:rStyle w:val="a9"/>
                <w:rFonts w:ascii="Times New Roman" w:eastAsia="楷体" w:hAnsi="Times New Roman"/>
                <w:b/>
                <w:noProof/>
              </w:rPr>
              <w:t>[</w:t>
            </w:r>
            <w:r w:rsidRPr="0070669F">
              <w:rPr>
                <w:rStyle w:val="a9"/>
                <w:rFonts w:ascii="Times New Roman" w:eastAsia="楷体" w:hAnsi="Times New Roman"/>
                <w:b/>
                <w:noProof/>
              </w:rPr>
              <w:t>金属</w:t>
            </w:r>
            <w:r w:rsidRPr="0070669F">
              <w:rPr>
                <w:rStyle w:val="a9"/>
                <w:rFonts w:ascii="Times New Roman" w:eastAsia="楷体" w:hAnsi="Times New Roman"/>
                <w:b/>
                <w:noProof/>
              </w:rPr>
              <w:t>]</w:t>
            </w:r>
          </w:hyperlink>
        </w:p>
        <w:p w:rsidR="00003BBB" w:rsidRDefault="00003BBB">
          <w:pPr>
            <w:pStyle w:val="23"/>
            <w:tabs>
              <w:tab w:val="right" w:leader="dot" w:pos="8296"/>
            </w:tabs>
            <w:rPr>
              <w:rFonts w:eastAsiaTheme="minorEastAsia"/>
              <w:noProof/>
              <w:szCs w:val="22"/>
            </w:rPr>
          </w:pPr>
          <w:hyperlink w:anchor="_Toc149901676" w:history="1">
            <w:r w:rsidRPr="0070669F">
              <w:rPr>
                <w:rStyle w:val="a9"/>
                <w:rFonts w:ascii="楷体" w:eastAsia="楷体" w:hAnsi="楷体"/>
                <w:b/>
                <w:noProof/>
              </w:rPr>
              <w:t>碳酸锂：终端消费向好，期价震荡收跌</w:t>
            </w:r>
          </w:hyperlink>
        </w:p>
        <w:p w:rsidR="00003BBB" w:rsidRDefault="00003BBB">
          <w:pPr>
            <w:pStyle w:val="23"/>
            <w:tabs>
              <w:tab w:val="right" w:leader="dot" w:pos="8296"/>
            </w:tabs>
            <w:rPr>
              <w:rFonts w:eastAsiaTheme="minorEastAsia"/>
              <w:noProof/>
              <w:szCs w:val="22"/>
            </w:rPr>
          </w:pPr>
          <w:hyperlink w:anchor="_Toc149901677" w:history="1">
            <w:r w:rsidRPr="0070669F">
              <w:rPr>
                <w:rStyle w:val="a9"/>
                <w:rFonts w:ascii="楷体" w:eastAsia="楷体" w:hAnsi="楷体"/>
                <w:b/>
                <w:noProof/>
              </w:rPr>
              <w:t>螺纹钢：价格逼近电炉成本，关注上方压力</w:t>
            </w:r>
          </w:hyperlink>
        </w:p>
        <w:p w:rsidR="00003BBB" w:rsidRDefault="00003BBB">
          <w:pPr>
            <w:pStyle w:val="23"/>
            <w:tabs>
              <w:tab w:val="right" w:leader="dot" w:pos="8296"/>
            </w:tabs>
            <w:rPr>
              <w:rFonts w:eastAsiaTheme="minorEastAsia"/>
              <w:noProof/>
              <w:szCs w:val="22"/>
            </w:rPr>
          </w:pPr>
          <w:hyperlink w:anchor="_Toc149901678" w:history="1">
            <w:r w:rsidRPr="0070669F">
              <w:rPr>
                <w:rStyle w:val="a9"/>
                <w:rFonts w:ascii="楷体" w:eastAsia="楷体" w:hAnsi="楷体"/>
                <w:b/>
                <w:noProof/>
              </w:rPr>
              <w:t>焦炭：情绪推动升水，注意成材指引</w:t>
            </w:r>
          </w:hyperlink>
        </w:p>
        <w:p w:rsidR="00003BBB" w:rsidRDefault="00003BBB">
          <w:pPr>
            <w:pStyle w:val="23"/>
            <w:tabs>
              <w:tab w:val="right" w:leader="dot" w:pos="8296"/>
            </w:tabs>
            <w:rPr>
              <w:rFonts w:eastAsiaTheme="minorEastAsia"/>
              <w:noProof/>
              <w:szCs w:val="22"/>
            </w:rPr>
          </w:pPr>
          <w:hyperlink w:anchor="_Toc149901679" w:history="1">
            <w:r w:rsidRPr="0070669F">
              <w:rPr>
                <w:rStyle w:val="a9"/>
                <w:rFonts w:ascii="楷体" w:eastAsia="楷体" w:hAnsi="楷体"/>
                <w:b/>
                <w:noProof/>
              </w:rPr>
              <w:t>焦煤：情绪推动升水，注意成材指引</w:t>
            </w:r>
          </w:hyperlink>
        </w:p>
        <w:p w:rsidR="00003BBB" w:rsidRDefault="00003BBB">
          <w:pPr>
            <w:pStyle w:val="23"/>
            <w:tabs>
              <w:tab w:val="right" w:leader="dot" w:pos="8296"/>
            </w:tabs>
            <w:rPr>
              <w:rFonts w:eastAsiaTheme="minorEastAsia"/>
              <w:noProof/>
              <w:szCs w:val="22"/>
            </w:rPr>
          </w:pPr>
          <w:hyperlink w:anchor="_Toc149901680" w:history="1">
            <w:r w:rsidRPr="0070669F">
              <w:rPr>
                <w:rStyle w:val="a9"/>
                <w:rFonts w:ascii="楷体" w:eastAsia="楷体" w:hAnsi="楷体"/>
                <w:b/>
                <w:noProof/>
              </w:rPr>
              <w:t>铜：短期驱动不足，维持震荡整理</w:t>
            </w:r>
          </w:hyperlink>
        </w:p>
        <w:p w:rsidR="00003BBB" w:rsidRDefault="00003BBB">
          <w:pPr>
            <w:pStyle w:val="23"/>
            <w:tabs>
              <w:tab w:val="right" w:leader="dot" w:pos="8296"/>
            </w:tabs>
            <w:rPr>
              <w:rFonts w:eastAsiaTheme="minorEastAsia"/>
              <w:noProof/>
              <w:szCs w:val="22"/>
            </w:rPr>
          </w:pPr>
          <w:hyperlink w:anchor="_Toc149901681" w:history="1">
            <w:r w:rsidRPr="0070669F">
              <w:rPr>
                <w:rStyle w:val="a9"/>
                <w:rFonts w:ascii="楷体" w:eastAsia="楷体" w:hAnsi="楷体"/>
                <w:b/>
                <w:noProof/>
              </w:rPr>
              <w:t>铝：铝价下方仍有较强支撑</w:t>
            </w:r>
          </w:hyperlink>
        </w:p>
        <w:p w:rsidR="00003BBB" w:rsidRDefault="00003BBB">
          <w:pPr>
            <w:pStyle w:val="23"/>
            <w:tabs>
              <w:tab w:val="right" w:leader="dot" w:pos="8296"/>
            </w:tabs>
            <w:rPr>
              <w:rFonts w:eastAsiaTheme="minorEastAsia"/>
              <w:noProof/>
              <w:szCs w:val="22"/>
            </w:rPr>
          </w:pPr>
          <w:hyperlink w:anchor="_Toc149901682" w:history="1">
            <w:r w:rsidRPr="0070669F">
              <w:rPr>
                <w:rStyle w:val="a9"/>
                <w:rFonts w:ascii="楷体" w:eastAsia="楷体" w:hAnsi="楷体"/>
                <w:b/>
                <w:noProof/>
              </w:rPr>
              <w:t>锌：锌价高位震荡</w:t>
            </w:r>
          </w:hyperlink>
        </w:p>
        <w:p w:rsidR="00003BBB" w:rsidRDefault="00003BBB">
          <w:pPr>
            <w:pStyle w:val="23"/>
            <w:tabs>
              <w:tab w:val="right" w:leader="dot" w:pos="8296"/>
            </w:tabs>
            <w:rPr>
              <w:rFonts w:eastAsiaTheme="minorEastAsia"/>
              <w:noProof/>
              <w:szCs w:val="22"/>
            </w:rPr>
          </w:pPr>
          <w:hyperlink w:anchor="_Toc149901683" w:history="1">
            <w:r w:rsidRPr="0070669F">
              <w:rPr>
                <w:rStyle w:val="a9"/>
                <w:rFonts w:ascii="楷体" w:eastAsia="楷体" w:hAnsi="楷体"/>
                <w:b/>
                <w:noProof/>
              </w:rPr>
              <w:t>镍：供增需弱叠加成本松动，压制镍价</w:t>
            </w:r>
          </w:hyperlink>
        </w:p>
        <w:p w:rsidR="00003BBB" w:rsidRDefault="00003BBB">
          <w:pPr>
            <w:pStyle w:val="23"/>
            <w:tabs>
              <w:tab w:val="right" w:leader="dot" w:pos="8296"/>
            </w:tabs>
            <w:rPr>
              <w:rFonts w:eastAsiaTheme="minorEastAsia"/>
              <w:noProof/>
              <w:szCs w:val="22"/>
            </w:rPr>
          </w:pPr>
          <w:hyperlink w:anchor="_Toc149901684" w:history="1">
            <w:r w:rsidRPr="0070669F">
              <w:rPr>
                <w:rStyle w:val="a9"/>
                <w:rFonts w:ascii="楷体" w:eastAsia="楷体" w:hAnsi="楷体"/>
                <w:b/>
                <w:noProof/>
              </w:rPr>
              <w:t>铅：铝价上方压力仍存</w:t>
            </w:r>
          </w:hyperlink>
        </w:p>
        <w:p w:rsidR="00003BBB" w:rsidRDefault="00003BBB">
          <w:pPr>
            <w:pStyle w:val="23"/>
            <w:tabs>
              <w:tab w:val="right" w:leader="dot" w:pos="8296"/>
            </w:tabs>
            <w:rPr>
              <w:rFonts w:eastAsiaTheme="minorEastAsia"/>
              <w:noProof/>
              <w:szCs w:val="22"/>
            </w:rPr>
          </w:pPr>
          <w:hyperlink w:anchor="_Toc149901685" w:history="1">
            <w:r w:rsidRPr="0070669F">
              <w:rPr>
                <w:rStyle w:val="a9"/>
                <w:rFonts w:ascii="楷体" w:eastAsia="楷体" w:hAnsi="楷体"/>
                <w:b/>
                <w:noProof/>
              </w:rPr>
              <w:t>不锈钢：产业负反馈持续且需求不振，暂无明显反弹动能</w:t>
            </w:r>
          </w:hyperlink>
        </w:p>
        <w:p w:rsidR="00003BBB" w:rsidRDefault="00003BBB">
          <w:pPr>
            <w:pStyle w:val="23"/>
            <w:tabs>
              <w:tab w:val="right" w:leader="dot" w:pos="8296"/>
            </w:tabs>
            <w:rPr>
              <w:rFonts w:eastAsiaTheme="minorEastAsia"/>
              <w:noProof/>
              <w:szCs w:val="22"/>
            </w:rPr>
          </w:pPr>
          <w:hyperlink w:anchor="_Toc149901686" w:history="1">
            <w:r w:rsidRPr="0070669F">
              <w:rPr>
                <w:rStyle w:val="a9"/>
                <w:rFonts w:ascii="楷体" w:eastAsia="楷体" w:hAnsi="楷体"/>
                <w:b/>
                <w:noProof/>
              </w:rPr>
              <w:t>工业硅：硅料大幅下跌，盘面或将承压运行</w:t>
            </w:r>
          </w:hyperlink>
        </w:p>
        <w:p w:rsidR="00003BBB" w:rsidRDefault="00003BBB">
          <w:pPr>
            <w:pStyle w:val="11"/>
            <w:tabs>
              <w:tab w:val="right" w:leader="dot" w:pos="8296"/>
            </w:tabs>
            <w:rPr>
              <w:rFonts w:eastAsiaTheme="minorEastAsia"/>
              <w:noProof/>
              <w:szCs w:val="22"/>
            </w:rPr>
          </w:pPr>
          <w:hyperlink w:anchor="_Toc149901687" w:history="1">
            <w:r w:rsidRPr="0070669F">
              <w:rPr>
                <w:rStyle w:val="a9"/>
                <w:rFonts w:ascii="Times New Roman" w:eastAsia="楷体" w:hAnsi="Times New Roman"/>
                <w:b/>
                <w:noProof/>
              </w:rPr>
              <w:t>[</w:t>
            </w:r>
            <w:r w:rsidRPr="0070669F">
              <w:rPr>
                <w:rStyle w:val="a9"/>
                <w:rFonts w:ascii="Times New Roman" w:eastAsia="楷体" w:hAnsi="Times New Roman"/>
                <w:b/>
                <w:noProof/>
              </w:rPr>
              <w:t>化工</w:t>
            </w:r>
            <w:r w:rsidRPr="0070669F">
              <w:rPr>
                <w:rStyle w:val="a9"/>
                <w:rFonts w:ascii="Times New Roman" w:eastAsia="楷体" w:hAnsi="Times New Roman"/>
                <w:b/>
                <w:noProof/>
              </w:rPr>
              <w:t>]</w:t>
            </w:r>
          </w:hyperlink>
        </w:p>
        <w:p w:rsidR="00003BBB" w:rsidRDefault="00003BBB">
          <w:pPr>
            <w:pStyle w:val="23"/>
            <w:tabs>
              <w:tab w:val="right" w:leader="dot" w:pos="8296"/>
            </w:tabs>
            <w:rPr>
              <w:rFonts w:eastAsiaTheme="minorEastAsia"/>
              <w:noProof/>
              <w:szCs w:val="22"/>
            </w:rPr>
          </w:pPr>
          <w:hyperlink w:anchor="_Toc149901688" w:history="1">
            <w:r w:rsidRPr="0070669F">
              <w:rPr>
                <w:rStyle w:val="a9"/>
                <w:rFonts w:ascii="Times New Roman" w:eastAsia="楷体" w:hAnsi="Times New Roman"/>
                <w:b/>
                <w:noProof/>
              </w:rPr>
              <w:t>天然橡胶</w:t>
            </w:r>
            <w:r w:rsidRPr="0070669F">
              <w:rPr>
                <w:rStyle w:val="a9"/>
                <w:rFonts w:ascii="Times New Roman" w:eastAsia="楷体" w:hAnsi="Times New Roman"/>
                <w:b/>
                <w:noProof/>
              </w:rPr>
              <w:t>:</w:t>
            </w:r>
            <w:r w:rsidRPr="0070669F">
              <w:rPr>
                <w:rStyle w:val="a9"/>
                <w:rFonts w:ascii="楷体" w:eastAsia="楷体" w:hAnsi="楷体"/>
                <w:b/>
                <w:noProof/>
              </w:rPr>
              <w:t xml:space="preserve"> 供应利好消化殆尽，天胶或小幅回调</w:t>
            </w:r>
          </w:hyperlink>
        </w:p>
        <w:p w:rsidR="00003BBB" w:rsidRDefault="00003BBB">
          <w:pPr>
            <w:pStyle w:val="23"/>
            <w:tabs>
              <w:tab w:val="right" w:leader="dot" w:pos="8296"/>
            </w:tabs>
            <w:rPr>
              <w:rFonts w:eastAsiaTheme="minorEastAsia"/>
              <w:noProof/>
              <w:szCs w:val="22"/>
            </w:rPr>
          </w:pPr>
          <w:hyperlink w:anchor="_Toc149901689" w:history="1">
            <w:r w:rsidRPr="0070669F">
              <w:rPr>
                <w:rStyle w:val="a9"/>
                <w:rFonts w:ascii="楷体" w:eastAsia="楷体" w:hAnsi="楷体"/>
                <w:b/>
                <w:noProof/>
              </w:rPr>
              <w:t>PTA：</w:t>
            </w:r>
            <w:r w:rsidRPr="0070669F">
              <w:rPr>
                <w:rStyle w:val="a9"/>
                <w:rFonts w:ascii="Calibri" w:eastAsia="楷体" w:hAnsi="Calibri" w:cs="Calibri"/>
                <w:b/>
                <w:noProof/>
              </w:rPr>
              <w:t>供应偏宽松预期</w:t>
            </w:r>
            <w:r w:rsidRPr="0070669F">
              <w:rPr>
                <w:rStyle w:val="a9"/>
                <w:rFonts w:ascii="Calibri" w:eastAsia="楷体" w:hAnsi="Calibri" w:cs="Calibri"/>
                <w:b/>
                <w:noProof/>
              </w:rPr>
              <w:t xml:space="preserve"> </w:t>
            </w:r>
            <w:r w:rsidRPr="0070669F">
              <w:rPr>
                <w:rStyle w:val="a9"/>
                <w:rFonts w:ascii="Calibri" w:eastAsia="楷体" w:hAnsi="Calibri" w:cs="Calibri"/>
                <w:b/>
                <w:noProof/>
              </w:rPr>
              <w:t>关注上方压力位</w:t>
            </w:r>
          </w:hyperlink>
        </w:p>
        <w:p w:rsidR="00003BBB" w:rsidRDefault="00003BBB">
          <w:pPr>
            <w:pStyle w:val="23"/>
            <w:tabs>
              <w:tab w:val="right" w:leader="dot" w:pos="8296"/>
            </w:tabs>
            <w:rPr>
              <w:rFonts w:eastAsiaTheme="minorEastAsia"/>
              <w:noProof/>
              <w:szCs w:val="22"/>
            </w:rPr>
          </w:pPr>
          <w:hyperlink w:anchor="_Toc149901690" w:history="1">
            <w:r w:rsidRPr="0070669F">
              <w:rPr>
                <w:rStyle w:val="a9"/>
                <w:rFonts w:ascii="楷体" w:eastAsia="楷体" w:hAnsi="楷体"/>
                <w:b/>
                <w:noProof/>
              </w:rPr>
              <w:t>聚烯烃：供需边际向空发展 聚烯烃维持弱势震荡</w:t>
            </w:r>
          </w:hyperlink>
        </w:p>
        <w:p w:rsidR="00003BBB" w:rsidRDefault="00003BBB">
          <w:pPr>
            <w:pStyle w:val="23"/>
            <w:tabs>
              <w:tab w:val="right" w:leader="dot" w:pos="8296"/>
            </w:tabs>
            <w:rPr>
              <w:rFonts w:eastAsiaTheme="minorEastAsia"/>
              <w:noProof/>
              <w:szCs w:val="22"/>
            </w:rPr>
          </w:pPr>
          <w:hyperlink w:anchor="_Toc149901691" w:history="1">
            <w:r w:rsidRPr="0070669F">
              <w:rPr>
                <w:rStyle w:val="a9"/>
                <w:rFonts w:ascii="楷体" w:eastAsia="楷体" w:hAnsi="楷体"/>
                <w:b/>
                <w:noProof/>
              </w:rPr>
              <w:t>MEG：到港增加 反弹空间受限</w:t>
            </w:r>
          </w:hyperlink>
        </w:p>
        <w:p w:rsidR="00003BBB" w:rsidRDefault="00003BBB">
          <w:pPr>
            <w:pStyle w:val="23"/>
            <w:tabs>
              <w:tab w:val="right" w:leader="dot" w:pos="8296"/>
            </w:tabs>
            <w:rPr>
              <w:rFonts w:eastAsiaTheme="minorEastAsia"/>
              <w:noProof/>
              <w:szCs w:val="22"/>
            </w:rPr>
          </w:pPr>
          <w:hyperlink w:anchor="_Toc149901692" w:history="1">
            <w:r w:rsidRPr="0070669F">
              <w:rPr>
                <w:rStyle w:val="a9"/>
                <w:rFonts w:ascii="楷体" w:eastAsia="楷体" w:hAnsi="楷体"/>
                <w:b/>
                <w:noProof/>
              </w:rPr>
              <w:t>玻璃：月初多地降价，盘面继续保持震荡</w:t>
            </w:r>
          </w:hyperlink>
        </w:p>
        <w:p w:rsidR="00003BBB" w:rsidRDefault="00003BBB">
          <w:pPr>
            <w:pStyle w:val="23"/>
            <w:tabs>
              <w:tab w:val="right" w:leader="dot" w:pos="8296"/>
            </w:tabs>
            <w:rPr>
              <w:rFonts w:eastAsiaTheme="minorEastAsia"/>
              <w:noProof/>
              <w:szCs w:val="22"/>
            </w:rPr>
          </w:pPr>
          <w:hyperlink w:anchor="_Toc149901693" w:history="1">
            <w:r w:rsidRPr="0070669F">
              <w:rPr>
                <w:rStyle w:val="a9"/>
                <w:rFonts w:ascii="楷体" w:eastAsia="楷体" w:hAnsi="楷体"/>
                <w:b/>
                <w:noProof/>
              </w:rPr>
              <w:t>纯碱：现货价格继续下移，反弹逢高沽空</w:t>
            </w:r>
          </w:hyperlink>
        </w:p>
        <w:p w:rsidR="00003BBB" w:rsidRDefault="00003BBB">
          <w:pPr>
            <w:pStyle w:val="11"/>
            <w:tabs>
              <w:tab w:val="right" w:leader="dot" w:pos="8296"/>
            </w:tabs>
            <w:rPr>
              <w:rFonts w:eastAsiaTheme="minorEastAsia"/>
              <w:noProof/>
              <w:szCs w:val="22"/>
            </w:rPr>
          </w:pPr>
          <w:hyperlink w:anchor="_Toc149901694" w:history="1">
            <w:r w:rsidRPr="0070669F">
              <w:rPr>
                <w:rStyle w:val="a9"/>
                <w:rFonts w:ascii="Times New Roman" w:eastAsia="楷体" w:hAnsi="Times New Roman"/>
                <w:b/>
                <w:noProof/>
              </w:rPr>
              <w:t>[</w:t>
            </w:r>
            <w:r w:rsidRPr="0070669F">
              <w:rPr>
                <w:rStyle w:val="a9"/>
                <w:rFonts w:ascii="Times New Roman" w:eastAsia="楷体" w:hAnsi="Times New Roman"/>
                <w:b/>
                <w:noProof/>
              </w:rPr>
              <w:t>农产品</w:t>
            </w:r>
            <w:r w:rsidRPr="0070669F">
              <w:rPr>
                <w:rStyle w:val="a9"/>
                <w:rFonts w:ascii="Times New Roman" w:eastAsia="楷体" w:hAnsi="Times New Roman"/>
                <w:b/>
                <w:noProof/>
              </w:rPr>
              <w:t>]</w:t>
            </w:r>
          </w:hyperlink>
        </w:p>
        <w:p w:rsidR="00003BBB" w:rsidRDefault="00003BBB">
          <w:pPr>
            <w:pStyle w:val="23"/>
            <w:tabs>
              <w:tab w:val="right" w:leader="dot" w:pos="8296"/>
            </w:tabs>
            <w:rPr>
              <w:rFonts w:eastAsiaTheme="minorEastAsia"/>
              <w:noProof/>
              <w:szCs w:val="22"/>
            </w:rPr>
          </w:pPr>
          <w:hyperlink w:anchor="_Toc149901695" w:history="1">
            <w:r w:rsidRPr="0070669F">
              <w:rPr>
                <w:rStyle w:val="a9"/>
                <w:rFonts w:ascii="楷体" w:eastAsia="楷体" w:hAnsi="楷体"/>
                <w:b/>
                <w:noProof/>
              </w:rPr>
              <w:t>豆粕/菜粕：成本端支撑期价，基差承压运行</w:t>
            </w:r>
          </w:hyperlink>
        </w:p>
        <w:p w:rsidR="00003BBB" w:rsidRDefault="00003BBB">
          <w:pPr>
            <w:pStyle w:val="23"/>
            <w:tabs>
              <w:tab w:val="right" w:leader="dot" w:pos="8296"/>
            </w:tabs>
            <w:rPr>
              <w:rFonts w:eastAsiaTheme="minorEastAsia"/>
              <w:noProof/>
              <w:szCs w:val="22"/>
            </w:rPr>
          </w:pPr>
          <w:hyperlink w:anchor="_Toc149901696" w:history="1">
            <w:r w:rsidRPr="0070669F">
              <w:rPr>
                <w:rStyle w:val="a9"/>
                <w:rFonts w:ascii="楷体" w:eastAsia="楷体" w:hAnsi="楷体"/>
                <w:b/>
                <w:noProof/>
              </w:rPr>
              <w:t>油脂：基本面缺乏驱动，宽幅震荡</w:t>
            </w:r>
          </w:hyperlink>
        </w:p>
        <w:p w:rsidR="00003BBB" w:rsidRDefault="00003BBB">
          <w:pPr>
            <w:pStyle w:val="23"/>
            <w:tabs>
              <w:tab w:val="right" w:leader="dot" w:pos="8296"/>
            </w:tabs>
            <w:rPr>
              <w:rFonts w:eastAsiaTheme="minorEastAsia"/>
              <w:noProof/>
              <w:szCs w:val="22"/>
            </w:rPr>
          </w:pPr>
          <w:hyperlink w:anchor="_Toc149901697" w:history="1">
            <w:r w:rsidRPr="0070669F">
              <w:rPr>
                <w:rStyle w:val="a9"/>
                <w:rFonts w:ascii="楷体" w:eastAsia="楷体" w:hAnsi="楷体"/>
                <w:b/>
                <w:bCs/>
                <w:noProof/>
              </w:rPr>
              <w:t>玉米与淀粉：</w:t>
            </w:r>
            <w:r w:rsidRPr="0070669F">
              <w:rPr>
                <w:rStyle w:val="a9"/>
                <w:rFonts w:ascii="楷体" w:eastAsia="楷体" w:hAnsi="楷体"/>
                <w:b/>
                <w:noProof/>
              </w:rPr>
              <w:t>更多地区现货止跌反弹</w:t>
            </w:r>
          </w:hyperlink>
        </w:p>
        <w:p w:rsidR="00003BBB" w:rsidRDefault="00003BBB">
          <w:pPr>
            <w:pStyle w:val="23"/>
            <w:tabs>
              <w:tab w:val="right" w:leader="dot" w:pos="8296"/>
            </w:tabs>
            <w:rPr>
              <w:rFonts w:eastAsiaTheme="minorEastAsia"/>
              <w:noProof/>
              <w:szCs w:val="22"/>
            </w:rPr>
          </w:pPr>
          <w:hyperlink w:anchor="_Toc149901698" w:history="1">
            <w:r w:rsidRPr="0070669F">
              <w:rPr>
                <w:rStyle w:val="a9"/>
                <w:rFonts w:ascii="楷体" w:eastAsia="楷体" w:hAnsi="楷体"/>
                <w:b/>
                <w:bCs/>
                <w:noProof/>
              </w:rPr>
              <w:t>畜禽养殖：期价震荡分化</w:t>
            </w:r>
          </w:hyperlink>
        </w:p>
        <w:p w:rsidR="00003BBB" w:rsidRDefault="00003BBB">
          <w:pPr>
            <w:pStyle w:val="23"/>
            <w:tabs>
              <w:tab w:val="right" w:leader="dot" w:pos="8296"/>
            </w:tabs>
            <w:rPr>
              <w:rFonts w:eastAsiaTheme="minorEastAsia"/>
              <w:noProof/>
              <w:szCs w:val="22"/>
            </w:rPr>
          </w:pPr>
          <w:hyperlink w:anchor="_Toc149901699" w:history="1">
            <w:r w:rsidRPr="0070669F">
              <w:rPr>
                <w:rStyle w:val="a9"/>
                <w:rFonts w:ascii="楷体" w:eastAsia="楷体" w:hAnsi="楷体"/>
                <w:b/>
                <w:noProof/>
              </w:rPr>
              <w:t>郑棉：小幅反弹，观望</w:t>
            </w:r>
          </w:hyperlink>
        </w:p>
        <w:p w:rsidR="00003BBB" w:rsidRDefault="00003BBB">
          <w:pPr>
            <w:pStyle w:val="23"/>
            <w:tabs>
              <w:tab w:val="right" w:leader="dot" w:pos="8296"/>
            </w:tabs>
            <w:rPr>
              <w:rFonts w:eastAsiaTheme="minorEastAsia"/>
              <w:noProof/>
              <w:szCs w:val="22"/>
            </w:rPr>
          </w:pPr>
          <w:hyperlink w:anchor="_Toc149901700" w:history="1">
            <w:r w:rsidRPr="0070669F">
              <w:rPr>
                <w:rStyle w:val="a9"/>
                <w:rFonts w:ascii="楷体" w:eastAsia="楷体" w:hAnsi="楷体"/>
                <w:b/>
                <w:noProof/>
              </w:rPr>
              <w:t>白糖：6700—6900区间震荡，高抛低吸</w:t>
            </w:r>
          </w:hyperlink>
        </w:p>
        <w:p w:rsidR="00003BBB" w:rsidRDefault="00003BBB">
          <w:pPr>
            <w:pStyle w:val="11"/>
            <w:tabs>
              <w:tab w:val="right" w:leader="dot" w:pos="8296"/>
            </w:tabs>
            <w:rPr>
              <w:rFonts w:eastAsiaTheme="minorEastAsia"/>
              <w:noProof/>
              <w:szCs w:val="22"/>
            </w:rPr>
          </w:pPr>
          <w:hyperlink w:anchor="_Toc149901701" w:history="1">
            <w:r w:rsidRPr="0070669F">
              <w:rPr>
                <w:rStyle w:val="a9"/>
                <w:rFonts w:ascii="Times New Roman" w:eastAsia="楷体" w:hAnsi="Times New Roman"/>
                <w:b/>
                <w:noProof/>
              </w:rPr>
              <w:t>[</w:t>
            </w:r>
            <w:r w:rsidRPr="0070669F">
              <w:rPr>
                <w:rStyle w:val="a9"/>
                <w:rFonts w:ascii="Times New Roman" w:eastAsia="楷体" w:hAnsi="Times New Roman"/>
                <w:b/>
                <w:noProof/>
              </w:rPr>
              <w:t>指数</w:t>
            </w:r>
            <w:r w:rsidRPr="0070669F">
              <w:rPr>
                <w:rStyle w:val="a9"/>
                <w:rFonts w:ascii="Times New Roman" w:eastAsia="楷体" w:hAnsi="Times New Roman"/>
                <w:b/>
                <w:noProof/>
              </w:rPr>
              <w:t>]</w:t>
            </w:r>
          </w:hyperlink>
        </w:p>
        <w:p w:rsidR="00003BBB" w:rsidRDefault="00003BBB">
          <w:pPr>
            <w:pStyle w:val="23"/>
            <w:tabs>
              <w:tab w:val="right" w:leader="dot" w:pos="8296"/>
            </w:tabs>
            <w:rPr>
              <w:rFonts w:eastAsiaTheme="minorEastAsia"/>
              <w:noProof/>
              <w:szCs w:val="22"/>
            </w:rPr>
          </w:pPr>
          <w:hyperlink w:anchor="_Toc149901702" w:history="1">
            <w:r w:rsidRPr="0070669F">
              <w:rPr>
                <w:rStyle w:val="a9"/>
                <w:rFonts w:ascii="Times New Roman" w:eastAsia="楷体" w:hAnsi="Times New Roman"/>
                <w:b/>
                <w:noProof/>
              </w:rPr>
              <w:t>集运指数（欧线）：涨价计划兑现期货价格回落，市场对未来运价存忧虑</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9016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901672"/>
      <w:bookmarkEnd w:id="4"/>
      <w:r>
        <w:rPr>
          <w:rFonts w:ascii="Times New Roman" w:eastAsia="楷体" w:hAnsi="Times New Roman" w:hint="eastAsia"/>
          <w:b/>
          <w:color w:val="000000" w:themeColor="text1"/>
          <w:sz w:val="24"/>
          <w:szCs w:val="24"/>
        </w:rPr>
        <w:t>股指：</w:t>
      </w:r>
      <w:bookmarkEnd w:id="6"/>
      <w:bookmarkEnd w:id="7"/>
      <w:r w:rsidR="00F84075" w:rsidRPr="00F84075">
        <w:rPr>
          <w:rFonts w:ascii="Times New Roman" w:eastAsia="楷体" w:hAnsi="Times New Roman" w:hint="eastAsia"/>
          <w:b/>
          <w:color w:val="000000" w:themeColor="text1"/>
          <w:sz w:val="24"/>
          <w:szCs w:val="24"/>
        </w:rPr>
        <w:t>指数多单持有</w:t>
      </w:r>
      <w:bookmarkEnd w:id="8"/>
    </w:p>
    <w:p w:rsidR="003F56A5" w:rsidRDefault="00F84075" w:rsidP="00D14B3E">
      <w:pPr>
        <w:ind w:leftChars="300" w:left="630"/>
        <w:rPr>
          <w:rFonts w:ascii="Times New Roman" w:eastAsia="楷体" w:hAnsi="Times New Roman"/>
          <w:color w:val="000000" w:themeColor="text1"/>
          <w:sz w:val="24"/>
          <w:szCs w:val="24"/>
        </w:rPr>
      </w:pPr>
      <w:r w:rsidRPr="00F84075">
        <w:rPr>
          <w:rFonts w:ascii="Times New Roman" w:eastAsia="楷体" w:hAnsi="Times New Roman" w:hint="eastAsia"/>
          <w:color w:val="000000" w:themeColor="text1"/>
          <w:sz w:val="24"/>
          <w:szCs w:val="24"/>
        </w:rPr>
        <w:t>近期大盘探底回升触及</w:t>
      </w:r>
      <w:r w:rsidRPr="00F84075">
        <w:rPr>
          <w:rFonts w:ascii="Times New Roman" w:eastAsia="楷体" w:hAnsi="Times New Roman" w:hint="eastAsia"/>
          <w:color w:val="000000" w:themeColor="text1"/>
          <w:sz w:val="24"/>
          <w:szCs w:val="24"/>
        </w:rPr>
        <w:t>20</w:t>
      </w:r>
      <w:r w:rsidRPr="00F84075">
        <w:rPr>
          <w:rFonts w:ascii="Times New Roman" w:eastAsia="楷体" w:hAnsi="Times New Roman" w:hint="eastAsia"/>
          <w:color w:val="000000" w:themeColor="text1"/>
          <w:sz w:val="24"/>
          <w:szCs w:val="24"/>
        </w:rPr>
        <w:t>日均线后受阻回落，昨日量能降至</w:t>
      </w:r>
      <w:r w:rsidRPr="00F84075">
        <w:rPr>
          <w:rFonts w:ascii="Times New Roman" w:eastAsia="楷体" w:hAnsi="Times New Roman" w:hint="eastAsia"/>
          <w:color w:val="000000" w:themeColor="text1"/>
          <w:sz w:val="24"/>
          <w:szCs w:val="24"/>
        </w:rPr>
        <w:t>7700</w:t>
      </w:r>
      <w:r w:rsidRPr="00F84075">
        <w:rPr>
          <w:rFonts w:ascii="Times New Roman" w:eastAsia="楷体" w:hAnsi="Times New Roman" w:hint="eastAsia"/>
          <w:color w:val="000000" w:themeColor="text1"/>
          <w:sz w:val="24"/>
          <w:szCs w:val="24"/>
        </w:rPr>
        <w:t>亿以下，题材行情熄火，红利指数领涨，市场情绪偏防御，但实际上近期消息面整体偏利好，主要约束或在于经济复苏持续性仍待验证，主线不明晰，难以出现趋势行情，短线建议多看少做，股指多单继续持有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9016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901674"/>
      <w:r>
        <w:rPr>
          <w:rFonts w:ascii="Times New Roman" w:eastAsia="楷体" w:hAnsi="Times New Roman" w:hint="eastAsia"/>
          <w:b/>
          <w:color w:val="000000" w:themeColor="text1"/>
          <w:sz w:val="24"/>
          <w:szCs w:val="24"/>
        </w:rPr>
        <w:t>贵金属：</w:t>
      </w:r>
      <w:r w:rsidR="00003BBB" w:rsidRPr="00003BBB">
        <w:rPr>
          <w:rFonts w:ascii="Times New Roman" w:eastAsia="楷体" w:hAnsi="Times New Roman" w:hint="eastAsia"/>
          <w:b/>
          <w:color w:val="000000" w:themeColor="text1"/>
          <w:sz w:val="24"/>
          <w:szCs w:val="24"/>
        </w:rPr>
        <w:t>静待美国非农就业数据公布，贵金属价格小幅上涨</w:t>
      </w:r>
      <w:bookmarkEnd w:id="10"/>
    </w:p>
    <w:p w:rsidR="003F56A5" w:rsidRDefault="00003BBB">
      <w:pPr>
        <w:ind w:leftChars="300" w:left="630"/>
        <w:rPr>
          <w:rFonts w:ascii="Times New Roman" w:eastAsia="楷体" w:hAnsi="Times New Roman"/>
          <w:sz w:val="24"/>
          <w:szCs w:val="24"/>
        </w:rPr>
      </w:pPr>
      <w:r w:rsidRPr="00003BBB">
        <w:rPr>
          <w:rFonts w:ascii="Times New Roman" w:eastAsia="楷体" w:hAnsi="Times New Roman" w:hint="eastAsia"/>
          <w:color w:val="000000" w:themeColor="text1"/>
          <w:sz w:val="24"/>
          <w:szCs w:val="24"/>
        </w:rPr>
        <w:t>英国央行维持</w:t>
      </w:r>
      <w:r w:rsidRPr="00003BBB">
        <w:rPr>
          <w:rFonts w:ascii="Times New Roman" w:eastAsia="楷体" w:hAnsi="Times New Roman" w:hint="eastAsia"/>
          <w:color w:val="000000" w:themeColor="text1"/>
          <w:sz w:val="24"/>
          <w:szCs w:val="24"/>
        </w:rPr>
        <w:t>5.25%</w:t>
      </w:r>
      <w:r w:rsidRPr="00003BBB">
        <w:rPr>
          <w:rFonts w:ascii="Times New Roman" w:eastAsia="楷体" w:hAnsi="Times New Roman" w:hint="eastAsia"/>
          <w:color w:val="000000" w:themeColor="text1"/>
          <w:sz w:val="24"/>
          <w:szCs w:val="24"/>
        </w:rPr>
        <w:t>的利率水平，符合市场预期。美国最新当周初请失业金人数升至</w:t>
      </w:r>
      <w:r w:rsidRPr="00003BBB">
        <w:rPr>
          <w:rFonts w:ascii="Times New Roman" w:eastAsia="楷体" w:hAnsi="Times New Roman" w:hint="eastAsia"/>
          <w:color w:val="000000" w:themeColor="text1"/>
          <w:sz w:val="24"/>
          <w:szCs w:val="24"/>
        </w:rPr>
        <w:t>21.7</w:t>
      </w:r>
      <w:r w:rsidRPr="00003BBB">
        <w:rPr>
          <w:rFonts w:ascii="Times New Roman" w:eastAsia="楷体" w:hAnsi="Times New Roman" w:hint="eastAsia"/>
          <w:color w:val="000000" w:themeColor="text1"/>
          <w:sz w:val="24"/>
          <w:szCs w:val="24"/>
        </w:rPr>
        <w:t>万人，续请失业金人数上升至</w:t>
      </w:r>
      <w:r w:rsidRPr="00003BBB">
        <w:rPr>
          <w:rFonts w:ascii="Times New Roman" w:eastAsia="楷体" w:hAnsi="Times New Roman" w:hint="eastAsia"/>
          <w:color w:val="000000" w:themeColor="text1"/>
          <w:sz w:val="24"/>
          <w:szCs w:val="24"/>
        </w:rPr>
        <w:t>181.8</w:t>
      </w:r>
      <w:r w:rsidRPr="00003BBB">
        <w:rPr>
          <w:rFonts w:ascii="Times New Roman" w:eastAsia="楷体" w:hAnsi="Times New Roman" w:hint="eastAsia"/>
          <w:color w:val="000000" w:themeColor="text1"/>
          <w:sz w:val="24"/>
          <w:szCs w:val="24"/>
        </w:rPr>
        <w:t>万人。美联储</w:t>
      </w:r>
      <w:r w:rsidRPr="00003BBB">
        <w:rPr>
          <w:rFonts w:ascii="Times New Roman" w:eastAsia="楷体" w:hAnsi="Times New Roman" w:hint="eastAsia"/>
          <w:color w:val="000000" w:themeColor="text1"/>
          <w:sz w:val="24"/>
          <w:szCs w:val="24"/>
        </w:rPr>
        <w:t>11</w:t>
      </w:r>
      <w:r w:rsidRPr="00003BBB">
        <w:rPr>
          <w:rFonts w:ascii="Times New Roman" w:eastAsia="楷体" w:hAnsi="Times New Roman" w:hint="eastAsia"/>
          <w:color w:val="000000" w:themeColor="text1"/>
          <w:sz w:val="24"/>
          <w:szCs w:val="24"/>
        </w:rPr>
        <w:t>月议息会议维持利率水平不变，符合市场预期，声明中表示美债收益率攀升带来的金融环境收紧可能对经济和通胀有影响。鲍威尔主席称，美联储可能需要进一步加息，目前完全没有考虑降息。美十债收益率下跌</w:t>
      </w:r>
      <w:r w:rsidRPr="00003BBB">
        <w:rPr>
          <w:rFonts w:ascii="Times New Roman" w:eastAsia="楷体" w:hAnsi="Times New Roman" w:hint="eastAsia"/>
          <w:color w:val="000000" w:themeColor="text1"/>
          <w:sz w:val="24"/>
          <w:szCs w:val="24"/>
        </w:rPr>
        <w:t>7.7bp</w:t>
      </w:r>
      <w:r w:rsidRPr="00003BBB">
        <w:rPr>
          <w:rFonts w:ascii="Times New Roman" w:eastAsia="楷体" w:hAnsi="Times New Roman" w:hint="eastAsia"/>
          <w:color w:val="000000" w:themeColor="text1"/>
          <w:sz w:val="24"/>
          <w:szCs w:val="24"/>
        </w:rPr>
        <w:t>至</w:t>
      </w:r>
      <w:r w:rsidRPr="00003BBB">
        <w:rPr>
          <w:rFonts w:ascii="Times New Roman" w:eastAsia="楷体" w:hAnsi="Times New Roman" w:hint="eastAsia"/>
          <w:color w:val="000000" w:themeColor="text1"/>
          <w:sz w:val="24"/>
          <w:szCs w:val="24"/>
        </w:rPr>
        <w:t>4.662%</w:t>
      </w:r>
      <w:r w:rsidRPr="00003BBB">
        <w:rPr>
          <w:rFonts w:ascii="Times New Roman" w:eastAsia="楷体" w:hAnsi="Times New Roman" w:hint="eastAsia"/>
          <w:color w:val="000000" w:themeColor="text1"/>
          <w:sz w:val="24"/>
          <w:szCs w:val="24"/>
        </w:rPr>
        <w:t>，美元指数跌</w:t>
      </w:r>
      <w:r w:rsidRPr="00003BBB">
        <w:rPr>
          <w:rFonts w:ascii="Times New Roman" w:eastAsia="楷体" w:hAnsi="Times New Roman" w:hint="eastAsia"/>
          <w:color w:val="000000" w:themeColor="text1"/>
          <w:sz w:val="24"/>
          <w:szCs w:val="24"/>
        </w:rPr>
        <w:t>0.49%</w:t>
      </w:r>
      <w:r w:rsidRPr="00003BBB">
        <w:rPr>
          <w:rFonts w:ascii="Times New Roman" w:eastAsia="楷体" w:hAnsi="Times New Roman" w:hint="eastAsia"/>
          <w:color w:val="000000" w:themeColor="text1"/>
          <w:sz w:val="24"/>
          <w:szCs w:val="24"/>
        </w:rPr>
        <w:t>至</w:t>
      </w:r>
      <w:r w:rsidRPr="00003BBB">
        <w:rPr>
          <w:rFonts w:ascii="Times New Roman" w:eastAsia="楷体" w:hAnsi="Times New Roman" w:hint="eastAsia"/>
          <w:color w:val="000000" w:themeColor="text1"/>
          <w:sz w:val="24"/>
          <w:szCs w:val="24"/>
        </w:rPr>
        <w:t>106.14</w:t>
      </w:r>
      <w:r w:rsidRPr="00003BBB">
        <w:rPr>
          <w:rFonts w:ascii="Times New Roman" w:eastAsia="楷体" w:hAnsi="Times New Roman" w:hint="eastAsia"/>
          <w:color w:val="000000" w:themeColor="text1"/>
          <w:sz w:val="24"/>
          <w:szCs w:val="24"/>
        </w:rPr>
        <w:t>；外盘</w:t>
      </w:r>
      <w:r w:rsidRPr="00003BBB">
        <w:rPr>
          <w:rFonts w:ascii="Times New Roman" w:eastAsia="楷体" w:hAnsi="Times New Roman" w:hint="eastAsia"/>
          <w:color w:val="000000" w:themeColor="text1"/>
          <w:sz w:val="24"/>
          <w:szCs w:val="24"/>
        </w:rPr>
        <w:t>COMEX</w:t>
      </w:r>
      <w:r w:rsidRPr="00003BBB">
        <w:rPr>
          <w:rFonts w:ascii="Times New Roman" w:eastAsia="楷体" w:hAnsi="Times New Roman" w:hint="eastAsia"/>
          <w:color w:val="000000" w:themeColor="text1"/>
          <w:sz w:val="24"/>
          <w:szCs w:val="24"/>
        </w:rPr>
        <w:t>金价涨</w:t>
      </w:r>
      <w:r w:rsidRPr="00003BBB">
        <w:rPr>
          <w:rFonts w:ascii="Times New Roman" w:eastAsia="楷体" w:hAnsi="Times New Roman" w:hint="eastAsia"/>
          <w:color w:val="000000" w:themeColor="text1"/>
          <w:sz w:val="24"/>
          <w:szCs w:val="24"/>
        </w:rPr>
        <w:t>0.29%</w:t>
      </w:r>
      <w:r w:rsidRPr="00003BBB">
        <w:rPr>
          <w:rFonts w:ascii="Times New Roman" w:eastAsia="楷体" w:hAnsi="Times New Roman" w:hint="eastAsia"/>
          <w:color w:val="000000" w:themeColor="text1"/>
          <w:sz w:val="24"/>
          <w:szCs w:val="24"/>
        </w:rPr>
        <w:t>至</w:t>
      </w:r>
      <w:r w:rsidRPr="00003BBB">
        <w:rPr>
          <w:rFonts w:ascii="Times New Roman" w:eastAsia="楷体" w:hAnsi="Times New Roman" w:hint="eastAsia"/>
          <w:color w:val="000000" w:themeColor="text1"/>
          <w:sz w:val="24"/>
          <w:szCs w:val="24"/>
        </w:rPr>
        <w:t>1993.3</w:t>
      </w:r>
      <w:r w:rsidRPr="00003BBB">
        <w:rPr>
          <w:rFonts w:ascii="Times New Roman" w:eastAsia="楷体" w:hAnsi="Times New Roman" w:hint="eastAsia"/>
          <w:color w:val="000000" w:themeColor="text1"/>
          <w:sz w:val="24"/>
          <w:szCs w:val="24"/>
        </w:rPr>
        <w:t>美元</w:t>
      </w:r>
      <w:r w:rsidRPr="00003BBB">
        <w:rPr>
          <w:rFonts w:ascii="Times New Roman" w:eastAsia="楷体" w:hAnsi="Times New Roman" w:hint="eastAsia"/>
          <w:color w:val="000000" w:themeColor="text1"/>
          <w:sz w:val="24"/>
          <w:szCs w:val="24"/>
        </w:rPr>
        <w:t>/</w:t>
      </w:r>
      <w:r w:rsidRPr="00003BBB">
        <w:rPr>
          <w:rFonts w:ascii="Times New Roman" w:eastAsia="楷体" w:hAnsi="Times New Roman" w:hint="eastAsia"/>
          <w:color w:val="000000" w:themeColor="text1"/>
          <w:sz w:val="24"/>
          <w:szCs w:val="24"/>
        </w:rPr>
        <w:t>盎司，</w:t>
      </w:r>
      <w:r w:rsidRPr="00003BBB">
        <w:rPr>
          <w:rFonts w:ascii="Times New Roman" w:eastAsia="楷体" w:hAnsi="Times New Roman" w:hint="eastAsia"/>
          <w:color w:val="000000" w:themeColor="text1"/>
          <w:sz w:val="24"/>
          <w:szCs w:val="24"/>
        </w:rPr>
        <w:t>COMEX</w:t>
      </w:r>
      <w:r w:rsidRPr="00003BBB">
        <w:rPr>
          <w:rFonts w:ascii="Times New Roman" w:eastAsia="楷体" w:hAnsi="Times New Roman" w:hint="eastAsia"/>
          <w:color w:val="000000" w:themeColor="text1"/>
          <w:sz w:val="24"/>
          <w:szCs w:val="24"/>
        </w:rPr>
        <w:t>银价涨</w:t>
      </w:r>
      <w:r w:rsidRPr="00003BBB">
        <w:rPr>
          <w:rFonts w:ascii="Times New Roman" w:eastAsia="楷体" w:hAnsi="Times New Roman" w:hint="eastAsia"/>
          <w:color w:val="000000" w:themeColor="text1"/>
          <w:sz w:val="24"/>
          <w:szCs w:val="24"/>
        </w:rPr>
        <w:t>0.33%</w:t>
      </w:r>
      <w:r w:rsidRPr="00003BBB">
        <w:rPr>
          <w:rFonts w:ascii="Times New Roman" w:eastAsia="楷体" w:hAnsi="Times New Roman" w:hint="eastAsia"/>
          <w:color w:val="000000" w:themeColor="text1"/>
          <w:sz w:val="24"/>
          <w:szCs w:val="24"/>
        </w:rPr>
        <w:t>至</w:t>
      </w:r>
      <w:r w:rsidRPr="00003BBB">
        <w:rPr>
          <w:rFonts w:ascii="Times New Roman" w:eastAsia="楷体" w:hAnsi="Times New Roman" w:hint="eastAsia"/>
          <w:color w:val="000000" w:themeColor="text1"/>
          <w:sz w:val="24"/>
          <w:szCs w:val="24"/>
        </w:rPr>
        <w:t>22.865</w:t>
      </w:r>
      <w:r w:rsidRPr="00003BBB">
        <w:rPr>
          <w:rFonts w:ascii="Times New Roman" w:eastAsia="楷体" w:hAnsi="Times New Roman" w:hint="eastAsia"/>
          <w:color w:val="000000" w:themeColor="text1"/>
          <w:sz w:val="24"/>
          <w:szCs w:val="24"/>
        </w:rPr>
        <w:t>美元</w:t>
      </w:r>
      <w:r w:rsidRPr="00003BBB">
        <w:rPr>
          <w:rFonts w:ascii="Times New Roman" w:eastAsia="楷体" w:hAnsi="Times New Roman" w:hint="eastAsia"/>
          <w:color w:val="000000" w:themeColor="text1"/>
          <w:sz w:val="24"/>
          <w:szCs w:val="24"/>
        </w:rPr>
        <w:t>/</w:t>
      </w:r>
      <w:r w:rsidRPr="00003BBB">
        <w:rPr>
          <w:rFonts w:ascii="Times New Roman" w:eastAsia="楷体" w:hAnsi="Times New Roman" w:hint="eastAsia"/>
          <w:color w:val="000000" w:themeColor="text1"/>
          <w:sz w:val="24"/>
          <w:szCs w:val="24"/>
        </w:rPr>
        <w:t>盎司，内盘贵金属价格跟随外盘走势小幅反弹。美国经济景气度指标下滑，留意周五美国非农数据公布，市场将通过就业市场最新表现评估美国经济增长前景，建议沪金、沪银逢回调择机做多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9016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90167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03BBB" w:rsidRPr="00003BBB">
        <w:rPr>
          <w:rFonts w:ascii="楷体" w:eastAsia="楷体" w:hAnsi="楷体" w:hint="eastAsia"/>
          <w:b/>
          <w:color w:val="000000" w:themeColor="text1"/>
          <w:sz w:val="24"/>
          <w:szCs w:val="24"/>
        </w:rPr>
        <w:t>终端消费向好，期价震荡收跌</w:t>
      </w:r>
      <w:bookmarkEnd w:id="18"/>
    </w:p>
    <w:p w:rsidR="00F50569" w:rsidRDefault="00003BBB" w:rsidP="00F50569">
      <w:pPr>
        <w:ind w:leftChars="300" w:left="630"/>
        <w:rPr>
          <w:rFonts w:ascii="楷体" w:eastAsia="楷体" w:hAnsi="楷体"/>
          <w:color w:val="000000" w:themeColor="text1"/>
          <w:sz w:val="24"/>
          <w:szCs w:val="24"/>
        </w:rPr>
      </w:pPr>
      <w:r w:rsidRPr="00003BBB">
        <w:rPr>
          <w:rFonts w:ascii="楷体" w:eastAsia="楷体" w:hAnsi="楷体" w:hint="eastAsia"/>
          <w:color w:val="000000" w:themeColor="text1"/>
          <w:sz w:val="24"/>
          <w:szCs w:val="24"/>
        </w:rPr>
        <w:t>现货价格维持缓跌，昨日主力期价盘初横盘运行，午后转跌。近期供需两弱，下游除长协外少见采购，现货价格或仍有进一步下探空间。近日盐湖龙头企业举行碳酸锂线上拍卖，成交价约15.2万元/吨。某贸易企业宣布将于下周一竞拍约6000吨锂辉石精矿。据mining zimbabwe报道，津巴布韦锂矿产量在2023年1-9月累计达到88.2万吨，相比2022全年的10.2万吨大幅增长764.7%，同期锂矿出口的价值量达到2.09亿美元。据乘联会数据，2023年9月，新能源车销量74.5万辆，同比增22.1%，环比增4.2%；9月国内新能源乘用车出口9.1万辆，同比增长107%，环比8月增长16%，占乘用车出口的25.4%。终端消费向好，但因电池厂碳酸锂库存高位维持去库，采购较为谨慎，排产小幅下跌。后市下游需求维持偏弱预期，期价或于前低及外采成本线之间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901677"/>
      <w:r>
        <w:rPr>
          <w:rFonts w:ascii="楷体" w:eastAsia="楷体" w:hAnsi="楷体" w:hint="eastAsia"/>
          <w:b/>
          <w:color w:val="000000" w:themeColor="text1"/>
          <w:sz w:val="24"/>
          <w:szCs w:val="24"/>
        </w:rPr>
        <w:t>螺纹钢：</w:t>
      </w:r>
      <w:bookmarkEnd w:id="16"/>
      <w:bookmarkEnd w:id="17"/>
      <w:r w:rsidR="00F84075" w:rsidRPr="00F84075">
        <w:rPr>
          <w:rFonts w:ascii="楷体" w:eastAsia="楷体" w:hAnsi="楷体" w:hint="eastAsia"/>
          <w:b/>
          <w:color w:val="000000" w:themeColor="text1"/>
          <w:sz w:val="24"/>
          <w:szCs w:val="24"/>
        </w:rPr>
        <w:t>价格逼近电炉成本，关注上方压力</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84075" w:rsidP="00201944">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预期推动钢材价格向上修复，价格接近平电成本。本周基本面数据较为健康，但环比变化不大，期货价格短期技术性创近期新高，预计价格或震荡偏强运行，关注现实价格跟进情况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901678"/>
      <w:r>
        <w:rPr>
          <w:rFonts w:ascii="楷体" w:eastAsia="楷体" w:hAnsi="楷体" w:hint="eastAsia"/>
          <w:b/>
          <w:color w:val="000000" w:themeColor="text1"/>
          <w:sz w:val="24"/>
          <w:szCs w:val="24"/>
        </w:rPr>
        <w:t>焦炭：</w:t>
      </w:r>
      <w:bookmarkEnd w:id="20"/>
      <w:bookmarkEnd w:id="21"/>
      <w:r w:rsidR="00F84075" w:rsidRPr="00F84075">
        <w:rPr>
          <w:rFonts w:ascii="楷体" w:eastAsia="楷体" w:hAnsi="楷体" w:hint="eastAsia"/>
          <w:b/>
          <w:color w:val="000000" w:themeColor="text1"/>
          <w:sz w:val="24"/>
          <w:szCs w:val="24"/>
        </w:rPr>
        <w:t>情绪推动升水，注意成材指引</w:t>
      </w:r>
      <w:bookmarkEnd w:id="22"/>
    </w:p>
    <w:p w:rsidR="003F56A5" w:rsidRDefault="00F84075" w:rsidP="00572E35">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成材利润矛盾突出情况下，第一轮提降提出，焦炭供需缺口收敛，下游采购意愿减弱。成材创近期新高，技术性突破下，焦炭升水1轮厂库，短期注意成材价格信号</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901679"/>
      <w:r>
        <w:rPr>
          <w:rFonts w:ascii="楷体" w:eastAsia="楷体" w:hAnsi="楷体" w:hint="eastAsia"/>
          <w:b/>
          <w:color w:val="000000" w:themeColor="text1"/>
          <w:sz w:val="24"/>
          <w:szCs w:val="24"/>
        </w:rPr>
        <w:t>焦煤：</w:t>
      </w:r>
      <w:r w:rsidR="00F84075" w:rsidRPr="00F84075">
        <w:rPr>
          <w:rFonts w:ascii="楷体" w:eastAsia="楷体" w:hAnsi="楷体" w:hint="eastAsia"/>
          <w:b/>
          <w:sz w:val="24"/>
          <w:szCs w:val="24"/>
        </w:rPr>
        <w:t>情绪推动升水，注意成材指引</w:t>
      </w:r>
      <w:bookmarkEnd w:id="23"/>
    </w:p>
    <w:p w:rsidR="003F56A5" w:rsidRDefault="00F84075">
      <w:pPr>
        <w:ind w:leftChars="300" w:left="630"/>
        <w:rPr>
          <w:rFonts w:ascii="楷体" w:eastAsia="楷体" w:hAnsi="楷体"/>
          <w:bCs/>
          <w:sz w:val="24"/>
          <w:szCs w:val="24"/>
        </w:rPr>
      </w:pPr>
      <w:r w:rsidRPr="00F84075">
        <w:rPr>
          <w:rFonts w:ascii="楷体" w:eastAsia="楷体" w:hAnsi="楷体" w:hint="eastAsia"/>
          <w:sz w:val="24"/>
          <w:szCs w:val="24"/>
        </w:rPr>
        <w:t>现货市场第一轮提降提出，利润矛盾下，现货价格向上驱动不明显。夜盘陡升至升水，关注成材期、现市场情况</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901680"/>
      <w:r>
        <w:rPr>
          <w:rFonts w:ascii="楷体" w:eastAsia="楷体" w:hAnsi="楷体" w:hint="eastAsia"/>
          <w:b/>
          <w:color w:val="000000" w:themeColor="text1"/>
          <w:sz w:val="24"/>
          <w:szCs w:val="24"/>
        </w:rPr>
        <w:t>铜：</w:t>
      </w:r>
      <w:bookmarkEnd w:id="24"/>
      <w:bookmarkEnd w:id="25"/>
      <w:r w:rsidR="00F84075" w:rsidRPr="00F84075">
        <w:rPr>
          <w:rFonts w:ascii="楷体" w:eastAsia="楷体" w:hAnsi="楷体" w:hint="eastAsia"/>
          <w:b/>
          <w:color w:val="000000" w:themeColor="text1"/>
          <w:sz w:val="24"/>
          <w:szCs w:val="24"/>
        </w:rPr>
        <w:t>短期驱动不足，维持震荡整理</w:t>
      </w:r>
      <w:bookmarkEnd w:id="26"/>
    </w:p>
    <w:p w:rsidR="00F84075" w:rsidRPr="00F84075" w:rsidRDefault="00F84075" w:rsidP="00F84075">
      <w:pPr>
        <w:ind w:leftChars="300" w:left="630"/>
        <w:rPr>
          <w:rFonts w:ascii="楷体" w:eastAsia="楷体" w:hAnsi="楷体" w:hint="eastAsia"/>
          <w:color w:val="000000" w:themeColor="text1"/>
          <w:sz w:val="24"/>
          <w:szCs w:val="24"/>
        </w:rPr>
      </w:pPr>
      <w:r w:rsidRPr="00F84075">
        <w:rPr>
          <w:rFonts w:ascii="楷体" w:eastAsia="楷体" w:hAnsi="楷体" w:hint="eastAsia"/>
          <w:color w:val="000000" w:themeColor="text1"/>
          <w:sz w:val="24"/>
          <w:szCs w:val="24"/>
        </w:rPr>
        <w:t>(1)宏观：德国10月制造业PMI终值录从39.6升至40.8，为连续第三个月上升，但仍远低于50荣枯线。法国10月制造业PMI终值录得42.8，为2020年5月以来制造业终值的最低水平。</w:t>
      </w:r>
    </w:p>
    <w:p w:rsidR="00F84075" w:rsidRPr="00F84075" w:rsidRDefault="00F84075" w:rsidP="00F84075">
      <w:pPr>
        <w:ind w:leftChars="300" w:left="630"/>
        <w:rPr>
          <w:rFonts w:ascii="楷体" w:eastAsia="楷体" w:hAnsi="楷体" w:hint="eastAsia"/>
          <w:color w:val="000000" w:themeColor="text1"/>
          <w:sz w:val="24"/>
          <w:szCs w:val="24"/>
        </w:rPr>
      </w:pPr>
      <w:r w:rsidRPr="00F84075">
        <w:rPr>
          <w:rFonts w:ascii="楷体" w:eastAsia="楷体" w:hAnsi="楷体" w:hint="eastAsia"/>
          <w:color w:val="000000" w:themeColor="text1"/>
          <w:sz w:val="24"/>
          <w:szCs w:val="24"/>
        </w:rPr>
        <w:t>(2)库存：11月02日，SHFE仓单库存1053吨，持平；LME仓单库存170825吨，减3575吨。</w:t>
      </w:r>
    </w:p>
    <w:p w:rsidR="00F84075" w:rsidRPr="00F84075" w:rsidRDefault="00F84075" w:rsidP="00F84075">
      <w:pPr>
        <w:ind w:leftChars="300" w:left="630"/>
        <w:rPr>
          <w:rFonts w:ascii="楷体" w:eastAsia="楷体" w:hAnsi="楷体" w:hint="eastAsia"/>
          <w:color w:val="000000" w:themeColor="text1"/>
          <w:sz w:val="24"/>
          <w:szCs w:val="24"/>
        </w:rPr>
      </w:pPr>
      <w:r w:rsidRPr="00F84075">
        <w:rPr>
          <w:rFonts w:ascii="楷体" w:eastAsia="楷体" w:hAnsi="楷体" w:hint="eastAsia"/>
          <w:color w:val="000000" w:themeColor="text1"/>
          <w:sz w:val="24"/>
          <w:szCs w:val="24"/>
        </w:rPr>
        <w:t>(3)精废价差：11月02日，Mysteel精废价差1478，扩张98。目前价差在合理价差1379之上。</w:t>
      </w:r>
    </w:p>
    <w:p w:rsidR="00F84075" w:rsidRPr="00F84075" w:rsidRDefault="00F84075" w:rsidP="00F84075">
      <w:pPr>
        <w:ind w:leftChars="300" w:left="630"/>
        <w:rPr>
          <w:rFonts w:ascii="楷体" w:eastAsia="楷体" w:hAnsi="楷体"/>
          <w:color w:val="000000" w:themeColor="text1"/>
          <w:sz w:val="24"/>
          <w:szCs w:val="24"/>
        </w:rPr>
      </w:pPr>
    </w:p>
    <w:p w:rsidR="00127803" w:rsidRPr="00127803" w:rsidRDefault="00F84075" w:rsidP="00F84075">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综述：11月美联储继续不加息，美元指数冲高回落。中国10月财新制造业PMI回落至49.5，与官方制造业PMI一致低于预期且在荣枯线之下，拖累市场情绪。基本面，近期内外铜库存表现去化，国内货源流通紧张使得升水持续高企。但价格快速回升后精废价差扩大，废铜替代优势逐步增强，废铜流通货源增加，精铜消费受抑，但当前当月合约虚实盘比仍偏高，预计短期价格震荡运行，维持波动区间66500-67800。继续关注国内库存及当月持仓量变化</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901681"/>
      <w:r>
        <w:rPr>
          <w:rFonts w:ascii="楷体" w:eastAsia="楷体" w:hAnsi="楷体" w:hint="eastAsia"/>
          <w:b/>
          <w:color w:val="000000" w:themeColor="text1"/>
          <w:sz w:val="24"/>
          <w:szCs w:val="24"/>
        </w:rPr>
        <w:t>铝：</w:t>
      </w:r>
      <w:bookmarkEnd w:id="27"/>
      <w:bookmarkEnd w:id="28"/>
      <w:r w:rsidR="00F84075" w:rsidRPr="00F84075">
        <w:rPr>
          <w:rFonts w:ascii="楷体" w:eastAsia="楷体" w:hAnsi="楷体" w:hint="eastAsia"/>
          <w:b/>
          <w:color w:val="000000" w:themeColor="text1"/>
          <w:sz w:val="24"/>
          <w:szCs w:val="24"/>
        </w:rPr>
        <w:t>铝价下方仍有较强支撑</w:t>
      </w:r>
      <w:bookmarkEnd w:id="29"/>
    </w:p>
    <w:p w:rsidR="003F56A5" w:rsidRDefault="00F84075" w:rsidP="00127803">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美国ADP公布数据低于市场预期，11月美联储暂停加息，国内公布国内的PMI数据表现不及预期，宏观情绪多空扰动。近期铝棒产能收缩，铝水转铸锭，行业铸锭量环比有所增长，云南枯水限电当地电解铝产能预期减产，短期电解铝供应仍维持高供应，市场进口补充不断。下游消费逐渐转入淡季，铝锭库存逐步累积但仍位于往年库存低位，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901682"/>
      <w:r>
        <w:rPr>
          <w:rFonts w:ascii="楷体" w:eastAsia="楷体" w:hAnsi="楷体" w:hint="eastAsia"/>
          <w:b/>
          <w:color w:val="000000" w:themeColor="text1"/>
          <w:sz w:val="24"/>
          <w:szCs w:val="24"/>
        </w:rPr>
        <w:t>锌：</w:t>
      </w:r>
      <w:r w:rsidR="00F84075" w:rsidRPr="00F84075">
        <w:rPr>
          <w:rFonts w:ascii="楷体" w:eastAsia="楷体" w:hAnsi="楷体" w:hint="eastAsia"/>
          <w:b/>
          <w:color w:val="000000" w:themeColor="text1"/>
          <w:sz w:val="24"/>
          <w:szCs w:val="24"/>
        </w:rPr>
        <w:t>锌价高位震荡</w:t>
      </w:r>
      <w:bookmarkEnd w:id="30"/>
    </w:p>
    <w:p w:rsidR="003F56A5" w:rsidRDefault="00003BBB" w:rsidP="000B0648">
      <w:pPr>
        <w:ind w:leftChars="300" w:left="630"/>
        <w:rPr>
          <w:rFonts w:ascii="楷体" w:eastAsia="楷体" w:hAnsi="楷体"/>
          <w:color w:val="000000" w:themeColor="text1"/>
          <w:sz w:val="24"/>
          <w:szCs w:val="24"/>
        </w:rPr>
      </w:pPr>
      <w:r w:rsidRPr="00003BBB">
        <w:rPr>
          <w:rFonts w:ascii="楷体" w:eastAsia="楷体" w:hAnsi="楷体" w:hint="eastAsia"/>
          <w:color w:val="000000" w:themeColor="text1"/>
          <w:sz w:val="24"/>
          <w:szCs w:val="24"/>
        </w:rPr>
        <w:t>美国暂停加息，美元指数高位回落，国内制造业数据表现不及预期，宏观情绪多空交织。据消息，Nystar公司表示将关闭两个锌矿，在矿端供应偏紧格局下，加剧了原料端供应压力，加工费走势下行，目前冶炼端利润尚可维持生产，前期检修产能恢复，进口盈利窗口打开，进口锌锭持续流入，旺季消费转弱，下游现货交投较为平淡，锌市绝对库存极低支撑价格</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901683"/>
      <w:r>
        <w:rPr>
          <w:rFonts w:ascii="楷体" w:eastAsia="楷体" w:hAnsi="楷体" w:hint="eastAsia"/>
          <w:b/>
          <w:color w:val="000000" w:themeColor="text1"/>
          <w:sz w:val="24"/>
          <w:szCs w:val="24"/>
        </w:rPr>
        <w:t>镍：</w:t>
      </w:r>
      <w:r w:rsidR="00F84075" w:rsidRPr="00F84075">
        <w:rPr>
          <w:rFonts w:ascii="楷体" w:eastAsia="楷体" w:hAnsi="楷体" w:hint="eastAsia"/>
          <w:b/>
          <w:color w:val="000000" w:themeColor="text1"/>
          <w:sz w:val="24"/>
          <w:szCs w:val="24"/>
        </w:rPr>
        <w:t>供增需弱叠加成本松动，压制镍价</w:t>
      </w:r>
      <w:bookmarkEnd w:id="31"/>
    </w:p>
    <w:p w:rsidR="003F56A5" w:rsidRDefault="00F84075">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宏观面，美联储暂停加息，市场对美联储主席鲍威尔发言解读偏鸽派，海外宏观压力缓解。成本端，电积镍成本在中间品供应增量预期下弱势运行。</w:t>
      </w:r>
      <w:r w:rsidRPr="00F84075">
        <w:rPr>
          <w:rFonts w:ascii="楷体" w:eastAsia="楷体" w:hAnsi="楷体" w:hint="eastAsia"/>
          <w:color w:val="000000" w:themeColor="text1"/>
          <w:sz w:val="24"/>
          <w:szCs w:val="24"/>
        </w:rPr>
        <w:lastRenderedPageBreak/>
        <w:t>供应端，生产精炼镍的主流工艺仍有利润，精炼镍产量仍在逐步释放。需求端，据Mysteel调研，不锈钢厂11月将再减产26.5万吨，镍的需求趋弱。综合来看，如果印尼镍矿政策未生变，镍基本面供大于需格局较明晰，叠加电积镍成本在未来有下跌空间，中长期对镍保持看空思路，但短期来看，镍价在近两月连续下跌后估值偏高问题得到缓解，且显性库存仍处于绝对低位、电积镍原料供应暂时仍偏紧，为镍价带来一定的支撑作用，预计短期内下跌空间有限，以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90168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901685"/>
      <w:r>
        <w:rPr>
          <w:rFonts w:ascii="楷体" w:eastAsia="楷体" w:hAnsi="楷体" w:hint="eastAsia"/>
          <w:b/>
          <w:color w:val="000000" w:themeColor="text1"/>
          <w:sz w:val="24"/>
          <w:szCs w:val="24"/>
        </w:rPr>
        <w:t>不锈钢：</w:t>
      </w:r>
      <w:r w:rsidR="00F84075" w:rsidRPr="00F84075">
        <w:rPr>
          <w:rFonts w:ascii="楷体" w:eastAsia="楷体" w:hAnsi="楷体" w:hint="eastAsia"/>
          <w:b/>
          <w:color w:val="000000" w:themeColor="text1"/>
          <w:sz w:val="24"/>
          <w:szCs w:val="24"/>
        </w:rPr>
        <w:t>产业负反馈持续且需求不振，暂无明显反弹动能</w:t>
      </w:r>
      <w:bookmarkEnd w:id="33"/>
    </w:p>
    <w:p w:rsidR="003F56A5" w:rsidRDefault="00F84075" w:rsidP="001529BB">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宏观面，美联储11月暂停加息，市场认为美联储本轮加息可能已经结束，宏观情绪边际好转。供应端，据Mysteel调研，不锈钢厂11月将再减产26.5万吨。成本端，钢厂减产的负反馈由下往上传导至镍铁，叠加印尼回流压力，镍铁价格偏弱运行。在产业压力传导和年内印尼镍矿会有新配额消息的影响下，镍矿价格也偏弱。需求方面维持疲弱，下游成交氛围冷清。库存方面，不锈钢社会库存缓慢去化，据钢联数据，全国主流市场不锈钢78仓库口径社会总库存105.25万吨，周环比下降2.19%。综合来看，不锈钢产业负反馈仍在持续，成本端暂未企稳，在需求不佳现实下不锈钢暂无明显向上驱动，预计短期内不锈钢价弱势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901686"/>
      <w:r>
        <w:rPr>
          <w:rFonts w:ascii="楷体" w:eastAsia="楷体" w:hAnsi="楷体" w:hint="eastAsia"/>
          <w:b/>
          <w:color w:val="000000" w:themeColor="text1"/>
          <w:sz w:val="24"/>
          <w:szCs w:val="24"/>
        </w:rPr>
        <w:t>工业硅：</w:t>
      </w:r>
      <w:r w:rsidR="00003BBB" w:rsidRPr="00003BBB">
        <w:rPr>
          <w:rFonts w:ascii="楷体" w:eastAsia="楷体" w:hAnsi="楷体" w:hint="eastAsia"/>
          <w:b/>
          <w:sz w:val="24"/>
          <w:szCs w:val="24"/>
        </w:rPr>
        <w:t>硅料大幅下跌，盘面或将承压运行</w:t>
      </w:r>
      <w:bookmarkEnd w:id="34"/>
    </w:p>
    <w:p w:rsidR="003F56A5" w:rsidRDefault="00003BBB" w:rsidP="00827E8A">
      <w:pPr>
        <w:ind w:leftChars="300" w:left="630"/>
        <w:rPr>
          <w:rFonts w:ascii="楷体" w:eastAsia="楷体" w:hAnsi="楷体"/>
          <w:sz w:val="24"/>
          <w:szCs w:val="24"/>
        </w:rPr>
      </w:pPr>
      <w:r w:rsidRPr="00003BBB">
        <w:rPr>
          <w:rFonts w:ascii="楷体" w:eastAsia="楷体" w:hAnsi="楷体" w:hint="eastAsia"/>
          <w:sz w:val="24"/>
          <w:szCs w:val="24"/>
        </w:rPr>
        <w:t>11月2日，Si2401主力合约呈冲高回落走势，收盘价14075元/吨，较上一收盘价涨跌幅+0.11%。据硅业分会统计，本周N型料成交价格在7.00-8.00万元/吨，成交均价为7.52万元/吨，较两周前市场价格下降19.23%。当前暂未看到止跌迹象，受利润大幅下滑，部分企业或将启动检修，同时新增产能释放也有不及预期可能性。换言之，多晶硅作为核心增量需求，在市场大幅走弱情况下，对于拉动工业硅需求预期有所转弱，短期盘面或将承压运行。策略上，谨慎资金可暂时观望，激进资金可以尝试逢高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lastRenderedPageBreak/>
        <w:t xml:space="preserve"> </w:t>
      </w:r>
      <w:bookmarkStart w:id="36" w:name="_Toc1499016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90168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03BBB" w:rsidRPr="00003BBB">
        <w:rPr>
          <w:rFonts w:ascii="楷体" w:eastAsia="楷体" w:hAnsi="楷体" w:hint="eastAsia"/>
          <w:b/>
          <w:sz w:val="24"/>
          <w:szCs w:val="24"/>
        </w:rPr>
        <w:t>供应利好消化殆尽，天胶或小幅回调</w:t>
      </w:r>
      <w:bookmarkEnd w:id="37"/>
    </w:p>
    <w:p w:rsidR="003F56A5" w:rsidRDefault="00003BBB">
      <w:pPr>
        <w:ind w:leftChars="300" w:left="630"/>
        <w:rPr>
          <w:rFonts w:ascii="楷体" w:eastAsia="楷体" w:hAnsi="楷体"/>
          <w:sz w:val="24"/>
          <w:szCs w:val="24"/>
        </w:rPr>
      </w:pPr>
      <w:r w:rsidRPr="00003BBB">
        <w:rPr>
          <w:rFonts w:ascii="楷体" w:eastAsia="楷体" w:hAnsi="楷体" w:hint="eastAsia"/>
          <w:sz w:val="24"/>
          <w:szCs w:val="24"/>
        </w:rPr>
        <w:t>点评：近期天然橡胶回调探底，做空势力逐步进场。供应方面，东南亚主产区降雨天气缓解，原料产出持续上量，原料收购价格存下降预期，供应端利好削弱。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9月数据同环比继续走强，创过去十年同期历史新高，十月汽车消费旺季再度来临下汽车市场景气度高。整体看，近期基本面转好幅度有所减弱，在新的利好支撑出现前，橡胶或小幅回调</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90168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4268F" w:rsidRPr="0054268F">
        <w:rPr>
          <w:rFonts w:ascii="Calibri" w:eastAsia="楷体" w:hAnsi="Calibri" w:cs="Calibri" w:hint="eastAsia"/>
          <w:b/>
          <w:color w:val="000000" w:themeColor="text1"/>
          <w:sz w:val="24"/>
          <w:szCs w:val="24"/>
        </w:rPr>
        <w:t>供应偏宽松预期</w:t>
      </w:r>
      <w:r w:rsidR="0054268F" w:rsidRPr="0054268F">
        <w:rPr>
          <w:rFonts w:ascii="Calibri" w:eastAsia="楷体" w:hAnsi="Calibri" w:cs="Calibri" w:hint="eastAsia"/>
          <w:b/>
          <w:color w:val="000000" w:themeColor="text1"/>
          <w:sz w:val="24"/>
          <w:szCs w:val="24"/>
        </w:rPr>
        <w:t xml:space="preserve"> </w:t>
      </w:r>
      <w:r w:rsidR="0054268F" w:rsidRPr="0054268F">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4268F" w:rsidP="002C73FE">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原油方面，供应风险担忧减弱，叠加美国原油产量增长，国际油价下跌 。PX方面，短期来看因汽油裂解超跌反弹驱动PX小幅跟涨，但暂不建议追多。随着调油需求走弱，歧化装置开工率有望进一步提升， Q4 PX供应充足。PTA供应方面，至10.26 PTA负荷调整至78.8%。本周聚酯装置大体稳定运行，截至10.26 初步核算国内大陆地区聚酯负荷在90.7%，环比小幅提升。终端开工率尚可但涤纶长丝库存节后累库节奏较快，随着聚酯原料价格走低，工厂出货意愿较大。综合来看，目前PTA加工费高于旺季水平，后续检修恐难持续。恒力220缩减合约量30%与逸盛400推迟检修并存及后续投产预期，供应仍偏宽松。随着需求端季节性走弱， 关注6000附近压力位。建议把握11-1正套或单边布空2401合约机会。仅供参考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003BBB" w:rsidRDefault="00CC3FFA" w:rsidP="00003BBB">
      <w:pPr>
        <w:ind w:leftChars="200" w:left="420"/>
        <w:outlineLvl w:val="1"/>
        <w:rPr>
          <w:rFonts w:ascii="楷体" w:eastAsia="楷体" w:hAnsi="楷体"/>
          <w:b/>
          <w:color w:val="000000" w:themeColor="text1"/>
          <w:sz w:val="24"/>
          <w:szCs w:val="24"/>
        </w:rPr>
      </w:pPr>
      <w:bookmarkStart w:id="39" w:name="_Toc149901690"/>
      <w:r>
        <w:rPr>
          <w:rFonts w:ascii="楷体" w:eastAsia="楷体" w:hAnsi="楷体" w:hint="eastAsia"/>
          <w:b/>
          <w:color w:val="000000" w:themeColor="text1"/>
          <w:sz w:val="24"/>
          <w:szCs w:val="24"/>
        </w:rPr>
        <w:t>聚烯烃：</w:t>
      </w:r>
      <w:r w:rsidR="00003BBB" w:rsidRPr="00003BBB">
        <w:rPr>
          <w:rFonts w:ascii="楷体" w:eastAsia="楷体" w:hAnsi="楷体" w:hint="eastAsia"/>
          <w:b/>
          <w:color w:val="000000" w:themeColor="text1"/>
          <w:sz w:val="24"/>
          <w:szCs w:val="24"/>
        </w:rPr>
        <w:t>供需边际向空发展 聚烯烃维持弱势震荡</w:t>
      </w:r>
      <w:bookmarkEnd w:id="39"/>
    </w:p>
    <w:p w:rsidR="003F56A5" w:rsidRDefault="00003BBB">
      <w:pPr>
        <w:ind w:leftChars="300" w:left="630"/>
        <w:rPr>
          <w:rFonts w:ascii="楷体" w:eastAsia="楷体" w:hAnsi="楷体"/>
          <w:bCs/>
          <w:sz w:val="24"/>
          <w:szCs w:val="24"/>
        </w:rPr>
      </w:pPr>
      <w:r w:rsidRPr="00003BBB">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联储维持基准利率不变后，美元汇率下跌，风险偏好重返金融市场，国际油价大涨逾2%，结束了三天连跌。需求方面，PE下游方面，农膜整体需求平平，工厂生产清淡。棚膜工厂多停机检修；PP下游方面，BOPP市场成交刚需有量，整体量较上一交易日增加，BOPP企业未交付订单多数在一周以内，个别可至八月中。综合来看，PE方面，短期来看，传统旺季接近尾声，需求难有进一步提升空间，国内整体供应压力仍存，成交难有放量，供需边际向偏空方向发展，预计今日PE价格维持弱势震荡。PP方面，国际油价上涨，成本支撑增强。检修损失量上涨，叠加新增扩能空窗期，市场供应压力稍缓。下游行业开工率小幅向上，但场内情绪不高，工厂多随用随取，需求呈疲态。市场缺乏上行驱动力</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9901691"/>
      <w:r>
        <w:rPr>
          <w:rFonts w:ascii="楷体" w:eastAsia="楷体" w:hAnsi="楷体" w:hint="eastAsia"/>
          <w:b/>
          <w:color w:val="000000" w:themeColor="text1"/>
          <w:sz w:val="24"/>
          <w:szCs w:val="24"/>
        </w:rPr>
        <w:t>MEG：</w:t>
      </w:r>
      <w:r w:rsidR="0054268F" w:rsidRPr="0054268F">
        <w:rPr>
          <w:rFonts w:ascii="楷体" w:eastAsia="楷体" w:hAnsi="楷体" w:hint="eastAsia"/>
          <w:b/>
          <w:color w:val="000000" w:themeColor="text1"/>
          <w:sz w:val="24"/>
          <w:szCs w:val="24"/>
        </w:rPr>
        <w:t>到港增加 反弹空间受限</w:t>
      </w:r>
      <w:bookmarkEnd w:id="40"/>
    </w:p>
    <w:p w:rsidR="003F56A5" w:rsidRDefault="0054268F" w:rsidP="00152664">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供需情况，10.30华东主港地区MEG港口库存约127.6万吨附近，环比上</w:t>
      </w:r>
      <w:r w:rsidRPr="0054268F">
        <w:rPr>
          <w:rFonts w:ascii="楷体" w:eastAsia="楷体" w:hAnsi="楷体" w:hint="eastAsia"/>
          <w:color w:val="000000" w:themeColor="text1"/>
          <w:sz w:val="24"/>
          <w:szCs w:val="24"/>
        </w:rPr>
        <w:lastRenderedPageBreak/>
        <w:t>期累11.7万吨。8月进口量高位，短期海外供应充足。截至10月26日，中国大陆地区乙二醇整体开工负荷在58.83%（+0.65%），其中煤制乙二醇开工负荷在64.69%（+3.71%）。截至10月26日，国内大陆地区聚酯负荷在90.7%，环比小幅提升。终端来看，节后江浙加弹综合开工已回升至86%（+2%），江浙织机综合开工提升至80%，江浙印染综合开工小幅下滑至82%，随着原料价格走弱及节后库存累积，涤纶近期出货意愿较强。综合来看，成本端仍有弱支撑，但近期陕西40万吨装置新开工将出产品，存量库存大幅累积，成本及弱供需博弈，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990169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F84075" w:rsidRPr="00F84075">
        <w:rPr>
          <w:rFonts w:ascii="楷体" w:eastAsia="楷体" w:hAnsi="楷体" w:hint="eastAsia"/>
          <w:b/>
          <w:color w:val="000000" w:themeColor="text1"/>
          <w:sz w:val="24"/>
          <w:szCs w:val="24"/>
        </w:rPr>
        <w:t>月初多地降价，盘面继续保持震荡</w:t>
      </w:r>
      <w:bookmarkEnd w:id="41"/>
    </w:p>
    <w:p w:rsidR="00A71A7E" w:rsidRDefault="00F84075" w:rsidP="0054268F">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隆众资讯11月2日报道：今日浮法玻璃现货价格2060元/吨，环比持平。截止到20231102，全国浮法玻璃样本企业总库存4126.8万重箱，环比增加61万重箱，环比+1.5%，偏中性，周度平均产销在93.5%左右，较上周小幅下滑。周内原片厂优惠较多，主动去库，下游拿货谨慎，而进入11月后月初一般有阶段性补库需求；供给端产量维持17万吨/天左右相对偏高位置，供需平衡。成本端纯碱价格下跌成本下降，宏观上保交楼+旧改+保障性住房三轮政策托底，对盘面有一定支撑。市场延续震荡行情，参考区间（1600，1700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90169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F84075" w:rsidRPr="00F84075">
        <w:rPr>
          <w:rFonts w:ascii="楷体" w:eastAsia="楷体" w:hAnsi="楷体" w:hint="eastAsia"/>
          <w:b/>
          <w:color w:val="000000" w:themeColor="text1"/>
          <w:sz w:val="24"/>
          <w:szCs w:val="24"/>
        </w:rPr>
        <w:t>现货价格继续下移，反弹逢高沽空</w:t>
      </w:r>
      <w:bookmarkEnd w:id="42"/>
    </w:p>
    <w:p w:rsidR="00A71A7E" w:rsidRDefault="00F84075" w:rsidP="00F51139">
      <w:pPr>
        <w:ind w:leftChars="300" w:left="630"/>
        <w:rPr>
          <w:rFonts w:ascii="楷体" w:eastAsia="楷体" w:hAnsi="楷体"/>
          <w:bCs/>
          <w:sz w:val="24"/>
          <w:szCs w:val="24"/>
        </w:rPr>
      </w:pPr>
      <w:r w:rsidRPr="00F84075">
        <w:rPr>
          <w:rFonts w:ascii="楷体" w:eastAsia="楷体" w:hAnsi="楷体" w:hint="eastAsia"/>
          <w:color w:val="000000" w:themeColor="text1"/>
          <w:sz w:val="24"/>
          <w:szCs w:val="24"/>
        </w:rPr>
        <w:t>纯碱现货价格周内继续下移。华中地区重碱报价2200元/吨（环比-100元/吨），青海地区重碱报价2000元/吨。供给方面，纯碱周产量67.83万吨，跌幅1.71%，本周青海盐湖和发投环保问题减产，部分企业短停，三友11月有轮检计划，产量小幅下降；本周厂库库存51.13吨，环比+5.93吨，涨幅13.07%，社会库存窄幅下降，环比下降接近0.2万吨。需求上，下游基本刚需为主，周度表需在62万吨左右，每周供需差在5-7万左右速度累库。进出口上，后续仍有进口到港，供需趋于宽松。盘面远月合约受基差影响和宏观情绪影响震荡反弹，到随着累库的进行，向上空间有限，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99016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990169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84075" w:rsidRPr="00F84075">
        <w:rPr>
          <w:rFonts w:ascii="楷体" w:eastAsia="楷体" w:hAnsi="楷体" w:hint="eastAsia"/>
          <w:b/>
          <w:sz w:val="24"/>
          <w:szCs w:val="24"/>
        </w:rPr>
        <w:t>成本端支撑期价，基差承压运行</w:t>
      </w:r>
      <w:bookmarkEnd w:id="44"/>
    </w:p>
    <w:p w:rsidR="003F56A5" w:rsidRDefault="00F84075">
      <w:pPr>
        <w:ind w:leftChars="300" w:left="630"/>
        <w:rPr>
          <w:rFonts w:ascii="楷体" w:eastAsia="楷体" w:hAnsi="楷体"/>
          <w:sz w:val="24"/>
          <w:szCs w:val="24"/>
        </w:rPr>
      </w:pPr>
      <w:r w:rsidRPr="00F84075">
        <w:rPr>
          <w:rFonts w:ascii="楷体" w:eastAsia="楷体" w:hAnsi="楷体" w:hint="eastAsia"/>
          <w:sz w:val="24"/>
          <w:szCs w:val="24"/>
        </w:rPr>
        <w:t>美豆国内压榨需求及出口需求好转，支撑CBOT大豆表现坚挺。随着美豆定产后，市场定价重心将逐步转向南美，当前南美天气有所改善，但在近期天气不利影响下部分机构下调巴西大豆产量，中长期南美丰产预期能否兑现是后续价格走势的关键。国内现货基差继续承压运行，下游成交不佳。供应端在9-10月份大豆阶段性到港减少下，油厂大豆库存维持偏低水平，随着油厂开机恢复，豆粕产出缓增，但部分油厂存断豆停机情况，豆粕库存高于去年同期值为72.1万吨，当前沿海主流油厂豆粕现货报价小幅下上调至4100-4280元/吨。9月份进口大豆到港量为715万吨，环比减23.6%，11-12月预计会增至月均950万吨的到港，但当前市场对后续到港量存在分歧，关注后续大豆是否存在延迟到港情况。需求，下游生猪养殖利润不</w:t>
      </w:r>
      <w:r w:rsidRPr="00F84075">
        <w:rPr>
          <w:rFonts w:ascii="楷体" w:eastAsia="楷体" w:hAnsi="楷体" w:hint="eastAsia"/>
          <w:sz w:val="24"/>
          <w:szCs w:val="24"/>
        </w:rPr>
        <w:lastRenderedPageBreak/>
        <w:t>佳，但在能繁存栏高位下，下游维持刚需补库，保持安全库存，需求较清淡。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建议逢高沽空为主，豆粕暂看4000压力，菜粕区间预计2850-3000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9901696"/>
      <w:r>
        <w:rPr>
          <w:rFonts w:ascii="楷体" w:eastAsia="楷体" w:hAnsi="楷体" w:hint="eastAsia"/>
          <w:b/>
          <w:color w:val="000000" w:themeColor="text1"/>
          <w:sz w:val="24"/>
          <w:szCs w:val="24"/>
        </w:rPr>
        <w:t>油脂：</w:t>
      </w:r>
      <w:r w:rsidR="00F84075" w:rsidRPr="00F84075">
        <w:rPr>
          <w:rFonts w:ascii="楷体" w:eastAsia="楷体" w:hAnsi="楷体" w:hint="eastAsia"/>
          <w:b/>
          <w:sz w:val="24"/>
          <w:szCs w:val="24"/>
        </w:rPr>
        <w:t>基本面缺乏驱动，宽幅震荡</w:t>
      </w:r>
      <w:bookmarkEnd w:id="45"/>
    </w:p>
    <w:p w:rsidR="003F56A5" w:rsidRDefault="00F84075" w:rsidP="00792D31">
      <w:pPr>
        <w:ind w:leftChars="300" w:left="630"/>
        <w:rPr>
          <w:rFonts w:ascii="楷体" w:eastAsia="楷体" w:hAnsi="楷体"/>
          <w:sz w:val="24"/>
          <w:szCs w:val="24"/>
        </w:rPr>
      </w:pPr>
      <w:r w:rsidRPr="00F84075">
        <w:rPr>
          <w:rFonts w:ascii="楷体" w:eastAsia="楷体" w:hAnsi="楷体" w:hint="eastAsia"/>
          <w:sz w:val="24"/>
          <w:szCs w:val="24"/>
        </w:rPr>
        <w:t>油脂反弹主要在于外部利多因素支撑，但供需宽松现实仍限制其反弹空间。棕榈油，产地季节性增产周期下10月存继续累库预期，印尼棕榈油8月份因产需双降，库存修复不及预期。而马棕9月库存增至新高，基本符合市场预期。马棕10月出口环比增加6%-8%，而在产量延续增势下，预计10月仍将保持累库趋势；但11月将进入产地季节性减产阶段，关注厄尔尼诺对产量的影响，为中长期潜在利多因素。国内棕榈油7-8月份进口到港维持高位，在买船积极下，进口供应稳增，最新商业库存创年内新高为91.76万吨。需求端，随着各地气温转凉，棕榈油逐步进入消费淡季，掺混需求预计减少。豆油库存去化仍需看需求增量。国内受9-10月大豆到港减少大豆库存偏低影响，虽油厂开机有所回升，但整体压榨水平偏低，豆油供应缓增。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但库存快速去化仍需看到替代需求出现。短期油脂维持宽幅震荡，上行驱动不足，建议短线波段操作，高抛低吸；中长期关注天气及需求表现，能否带来有效驱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9901697"/>
      <w:r>
        <w:rPr>
          <w:rFonts w:ascii="楷体" w:eastAsia="楷体" w:hAnsi="楷体" w:hint="eastAsia"/>
          <w:b/>
          <w:bCs/>
          <w:color w:val="000000" w:themeColor="text1"/>
        </w:rPr>
        <w:t>玉米与淀粉：</w:t>
      </w:r>
      <w:r w:rsidR="00F84075" w:rsidRPr="00F84075">
        <w:rPr>
          <w:rFonts w:ascii="楷体" w:eastAsia="楷体" w:hAnsi="楷体" w:hint="eastAsia"/>
          <w:b/>
        </w:rPr>
        <w:t>更多地区现货止跌反弹</w:t>
      </w:r>
      <w:bookmarkEnd w:id="46"/>
    </w:p>
    <w:p w:rsidR="00F84075" w:rsidRPr="00F84075" w:rsidRDefault="00F84075" w:rsidP="00F84075">
      <w:pPr>
        <w:pStyle w:val="paragraph"/>
        <w:spacing w:before="60" w:after="60"/>
        <w:ind w:leftChars="300" w:left="630"/>
        <w:rPr>
          <w:rFonts w:ascii="楷体" w:eastAsia="楷体" w:hAnsi="楷体" w:hint="eastAsia"/>
        </w:rPr>
      </w:pPr>
      <w:r w:rsidRPr="00F84075">
        <w:rPr>
          <w:rFonts w:ascii="楷体" w:eastAsia="楷体" w:hAnsi="楷体" w:hint="eastAsia"/>
        </w:rPr>
        <w:t>对于玉米而言，基于之前的逻辑，市场更多等待新作压力的释放，考虑到现货价格已经持续回落，盘面11月与1月合约接近平水，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F84075" w:rsidP="00F84075">
      <w:pPr>
        <w:pStyle w:val="paragraph"/>
        <w:spacing w:before="60" w:beforeAutospacing="0" w:after="60" w:afterAutospacing="0"/>
        <w:ind w:leftChars="300" w:left="630"/>
        <w:rPr>
          <w:rFonts w:ascii="楷体" w:eastAsia="楷体" w:hAnsi="楷体"/>
        </w:rPr>
      </w:pPr>
      <w:r w:rsidRPr="00F84075">
        <w:rPr>
          <w:rFonts w:ascii="楷体" w:eastAsia="楷体" w:hAnsi="楷体" w:hint="eastAsia"/>
        </w:rPr>
        <w:t>对于淀粉而言，近期淀粉-玉米价差整体小幅走扩，主要源于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w:t>
      </w:r>
      <w:r w:rsidRPr="00F84075">
        <w:rPr>
          <w:rFonts w:ascii="楷体" w:eastAsia="楷体" w:hAnsi="楷体" w:hint="eastAsia"/>
        </w:rPr>
        <w:lastRenderedPageBreak/>
        <w:t>产品、行业供需和现货基差三个方面因素，结合前面对玉米原料端的分析，我们倾向于后期淀粉-玉米价差有望继续走扩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9901698"/>
      <w:r>
        <w:rPr>
          <w:rFonts w:ascii="楷体" w:eastAsia="楷体" w:hAnsi="楷体" w:hint="eastAsia"/>
          <w:b/>
          <w:bCs/>
          <w:color w:val="000000" w:themeColor="text1"/>
        </w:rPr>
        <w:t>畜禽养殖：</w:t>
      </w:r>
      <w:r w:rsidR="00F84075" w:rsidRPr="00F84075">
        <w:rPr>
          <w:rFonts w:ascii="楷体" w:eastAsia="楷体" w:hAnsi="楷体" w:hint="eastAsia"/>
          <w:b/>
          <w:bCs/>
          <w:color w:val="000000" w:themeColor="text1"/>
        </w:rPr>
        <w:t>期价震荡分化</w:t>
      </w:r>
      <w:bookmarkEnd w:id="47"/>
    </w:p>
    <w:p w:rsidR="00F84075" w:rsidRPr="00F84075" w:rsidRDefault="00F84075" w:rsidP="00F84075">
      <w:pPr>
        <w:pStyle w:val="paragraph"/>
        <w:spacing w:before="60" w:after="60"/>
        <w:ind w:leftChars="300" w:left="630"/>
        <w:rPr>
          <w:rFonts w:ascii="楷体" w:eastAsia="楷体" w:hAnsi="楷体" w:hint="eastAsia"/>
        </w:rPr>
      </w:pPr>
      <w:r w:rsidRPr="00F84075">
        <w:rPr>
          <w:rFonts w:ascii="楷体" w:eastAsia="楷体" w:hAnsi="楷体" w:hint="eastAsia"/>
        </w:rPr>
        <w:t>对于生猪而言，在前期报告中我们指出，考虑到参考农业农村部的数据，下半年总体供需环比上半年趋于改善，下半年现货价格波动区间较上半年有望抬高。当然，7月底现货价格反弹之后，由于市场整体供应依然充足，其上方空间亦有限。接下来期价波动或更多取决于节奏，节奏主要是指市场通过压栏、二次育肥和冷冻库存来影响市场的供应变化，再结合需求的季节性变动，来影响期现货的波动节奏。考虑到8月以来猪价持续震荡回落，近期叠加疫情影响加速下跌，在一定程度上带动供应的消化，并抑制养殖户的压栏和二次育肥，这会缓解后面生猪供应压力，后期在季节性需求旺季的带动之下，市场供需有望逐步改善，期现货价格或出现反弹。当然，需要留意的是疫情的走向，这可以重点关注接下来的现货走势。在这种情况下，转向谨慎看多观点，建议谨慎投资者可以参与正套操作（买1月抛3月或5月合约），激进投资者可以在现货企稳后轻仓买入2401合约。</w:t>
      </w:r>
    </w:p>
    <w:p w:rsidR="003F56A5" w:rsidRDefault="00F84075" w:rsidP="00F84075">
      <w:pPr>
        <w:pStyle w:val="paragraph"/>
        <w:spacing w:before="60" w:beforeAutospacing="0" w:after="60" w:afterAutospacing="0"/>
        <w:ind w:leftChars="300" w:left="630"/>
        <w:rPr>
          <w:rFonts w:ascii="楷体" w:eastAsia="楷体" w:hAnsi="楷体"/>
        </w:rPr>
      </w:pPr>
      <w:r w:rsidRPr="00F84075">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9901699"/>
      <w:r>
        <w:rPr>
          <w:rFonts w:ascii="楷体" w:eastAsia="楷体" w:hAnsi="楷体" w:hint="eastAsia"/>
          <w:b/>
          <w:sz w:val="24"/>
          <w:szCs w:val="24"/>
        </w:rPr>
        <w:t>郑棉：</w:t>
      </w:r>
      <w:r w:rsidR="00F84075" w:rsidRPr="00F84075">
        <w:rPr>
          <w:rFonts w:ascii="楷体" w:eastAsia="楷体" w:hAnsi="楷体" w:hint="eastAsia"/>
          <w:b/>
          <w:sz w:val="24"/>
          <w:szCs w:val="24"/>
        </w:rPr>
        <w:t>小幅反弹，观望</w:t>
      </w:r>
      <w:bookmarkEnd w:id="48"/>
    </w:p>
    <w:p w:rsidR="003F56A5" w:rsidRDefault="00F84075" w:rsidP="007B3290">
      <w:pPr>
        <w:ind w:leftChars="300" w:left="630"/>
        <w:rPr>
          <w:rFonts w:ascii="楷体" w:eastAsia="楷体" w:hAnsi="楷体"/>
          <w:sz w:val="24"/>
          <w:szCs w:val="24"/>
        </w:rPr>
      </w:pPr>
      <w:r w:rsidRPr="00F84075">
        <w:rPr>
          <w:rFonts w:ascii="楷体" w:eastAsia="楷体" w:hAnsi="楷体" w:hint="eastAsia"/>
          <w:sz w:val="24"/>
          <w:szCs w:val="24"/>
        </w:rPr>
        <w:t>相关部门发布收储意向征询，但因缺乏实质性收储政策支持，棉价对此反应不大。金九银十旺季不旺，下游订单匮乏情况下成品库存不断积累，且前期纺织企业多已备好原料，近期仅少量逢低补库，产业负反馈显著。新棉收购价尾随期货价格下行，套保预期压制下郑棉反弹受限。短期内棉花供强需弱格局不变，但在基差拉动以及可能的收储预期下有小幅反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49901700"/>
      <w:r>
        <w:rPr>
          <w:rFonts w:ascii="楷体" w:eastAsia="楷体" w:hAnsi="楷体" w:hint="eastAsia"/>
          <w:b/>
          <w:sz w:val="24"/>
          <w:szCs w:val="24"/>
        </w:rPr>
        <w:t>白糖：</w:t>
      </w:r>
      <w:r w:rsidR="00F84075" w:rsidRPr="00F84075">
        <w:rPr>
          <w:rFonts w:ascii="楷体" w:eastAsia="楷体" w:hAnsi="楷体" w:hint="eastAsia"/>
          <w:b/>
          <w:sz w:val="24"/>
          <w:szCs w:val="24"/>
        </w:rPr>
        <w:t>6700—6900区间震荡，高抛低吸</w:t>
      </w:r>
      <w:bookmarkEnd w:id="49"/>
    </w:p>
    <w:p w:rsidR="00296325" w:rsidRDefault="00F84075" w:rsidP="00296325">
      <w:pPr>
        <w:ind w:leftChars="300" w:left="630"/>
        <w:rPr>
          <w:rFonts w:ascii="楷体" w:eastAsia="楷体" w:hAnsi="楷体"/>
          <w:sz w:val="24"/>
          <w:szCs w:val="24"/>
        </w:rPr>
      </w:pPr>
      <w:r w:rsidRPr="00F84075">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在一份报告中称，10月上半月甘蔗压榨量为3277万吨，较上年同期增长17.6%。但巴西主要港口的拥堵使其对国际的输出受限。除巴西外，厄尔尼诺天气影响下，市</w:t>
      </w:r>
      <w:r w:rsidRPr="00F84075">
        <w:rPr>
          <w:rFonts w:ascii="楷体" w:eastAsia="楷体" w:hAnsi="楷体" w:hint="eastAsia"/>
          <w:sz w:val="24"/>
          <w:szCs w:val="24"/>
        </w:rPr>
        <w:lastRenderedPageBreak/>
        <w:t>场对新季白糖的供应依然感到担忧，ICE原糖保持强势。主要产糖大国印度的乙醇燃料计划使其甘蔗使用量大增，出口限制政策延续。泰国的产糖前景也不乐观，泰国发布限制出口政策，国际糖价或再创新高。对于国内糖价来说，传闻10月交割的原糖大部分将运往中国，新榨季也已开始，供应紧张局面短期内有所缓解。不过，国家统计局10月19日公布的数据显示，中国9月成品糖产量为26.2万吨，同比下滑31.1%。产量能否达到预期仍有待观察</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49901701"/>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49901702"/>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F84075" w:rsidRPr="00F84075">
        <w:rPr>
          <w:rFonts w:ascii="Times New Roman" w:eastAsia="楷体" w:hAnsi="Times New Roman" w:hint="eastAsia"/>
          <w:b/>
          <w:color w:val="000000" w:themeColor="text1"/>
          <w:sz w:val="24"/>
          <w:szCs w:val="24"/>
        </w:rPr>
        <w:t>涨价计划兑现期货价格回落，市场对未来运价存忧虑</w:t>
      </w:r>
      <w:bookmarkEnd w:id="51"/>
    </w:p>
    <w:p w:rsidR="00F84075" w:rsidRPr="00F84075" w:rsidRDefault="00F84075" w:rsidP="00F84075">
      <w:pPr>
        <w:ind w:leftChars="300" w:left="630"/>
        <w:rPr>
          <w:rFonts w:ascii="Times New Roman" w:eastAsia="楷体" w:hAnsi="Times New Roman" w:hint="eastAsia"/>
          <w:color w:val="000000" w:themeColor="text1"/>
          <w:sz w:val="24"/>
          <w:szCs w:val="24"/>
        </w:rPr>
      </w:pPr>
      <w:r w:rsidRPr="00F84075">
        <w:rPr>
          <w:rFonts w:ascii="Times New Roman" w:eastAsia="楷体" w:hAnsi="Times New Roman" w:hint="eastAsia"/>
          <w:color w:val="000000" w:themeColor="text1"/>
          <w:sz w:val="24"/>
          <w:szCs w:val="24"/>
        </w:rPr>
        <w:t>昨日盘面经历了较大幅度的下跌，并且仓单量大幅增加</w:t>
      </w:r>
      <w:r w:rsidRPr="00F84075">
        <w:rPr>
          <w:rFonts w:ascii="Times New Roman" w:eastAsia="楷体" w:hAnsi="Times New Roman" w:hint="eastAsia"/>
          <w:color w:val="000000" w:themeColor="text1"/>
          <w:sz w:val="24"/>
          <w:szCs w:val="24"/>
        </w:rPr>
        <w:t>1</w:t>
      </w:r>
      <w:r w:rsidRPr="00F84075">
        <w:rPr>
          <w:rFonts w:ascii="Times New Roman" w:eastAsia="楷体" w:hAnsi="Times New Roman" w:hint="eastAsia"/>
          <w:color w:val="000000" w:themeColor="text1"/>
          <w:sz w:val="24"/>
          <w:szCs w:val="24"/>
        </w:rPr>
        <w:t>万手。供应端方面，亚欧航线集装箱航运市场步入传统淡季，船公司持续通过取消航次、暂缓航线恢复、跳港等方式减控运力，并且通过上调运费以支撑即将陆续签署的长协价格，该一系列行动是具有较明显的周期性，市场对未来的持续性存疑。且这能够在多大程度上实现，已经成为期货盘面多空博弈的焦点。外需方面，欧洲</w:t>
      </w:r>
      <w:r w:rsidRPr="00F84075">
        <w:rPr>
          <w:rFonts w:ascii="Times New Roman" w:eastAsia="楷体" w:hAnsi="Times New Roman" w:hint="eastAsia"/>
          <w:color w:val="000000" w:themeColor="text1"/>
          <w:sz w:val="24"/>
          <w:szCs w:val="24"/>
        </w:rPr>
        <w:t>10</w:t>
      </w:r>
      <w:r w:rsidRPr="00F84075">
        <w:rPr>
          <w:rFonts w:ascii="Times New Roman" w:eastAsia="楷体" w:hAnsi="Times New Roman" w:hint="eastAsia"/>
          <w:color w:val="000000" w:themeColor="text1"/>
          <w:sz w:val="24"/>
          <w:szCs w:val="24"/>
        </w:rPr>
        <w:t>月制造业</w:t>
      </w:r>
      <w:r w:rsidRPr="00F84075">
        <w:rPr>
          <w:rFonts w:ascii="Times New Roman" w:eastAsia="楷体" w:hAnsi="Times New Roman" w:hint="eastAsia"/>
          <w:color w:val="000000" w:themeColor="text1"/>
          <w:sz w:val="24"/>
          <w:szCs w:val="24"/>
        </w:rPr>
        <w:t>PMI</w:t>
      </w:r>
      <w:r w:rsidRPr="00F84075">
        <w:rPr>
          <w:rFonts w:ascii="Times New Roman" w:eastAsia="楷体" w:hAnsi="Times New Roman" w:hint="eastAsia"/>
          <w:color w:val="000000" w:themeColor="text1"/>
          <w:sz w:val="24"/>
          <w:szCs w:val="24"/>
        </w:rPr>
        <w:t>数据为</w:t>
      </w:r>
      <w:r w:rsidRPr="00F84075">
        <w:rPr>
          <w:rFonts w:ascii="Times New Roman" w:eastAsia="楷体" w:hAnsi="Times New Roman" w:hint="eastAsia"/>
          <w:color w:val="000000" w:themeColor="text1"/>
          <w:sz w:val="24"/>
          <w:szCs w:val="24"/>
        </w:rPr>
        <w:t>43</w:t>
      </w:r>
      <w:r w:rsidRPr="00F84075">
        <w:rPr>
          <w:rFonts w:ascii="Times New Roman" w:eastAsia="楷体" w:hAnsi="Times New Roman" w:hint="eastAsia"/>
          <w:color w:val="000000" w:themeColor="text1"/>
          <w:sz w:val="24"/>
          <w:szCs w:val="24"/>
        </w:rPr>
        <w:t>，低于预期，并连续</w:t>
      </w:r>
      <w:r w:rsidRPr="00F84075">
        <w:rPr>
          <w:rFonts w:ascii="Times New Roman" w:eastAsia="楷体" w:hAnsi="Times New Roman" w:hint="eastAsia"/>
          <w:color w:val="000000" w:themeColor="text1"/>
          <w:sz w:val="24"/>
          <w:szCs w:val="24"/>
        </w:rPr>
        <w:t>16</w:t>
      </w:r>
      <w:r w:rsidRPr="00F84075">
        <w:rPr>
          <w:rFonts w:ascii="Times New Roman" w:eastAsia="楷体" w:hAnsi="Times New Roman" w:hint="eastAsia"/>
          <w:color w:val="000000" w:themeColor="text1"/>
          <w:sz w:val="24"/>
          <w:szCs w:val="24"/>
        </w:rPr>
        <w:t>个月处于荣枯线以下，欧洲经济疲软将延续，从而对欧洲需求产生抑制，四季度欧洲需求难以出现改善。</w:t>
      </w:r>
    </w:p>
    <w:p w:rsidR="00152664" w:rsidRDefault="00F84075" w:rsidP="00F84075">
      <w:pPr>
        <w:ind w:leftChars="300" w:left="630"/>
        <w:rPr>
          <w:rFonts w:ascii="Times New Roman" w:eastAsia="楷体" w:hAnsi="Times New Roman"/>
          <w:color w:val="000000" w:themeColor="text1"/>
          <w:sz w:val="24"/>
          <w:szCs w:val="24"/>
        </w:rPr>
      </w:pPr>
      <w:r w:rsidRPr="00F84075">
        <w:rPr>
          <w:rFonts w:ascii="Times New Roman" w:eastAsia="楷体" w:hAnsi="Times New Roman" w:hint="eastAsia"/>
          <w:color w:val="000000" w:themeColor="text1"/>
          <w:sz w:val="24"/>
          <w:szCs w:val="24"/>
        </w:rPr>
        <w:t>本周由于挺价计划开始兑现，期货市场已反映该预期，预计维持宽幅震荡。建议观察涨价计划执行力度，未来如果即期运价上调的力度不如预期，可能会造成期货价格进一步的下行。未来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CB" w:rsidRDefault="008316CB">
      <w:r>
        <w:separator/>
      </w:r>
    </w:p>
  </w:endnote>
  <w:endnote w:type="continuationSeparator" w:id="0">
    <w:p w:rsidR="008316CB" w:rsidRDefault="008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DA1E63E" wp14:editId="470ACC7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03BB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03BB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CB" w:rsidRDefault="008316CB">
      <w:r>
        <w:separator/>
      </w:r>
    </w:p>
  </w:footnote>
  <w:footnote w:type="continuationSeparator" w:id="0">
    <w:p w:rsidR="008316CB" w:rsidRDefault="0083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F98D8BF" wp14:editId="15BFE43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451BE88" wp14:editId="4F0712B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84075">
      <w:rPr>
        <w:rFonts w:ascii="Times New Roman" w:eastAsia="楷体" w:hAnsi="Times New Roman" w:hint="eastAsia"/>
        <w:b/>
        <w:bCs/>
        <w:noProof/>
        <w:color w:val="833C0B"/>
        <w:sz w:val="21"/>
      </w:rPr>
      <w:t>2023</w:t>
    </w:r>
    <w:r w:rsidR="00F84075">
      <w:rPr>
        <w:rFonts w:ascii="Times New Roman" w:eastAsia="楷体" w:hAnsi="Times New Roman" w:hint="eastAsia"/>
        <w:b/>
        <w:bCs/>
        <w:noProof/>
        <w:color w:val="833C0B"/>
        <w:sz w:val="21"/>
      </w:rPr>
      <w:t>年</w:t>
    </w:r>
    <w:r w:rsidR="00F84075">
      <w:rPr>
        <w:rFonts w:ascii="Times New Roman" w:eastAsia="楷体" w:hAnsi="Times New Roman" w:hint="eastAsia"/>
        <w:b/>
        <w:bCs/>
        <w:noProof/>
        <w:color w:val="833C0B"/>
        <w:sz w:val="21"/>
      </w:rPr>
      <w:t>11</w:t>
    </w:r>
    <w:r w:rsidR="00F84075">
      <w:rPr>
        <w:rFonts w:ascii="Times New Roman" w:eastAsia="楷体" w:hAnsi="Times New Roman" w:hint="eastAsia"/>
        <w:b/>
        <w:bCs/>
        <w:noProof/>
        <w:color w:val="833C0B"/>
        <w:sz w:val="21"/>
      </w:rPr>
      <w:t>月</w:t>
    </w:r>
    <w:r w:rsidR="00F84075">
      <w:rPr>
        <w:rFonts w:ascii="Times New Roman" w:eastAsia="楷体" w:hAnsi="Times New Roman" w:hint="eastAsia"/>
        <w:b/>
        <w:bCs/>
        <w:noProof/>
        <w:color w:val="833C0B"/>
        <w:sz w:val="21"/>
      </w:rPr>
      <w:t>3</w:t>
    </w:r>
    <w:r w:rsidR="00F84075">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1A98"/>
    <w:rsid w:val="00DB4E25"/>
    <w:rsid w:val="00DB6FBE"/>
    <w:rsid w:val="00DC47C0"/>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2947C-6836-41D2-87A1-90285349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4450</TotalTime>
  <Pages>10</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127</cp:revision>
  <cp:lastPrinted>2023-06-08T02:23:00Z</cp:lastPrinted>
  <dcterms:created xsi:type="dcterms:W3CDTF">2022-11-15T10:06:00Z</dcterms:created>
  <dcterms:modified xsi:type="dcterms:W3CDTF">2023-11-03T03:00:00Z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