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Pr="00152664" w:rsidRDefault="00CC3FFA" w:rsidP="00152664">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DF5606"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DF5606" w:rsidRPr="009C6CDB">
            <w:rPr>
              <w:rStyle w:val="a9"/>
              <w:noProof/>
            </w:rPr>
            <w:fldChar w:fldCharType="begin"/>
          </w:r>
          <w:r w:rsidR="00DF5606" w:rsidRPr="009C6CDB">
            <w:rPr>
              <w:rStyle w:val="a9"/>
              <w:noProof/>
            </w:rPr>
            <w:instrText xml:space="preserve"> </w:instrText>
          </w:r>
          <w:r w:rsidR="00DF5606">
            <w:rPr>
              <w:noProof/>
            </w:rPr>
            <w:instrText>HYPERLINK \l "_Toc149726761"</w:instrText>
          </w:r>
          <w:r w:rsidR="00DF5606" w:rsidRPr="009C6CDB">
            <w:rPr>
              <w:rStyle w:val="a9"/>
              <w:noProof/>
            </w:rPr>
            <w:instrText xml:space="preserve"> </w:instrText>
          </w:r>
          <w:r w:rsidR="00DF5606" w:rsidRPr="009C6CDB">
            <w:rPr>
              <w:rStyle w:val="a9"/>
              <w:noProof/>
            </w:rPr>
          </w:r>
          <w:r w:rsidR="00DF5606" w:rsidRPr="009C6CDB">
            <w:rPr>
              <w:rStyle w:val="a9"/>
              <w:noProof/>
            </w:rPr>
            <w:fldChar w:fldCharType="separate"/>
          </w:r>
          <w:r w:rsidR="00DF5606" w:rsidRPr="009C6CDB">
            <w:rPr>
              <w:rStyle w:val="a9"/>
              <w:rFonts w:ascii="Times New Roman" w:eastAsia="楷体" w:hAnsi="Times New Roman"/>
              <w:b/>
              <w:noProof/>
            </w:rPr>
            <w:t>[</w:t>
          </w:r>
          <w:r w:rsidR="00DF5606" w:rsidRPr="009C6CDB">
            <w:rPr>
              <w:rStyle w:val="a9"/>
              <w:rFonts w:ascii="Times New Roman" w:eastAsia="楷体" w:hAnsi="Times New Roman"/>
              <w:b/>
              <w:noProof/>
            </w:rPr>
            <w:t>金融</w:t>
          </w:r>
          <w:r w:rsidR="00DF5606" w:rsidRPr="009C6CDB">
            <w:rPr>
              <w:rStyle w:val="a9"/>
              <w:rFonts w:ascii="Times New Roman" w:eastAsia="楷体" w:hAnsi="Times New Roman"/>
              <w:b/>
              <w:noProof/>
            </w:rPr>
            <w:t>]</w:t>
          </w:r>
          <w:r w:rsidR="00DF5606" w:rsidRPr="009C6CDB">
            <w:rPr>
              <w:rStyle w:val="a9"/>
              <w:noProof/>
            </w:rPr>
            <w:fldChar w:fldCharType="end"/>
          </w:r>
        </w:p>
        <w:p w:rsidR="00DF5606" w:rsidRDefault="00DF5606">
          <w:pPr>
            <w:pStyle w:val="23"/>
            <w:tabs>
              <w:tab w:val="right" w:leader="dot" w:pos="8296"/>
            </w:tabs>
            <w:rPr>
              <w:rFonts w:eastAsiaTheme="minorEastAsia"/>
              <w:noProof/>
              <w:szCs w:val="22"/>
            </w:rPr>
          </w:pPr>
          <w:hyperlink w:anchor="_Toc149726762" w:history="1">
            <w:r w:rsidRPr="009C6CDB">
              <w:rPr>
                <w:rStyle w:val="a9"/>
                <w:rFonts w:ascii="Times New Roman" w:eastAsia="楷体" w:hAnsi="Times New Roman"/>
                <w:b/>
                <w:noProof/>
              </w:rPr>
              <w:t>股指：指数多单持有</w:t>
            </w:r>
          </w:hyperlink>
        </w:p>
        <w:p w:rsidR="00DF5606" w:rsidRDefault="00DF5606">
          <w:pPr>
            <w:pStyle w:val="11"/>
            <w:tabs>
              <w:tab w:val="right" w:leader="dot" w:pos="8296"/>
            </w:tabs>
            <w:rPr>
              <w:rFonts w:eastAsiaTheme="minorEastAsia"/>
              <w:noProof/>
              <w:szCs w:val="22"/>
            </w:rPr>
          </w:pPr>
          <w:hyperlink w:anchor="_Toc149726763" w:history="1">
            <w:r w:rsidRPr="009C6CDB">
              <w:rPr>
                <w:rStyle w:val="a9"/>
                <w:rFonts w:ascii="Times New Roman" w:eastAsia="楷体" w:hAnsi="Times New Roman"/>
                <w:b/>
                <w:noProof/>
              </w:rPr>
              <w:t>[</w:t>
            </w:r>
            <w:r w:rsidRPr="009C6CDB">
              <w:rPr>
                <w:rStyle w:val="a9"/>
                <w:rFonts w:ascii="Times New Roman" w:eastAsia="楷体" w:hAnsi="Times New Roman"/>
                <w:b/>
                <w:noProof/>
              </w:rPr>
              <w:t>贵金属</w:t>
            </w:r>
            <w:r w:rsidRPr="009C6CDB">
              <w:rPr>
                <w:rStyle w:val="a9"/>
                <w:rFonts w:ascii="Times New Roman" w:eastAsia="楷体" w:hAnsi="Times New Roman"/>
                <w:b/>
                <w:noProof/>
              </w:rPr>
              <w:t>]</w:t>
            </w:r>
          </w:hyperlink>
        </w:p>
        <w:p w:rsidR="00DF5606" w:rsidRDefault="00DF5606">
          <w:pPr>
            <w:pStyle w:val="23"/>
            <w:tabs>
              <w:tab w:val="right" w:leader="dot" w:pos="8296"/>
            </w:tabs>
            <w:rPr>
              <w:rFonts w:eastAsiaTheme="minorEastAsia"/>
              <w:noProof/>
              <w:szCs w:val="22"/>
            </w:rPr>
          </w:pPr>
          <w:hyperlink w:anchor="_Toc149726764" w:history="1">
            <w:r w:rsidRPr="009C6CDB">
              <w:rPr>
                <w:rStyle w:val="a9"/>
                <w:rFonts w:ascii="Times New Roman" w:eastAsia="楷体" w:hAnsi="Times New Roman"/>
                <w:b/>
                <w:noProof/>
              </w:rPr>
              <w:t>贵金属：欧元区经济景气指数略优于预期，内盘贵金属价格回落</w:t>
            </w:r>
          </w:hyperlink>
        </w:p>
        <w:p w:rsidR="00DF5606" w:rsidRDefault="00DF5606">
          <w:pPr>
            <w:pStyle w:val="11"/>
            <w:tabs>
              <w:tab w:val="right" w:leader="dot" w:pos="8296"/>
            </w:tabs>
            <w:rPr>
              <w:rFonts w:eastAsiaTheme="minorEastAsia"/>
              <w:noProof/>
              <w:szCs w:val="22"/>
            </w:rPr>
          </w:pPr>
          <w:hyperlink w:anchor="_Toc149726765" w:history="1">
            <w:r w:rsidRPr="009C6CDB">
              <w:rPr>
                <w:rStyle w:val="a9"/>
                <w:rFonts w:ascii="Times New Roman" w:eastAsia="楷体" w:hAnsi="Times New Roman"/>
                <w:b/>
                <w:noProof/>
              </w:rPr>
              <w:t>[</w:t>
            </w:r>
            <w:r w:rsidRPr="009C6CDB">
              <w:rPr>
                <w:rStyle w:val="a9"/>
                <w:rFonts w:ascii="Times New Roman" w:eastAsia="楷体" w:hAnsi="Times New Roman"/>
                <w:b/>
                <w:noProof/>
              </w:rPr>
              <w:t>金属</w:t>
            </w:r>
            <w:r w:rsidRPr="009C6CDB">
              <w:rPr>
                <w:rStyle w:val="a9"/>
                <w:rFonts w:ascii="Times New Roman" w:eastAsia="楷体" w:hAnsi="Times New Roman"/>
                <w:b/>
                <w:noProof/>
              </w:rPr>
              <w:t>]</w:t>
            </w:r>
          </w:hyperlink>
        </w:p>
        <w:p w:rsidR="00DF5606" w:rsidRDefault="00DF5606">
          <w:pPr>
            <w:pStyle w:val="23"/>
            <w:tabs>
              <w:tab w:val="right" w:leader="dot" w:pos="8296"/>
            </w:tabs>
            <w:rPr>
              <w:rFonts w:eastAsiaTheme="minorEastAsia"/>
              <w:noProof/>
              <w:szCs w:val="22"/>
            </w:rPr>
          </w:pPr>
          <w:hyperlink w:anchor="_Toc149726766" w:history="1">
            <w:r w:rsidRPr="009C6CDB">
              <w:rPr>
                <w:rStyle w:val="a9"/>
                <w:rFonts w:ascii="楷体" w:eastAsia="楷体" w:hAnsi="楷体"/>
                <w:b/>
                <w:noProof/>
              </w:rPr>
              <w:t>碳酸锂：进口矿石价格小幅下降，主力期价窄幅震荡</w:t>
            </w:r>
          </w:hyperlink>
        </w:p>
        <w:p w:rsidR="00DF5606" w:rsidRDefault="00DF5606">
          <w:pPr>
            <w:pStyle w:val="23"/>
            <w:tabs>
              <w:tab w:val="right" w:leader="dot" w:pos="8296"/>
            </w:tabs>
            <w:rPr>
              <w:rFonts w:eastAsiaTheme="minorEastAsia"/>
              <w:noProof/>
              <w:szCs w:val="22"/>
            </w:rPr>
          </w:pPr>
          <w:hyperlink w:anchor="_Toc149726767" w:history="1">
            <w:r w:rsidRPr="009C6CDB">
              <w:rPr>
                <w:rStyle w:val="a9"/>
                <w:rFonts w:ascii="楷体" w:eastAsia="楷体" w:hAnsi="楷体"/>
                <w:b/>
                <w:noProof/>
              </w:rPr>
              <w:t>螺纹钢：估值修复，价格偏强震荡</w:t>
            </w:r>
          </w:hyperlink>
        </w:p>
        <w:p w:rsidR="00DF5606" w:rsidRDefault="00DF5606">
          <w:pPr>
            <w:pStyle w:val="23"/>
            <w:tabs>
              <w:tab w:val="right" w:leader="dot" w:pos="8296"/>
            </w:tabs>
            <w:rPr>
              <w:rFonts w:eastAsiaTheme="minorEastAsia"/>
              <w:noProof/>
              <w:szCs w:val="22"/>
            </w:rPr>
          </w:pPr>
          <w:hyperlink w:anchor="_Toc149726768" w:history="1">
            <w:r w:rsidRPr="009C6CDB">
              <w:rPr>
                <w:rStyle w:val="a9"/>
                <w:rFonts w:ascii="楷体" w:eastAsia="楷体" w:hAnsi="楷体"/>
                <w:b/>
                <w:noProof/>
              </w:rPr>
              <w:t>焦炭：钢焦博弈激烈，整体或继续震荡运行</w:t>
            </w:r>
          </w:hyperlink>
        </w:p>
        <w:p w:rsidR="00DF5606" w:rsidRDefault="00DF5606">
          <w:pPr>
            <w:pStyle w:val="23"/>
            <w:tabs>
              <w:tab w:val="right" w:leader="dot" w:pos="8296"/>
            </w:tabs>
            <w:rPr>
              <w:rFonts w:eastAsiaTheme="minorEastAsia"/>
              <w:noProof/>
              <w:szCs w:val="22"/>
            </w:rPr>
          </w:pPr>
          <w:hyperlink w:anchor="_Toc149726769" w:history="1">
            <w:r w:rsidRPr="009C6CDB">
              <w:rPr>
                <w:rStyle w:val="a9"/>
                <w:rFonts w:ascii="楷体" w:eastAsia="楷体" w:hAnsi="楷体"/>
                <w:b/>
                <w:noProof/>
              </w:rPr>
              <w:t>焦煤：第一轮提降提出，上方压力明显</w:t>
            </w:r>
          </w:hyperlink>
        </w:p>
        <w:p w:rsidR="00DF5606" w:rsidRDefault="00DF5606">
          <w:pPr>
            <w:pStyle w:val="23"/>
            <w:tabs>
              <w:tab w:val="right" w:leader="dot" w:pos="8296"/>
            </w:tabs>
            <w:rPr>
              <w:rFonts w:eastAsiaTheme="minorEastAsia"/>
              <w:noProof/>
              <w:szCs w:val="22"/>
            </w:rPr>
          </w:pPr>
          <w:hyperlink w:anchor="_Toc149726770" w:history="1">
            <w:r w:rsidRPr="009C6CDB">
              <w:rPr>
                <w:rStyle w:val="a9"/>
                <w:rFonts w:ascii="楷体" w:eastAsia="楷体" w:hAnsi="楷体"/>
                <w:b/>
                <w:noProof/>
              </w:rPr>
              <w:t>铜：国内库存大幅去化，支撑铜价低位反弹</w:t>
            </w:r>
          </w:hyperlink>
        </w:p>
        <w:p w:rsidR="00DF5606" w:rsidRDefault="00DF5606">
          <w:pPr>
            <w:pStyle w:val="23"/>
            <w:tabs>
              <w:tab w:val="right" w:leader="dot" w:pos="8296"/>
            </w:tabs>
            <w:rPr>
              <w:rFonts w:eastAsiaTheme="minorEastAsia"/>
              <w:noProof/>
              <w:szCs w:val="22"/>
            </w:rPr>
          </w:pPr>
          <w:hyperlink w:anchor="_Toc149726771" w:history="1">
            <w:r w:rsidRPr="009C6CDB">
              <w:rPr>
                <w:rStyle w:val="a9"/>
                <w:rFonts w:ascii="楷体" w:eastAsia="楷体" w:hAnsi="楷体"/>
                <w:b/>
                <w:noProof/>
              </w:rPr>
              <w:t>铝：铝市价格仍有较强支撑</w:t>
            </w:r>
          </w:hyperlink>
        </w:p>
        <w:p w:rsidR="00DF5606" w:rsidRDefault="00DF5606">
          <w:pPr>
            <w:pStyle w:val="23"/>
            <w:tabs>
              <w:tab w:val="right" w:leader="dot" w:pos="8296"/>
            </w:tabs>
            <w:rPr>
              <w:rFonts w:eastAsiaTheme="minorEastAsia"/>
              <w:noProof/>
              <w:szCs w:val="22"/>
            </w:rPr>
          </w:pPr>
          <w:hyperlink w:anchor="_Toc149726772" w:history="1">
            <w:r w:rsidRPr="009C6CDB">
              <w:rPr>
                <w:rStyle w:val="a9"/>
                <w:rFonts w:ascii="楷体" w:eastAsia="楷体" w:hAnsi="楷体"/>
                <w:b/>
                <w:noProof/>
              </w:rPr>
              <w:t>锌：锌市基本面驱动偏弱，极低库存限制下跌空间</w:t>
            </w:r>
          </w:hyperlink>
        </w:p>
        <w:p w:rsidR="00DF5606" w:rsidRDefault="00DF5606">
          <w:pPr>
            <w:pStyle w:val="23"/>
            <w:tabs>
              <w:tab w:val="right" w:leader="dot" w:pos="8296"/>
            </w:tabs>
            <w:rPr>
              <w:rFonts w:eastAsiaTheme="minorEastAsia"/>
              <w:noProof/>
              <w:szCs w:val="22"/>
            </w:rPr>
          </w:pPr>
          <w:hyperlink w:anchor="_Toc149726773" w:history="1">
            <w:r w:rsidRPr="009C6CDB">
              <w:rPr>
                <w:rStyle w:val="a9"/>
                <w:rFonts w:ascii="楷体" w:eastAsia="楷体" w:hAnsi="楷体"/>
                <w:b/>
                <w:noProof/>
              </w:rPr>
              <w:t>镍：印尼镍矿消息影响有限，短期震荡偏弱为主</w:t>
            </w:r>
          </w:hyperlink>
        </w:p>
        <w:p w:rsidR="00DF5606" w:rsidRDefault="00DF5606">
          <w:pPr>
            <w:pStyle w:val="23"/>
            <w:tabs>
              <w:tab w:val="right" w:leader="dot" w:pos="8296"/>
            </w:tabs>
            <w:rPr>
              <w:rFonts w:eastAsiaTheme="minorEastAsia"/>
              <w:noProof/>
              <w:szCs w:val="22"/>
            </w:rPr>
          </w:pPr>
          <w:hyperlink w:anchor="_Toc149726774" w:history="1">
            <w:r w:rsidRPr="009C6CDB">
              <w:rPr>
                <w:rStyle w:val="a9"/>
                <w:rFonts w:ascii="楷体" w:eastAsia="楷体" w:hAnsi="楷体"/>
                <w:b/>
                <w:noProof/>
              </w:rPr>
              <w:t>铅：铝价上方压力仍存</w:t>
            </w:r>
          </w:hyperlink>
        </w:p>
        <w:p w:rsidR="00DF5606" w:rsidRDefault="00DF5606">
          <w:pPr>
            <w:pStyle w:val="23"/>
            <w:tabs>
              <w:tab w:val="right" w:leader="dot" w:pos="8296"/>
            </w:tabs>
            <w:rPr>
              <w:rFonts w:eastAsiaTheme="minorEastAsia"/>
              <w:noProof/>
              <w:szCs w:val="22"/>
            </w:rPr>
          </w:pPr>
          <w:hyperlink w:anchor="_Toc149726775" w:history="1">
            <w:r w:rsidRPr="009C6CDB">
              <w:rPr>
                <w:rStyle w:val="a9"/>
                <w:rFonts w:ascii="楷体" w:eastAsia="楷体" w:hAnsi="楷体"/>
                <w:b/>
                <w:noProof/>
              </w:rPr>
              <w:t>不锈钢：去库节奏缓慢，等待需求好转信号</w:t>
            </w:r>
          </w:hyperlink>
        </w:p>
        <w:p w:rsidR="00DF5606" w:rsidRDefault="00DF5606">
          <w:pPr>
            <w:pStyle w:val="23"/>
            <w:tabs>
              <w:tab w:val="right" w:leader="dot" w:pos="8296"/>
            </w:tabs>
            <w:rPr>
              <w:rFonts w:eastAsiaTheme="minorEastAsia"/>
              <w:noProof/>
              <w:szCs w:val="22"/>
            </w:rPr>
          </w:pPr>
          <w:hyperlink w:anchor="_Toc149726776" w:history="1">
            <w:r w:rsidRPr="009C6CDB">
              <w:rPr>
                <w:rStyle w:val="a9"/>
                <w:rFonts w:ascii="楷体" w:eastAsia="楷体" w:hAnsi="楷体"/>
                <w:b/>
                <w:noProof/>
              </w:rPr>
              <w:t>工业硅：北方供应增加，反弹高度或有限</w:t>
            </w:r>
          </w:hyperlink>
        </w:p>
        <w:p w:rsidR="00DF5606" w:rsidRDefault="00DF5606">
          <w:pPr>
            <w:pStyle w:val="11"/>
            <w:tabs>
              <w:tab w:val="right" w:leader="dot" w:pos="8296"/>
            </w:tabs>
            <w:rPr>
              <w:rFonts w:eastAsiaTheme="minorEastAsia"/>
              <w:noProof/>
              <w:szCs w:val="22"/>
            </w:rPr>
          </w:pPr>
          <w:hyperlink w:anchor="_Toc149726777" w:history="1">
            <w:r w:rsidRPr="009C6CDB">
              <w:rPr>
                <w:rStyle w:val="a9"/>
                <w:rFonts w:ascii="Times New Roman" w:eastAsia="楷体" w:hAnsi="Times New Roman"/>
                <w:b/>
                <w:noProof/>
              </w:rPr>
              <w:t>[</w:t>
            </w:r>
            <w:r w:rsidRPr="009C6CDB">
              <w:rPr>
                <w:rStyle w:val="a9"/>
                <w:rFonts w:ascii="Times New Roman" w:eastAsia="楷体" w:hAnsi="Times New Roman"/>
                <w:b/>
                <w:noProof/>
              </w:rPr>
              <w:t>化工</w:t>
            </w:r>
            <w:r w:rsidRPr="009C6CDB">
              <w:rPr>
                <w:rStyle w:val="a9"/>
                <w:rFonts w:ascii="Times New Roman" w:eastAsia="楷体" w:hAnsi="Times New Roman"/>
                <w:b/>
                <w:noProof/>
              </w:rPr>
              <w:t>]</w:t>
            </w:r>
          </w:hyperlink>
        </w:p>
        <w:p w:rsidR="00DF5606" w:rsidRDefault="00DF5606">
          <w:pPr>
            <w:pStyle w:val="23"/>
            <w:tabs>
              <w:tab w:val="right" w:leader="dot" w:pos="8296"/>
            </w:tabs>
            <w:rPr>
              <w:rFonts w:eastAsiaTheme="minorEastAsia"/>
              <w:noProof/>
              <w:szCs w:val="22"/>
            </w:rPr>
          </w:pPr>
          <w:hyperlink w:anchor="_Toc149726778" w:history="1">
            <w:r w:rsidRPr="009C6CDB">
              <w:rPr>
                <w:rStyle w:val="a9"/>
                <w:rFonts w:ascii="Times New Roman" w:eastAsia="楷体" w:hAnsi="Times New Roman"/>
                <w:b/>
                <w:noProof/>
              </w:rPr>
              <w:t>天然橡胶</w:t>
            </w:r>
            <w:r w:rsidRPr="009C6CDB">
              <w:rPr>
                <w:rStyle w:val="a9"/>
                <w:rFonts w:ascii="Times New Roman" w:eastAsia="楷体" w:hAnsi="Times New Roman"/>
                <w:b/>
                <w:noProof/>
              </w:rPr>
              <w:t>:</w:t>
            </w:r>
            <w:r w:rsidRPr="009C6CDB">
              <w:rPr>
                <w:rStyle w:val="a9"/>
                <w:rFonts w:ascii="楷体" w:eastAsia="楷体" w:hAnsi="楷体"/>
                <w:b/>
                <w:noProof/>
              </w:rPr>
              <w:t xml:space="preserve"> 供应利好消化殆尽，天胶或偏弱震荡为主</w:t>
            </w:r>
          </w:hyperlink>
        </w:p>
        <w:p w:rsidR="00DF5606" w:rsidRDefault="00DF5606">
          <w:pPr>
            <w:pStyle w:val="23"/>
            <w:tabs>
              <w:tab w:val="right" w:leader="dot" w:pos="8296"/>
            </w:tabs>
            <w:rPr>
              <w:rFonts w:eastAsiaTheme="minorEastAsia"/>
              <w:noProof/>
              <w:szCs w:val="22"/>
            </w:rPr>
          </w:pPr>
          <w:hyperlink w:anchor="_Toc149726779" w:history="1">
            <w:r w:rsidRPr="009C6CDB">
              <w:rPr>
                <w:rStyle w:val="a9"/>
                <w:rFonts w:ascii="楷体" w:eastAsia="楷体" w:hAnsi="楷体"/>
                <w:b/>
                <w:noProof/>
              </w:rPr>
              <w:t>PTA：</w:t>
            </w:r>
            <w:r w:rsidRPr="009C6CDB">
              <w:rPr>
                <w:rStyle w:val="a9"/>
                <w:rFonts w:ascii="Calibri" w:eastAsia="楷体" w:hAnsi="Calibri" w:cs="Calibri"/>
                <w:b/>
                <w:noProof/>
              </w:rPr>
              <w:t>供应偏宽松预期</w:t>
            </w:r>
            <w:r w:rsidRPr="009C6CDB">
              <w:rPr>
                <w:rStyle w:val="a9"/>
                <w:rFonts w:ascii="Calibri" w:eastAsia="楷体" w:hAnsi="Calibri" w:cs="Calibri"/>
                <w:b/>
                <w:noProof/>
              </w:rPr>
              <w:t xml:space="preserve"> </w:t>
            </w:r>
            <w:r w:rsidRPr="009C6CDB">
              <w:rPr>
                <w:rStyle w:val="a9"/>
                <w:rFonts w:ascii="Calibri" w:eastAsia="楷体" w:hAnsi="Calibri" w:cs="Calibri"/>
                <w:b/>
                <w:noProof/>
              </w:rPr>
              <w:t>关注上方压力位</w:t>
            </w:r>
          </w:hyperlink>
        </w:p>
        <w:p w:rsidR="00DF5606" w:rsidRDefault="00DF5606">
          <w:pPr>
            <w:pStyle w:val="23"/>
            <w:tabs>
              <w:tab w:val="right" w:leader="dot" w:pos="8296"/>
            </w:tabs>
            <w:rPr>
              <w:rFonts w:eastAsiaTheme="minorEastAsia"/>
              <w:noProof/>
              <w:szCs w:val="22"/>
            </w:rPr>
          </w:pPr>
          <w:hyperlink w:anchor="_Toc149726780" w:history="1">
            <w:r w:rsidRPr="009C6CDB">
              <w:rPr>
                <w:rStyle w:val="a9"/>
                <w:rFonts w:ascii="楷体" w:eastAsia="楷体" w:hAnsi="楷体"/>
                <w:b/>
                <w:noProof/>
              </w:rPr>
              <w:t>聚烯烃：成本支撑再度落空 聚烯烃偏弱整理为主</w:t>
            </w:r>
          </w:hyperlink>
        </w:p>
        <w:p w:rsidR="00DF5606" w:rsidRDefault="00DF5606">
          <w:pPr>
            <w:pStyle w:val="23"/>
            <w:tabs>
              <w:tab w:val="right" w:leader="dot" w:pos="8296"/>
            </w:tabs>
            <w:rPr>
              <w:rFonts w:eastAsiaTheme="minorEastAsia"/>
              <w:noProof/>
              <w:szCs w:val="22"/>
            </w:rPr>
          </w:pPr>
          <w:hyperlink w:anchor="_Toc149726781" w:history="1">
            <w:r w:rsidRPr="009C6CDB">
              <w:rPr>
                <w:rStyle w:val="a9"/>
                <w:rFonts w:ascii="楷体" w:eastAsia="楷体" w:hAnsi="楷体"/>
                <w:b/>
                <w:noProof/>
              </w:rPr>
              <w:t>MEG：到港增加 反弹空间受限</w:t>
            </w:r>
          </w:hyperlink>
        </w:p>
        <w:p w:rsidR="00DF5606" w:rsidRDefault="00DF5606">
          <w:pPr>
            <w:pStyle w:val="23"/>
            <w:tabs>
              <w:tab w:val="right" w:leader="dot" w:pos="8296"/>
            </w:tabs>
            <w:rPr>
              <w:rFonts w:eastAsiaTheme="minorEastAsia"/>
              <w:noProof/>
              <w:szCs w:val="22"/>
            </w:rPr>
          </w:pPr>
          <w:hyperlink w:anchor="_Toc149726782" w:history="1">
            <w:r w:rsidRPr="009C6CDB">
              <w:rPr>
                <w:rStyle w:val="a9"/>
                <w:rFonts w:ascii="楷体" w:eastAsia="楷体" w:hAnsi="楷体"/>
                <w:b/>
                <w:noProof/>
              </w:rPr>
              <w:t>玻璃：宏观利好托底，延续震荡格局</w:t>
            </w:r>
          </w:hyperlink>
        </w:p>
        <w:p w:rsidR="00DF5606" w:rsidRDefault="00DF5606">
          <w:pPr>
            <w:pStyle w:val="23"/>
            <w:tabs>
              <w:tab w:val="right" w:leader="dot" w:pos="8296"/>
            </w:tabs>
            <w:rPr>
              <w:rFonts w:eastAsiaTheme="minorEastAsia"/>
              <w:noProof/>
              <w:szCs w:val="22"/>
            </w:rPr>
          </w:pPr>
          <w:hyperlink w:anchor="_Toc149726783" w:history="1">
            <w:r w:rsidRPr="009C6CDB">
              <w:rPr>
                <w:rStyle w:val="a9"/>
                <w:rFonts w:ascii="楷体" w:eastAsia="楷体" w:hAnsi="楷体"/>
                <w:b/>
                <w:noProof/>
              </w:rPr>
              <w:t>纯碱：现货价格继续下移，等待反弹结束</w:t>
            </w:r>
          </w:hyperlink>
        </w:p>
        <w:p w:rsidR="00DF5606" w:rsidRDefault="00DF5606">
          <w:pPr>
            <w:pStyle w:val="11"/>
            <w:tabs>
              <w:tab w:val="right" w:leader="dot" w:pos="8296"/>
            </w:tabs>
            <w:rPr>
              <w:rFonts w:eastAsiaTheme="minorEastAsia"/>
              <w:noProof/>
              <w:szCs w:val="22"/>
            </w:rPr>
          </w:pPr>
          <w:hyperlink w:anchor="_Toc149726784" w:history="1">
            <w:r w:rsidRPr="009C6CDB">
              <w:rPr>
                <w:rStyle w:val="a9"/>
                <w:rFonts w:ascii="Times New Roman" w:eastAsia="楷体" w:hAnsi="Times New Roman"/>
                <w:b/>
                <w:noProof/>
              </w:rPr>
              <w:t>[</w:t>
            </w:r>
            <w:r w:rsidRPr="009C6CDB">
              <w:rPr>
                <w:rStyle w:val="a9"/>
                <w:rFonts w:ascii="Times New Roman" w:eastAsia="楷体" w:hAnsi="Times New Roman"/>
                <w:b/>
                <w:noProof/>
              </w:rPr>
              <w:t>农产品</w:t>
            </w:r>
            <w:r w:rsidRPr="009C6CDB">
              <w:rPr>
                <w:rStyle w:val="a9"/>
                <w:rFonts w:ascii="Times New Roman" w:eastAsia="楷体" w:hAnsi="Times New Roman"/>
                <w:b/>
                <w:noProof/>
              </w:rPr>
              <w:t>]</w:t>
            </w:r>
          </w:hyperlink>
        </w:p>
        <w:p w:rsidR="00DF5606" w:rsidRDefault="00DF5606">
          <w:pPr>
            <w:pStyle w:val="23"/>
            <w:tabs>
              <w:tab w:val="right" w:leader="dot" w:pos="8296"/>
            </w:tabs>
            <w:rPr>
              <w:rFonts w:eastAsiaTheme="minorEastAsia"/>
              <w:noProof/>
              <w:szCs w:val="22"/>
            </w:rPr>
          </w:pPr>
          <w:hyperlink w:anchor="_Toc149726785" w:history="1">
            <w:r w:rsidRPr="009C6CDB">
              <w:rPr>
                <w:rStyle w:val="a9"/>
                <w:rFonts w:ascii="楷体" w:eastAsia="楷体" w:hAnsi="楷体"/>
                <w:b/>
                <w:noProof/>
              </w:rPr>
              <w:t>豆粕/菜粕：四季度存供应宽松预期，基差承压运行</w:t>
            </w:r>
          </w:hyperlink>
        </w:p>
        <w:p w:rsidR="00DF5606" w:rsidRDefault="00DF5606">
          <w:pPr>
            <w:pStyle w:val="23"/>
            <w:tabs>
              <w:tab w:val="right" w:leader="dot" w:pos="8296"/>
            </w:tabs>
            <w:rPr>
              <w:rFonts w:eastAsiaTheme="minorEastAsia"/>
              <w:noProof/>
              <w:szCs w:val="22"/>
            </w:rPr>
          </w:pPr>
          <w:hyperlink w:anchor="_Toc149726786" w:history="1">
            <w:r w:rsidRPr="009C6CDB">
              <w:rPr>
                <w:rStyle w:val="a9"/>
                <w:rFonts w:ascii="楷体" w:eastAsia="楷体" w:hAnsi="楷体"/>
                <w:b/>
                <w:noProof/>
              </w:rPr>
              <w:t>油脂：供过于求格局未变，维持偏弱震荡</w:t>
            </w:r>
          </w:hyperlink>
        </w:p>
        <w:p w:rsidR="00DF5606" w:rsidRDefault="00DF5606">
          <w:pPr>
            <w:pStyle w:val="23"/>
            <w:tabs>
              <w:tab w:val="right" w:leader="dot" w:pos="8296"/>
            </w:tabs>
            <w:rPr>
              <w:rFonts w:eastAsiaTheme="minorEastAsia"/>
              <w:noProof/>
              <w:szCs w:val="22"/>
            </w:rPr>
          </w:pPr>
          <w:hyperlink w:anchor="_Toc149726787" w:history="1">
            <w:r w:rsidRPr="009C6CDB">
              <w:rPr>
                <w:rStyle w:val="a9"/>
                <w:rFonts w:ascii="楷体" w:eastAsia="楷体" w:hAnsi="楷体"/>
                <w:b/>
                <w:bCs/>
                <w:noProof/>
              </w:rPr>
              <w:t>玉米与淀粉：</w:t>
            </w:r>
            <w:r w:rsidRPr="009C6CDB">
              <w:rPr>
                <w:rStyle w:val="a9"/>
                <w:rFonts w:ascii="楷体" w:eastAsia="楷体" w:hAnsi="楷体"/>
                <w:b/>
                <w:noProof/>
              </w:rPr>
              <w:t>期价震荡运行</w:t>
            </w:r>
          </w:hyperlink>
        </w:p>
        <w:p w:rsidR="00DF5606" w:rsidRDefault="00DF5606">
          <w:pPr>
            <w:pStyle w:val="23"/>
            <w:tabs>
              <w:tab w:val="right" w:leader="dot" w:pos="8296"/>
            </w:tabs>
            <w:rPr>
              <w:rFonts w:eastAsiaTheme="minorEastAsia"/>
              <w:noProof/>
              <w:szCs w:val="22"/>
            </w:rPr>
          </w:pPr>
          <w:hyperlink w:anchor="_Toc149726788" w:history="1">
            <w:r w:rsidRPr="009C6CDB">
              <w:rPr>
                <w:rStyle w:val="a9"/>
                <w:rFonts w:ascii="楷体" w:eastAsia="楷体" w:hAnsi="楷体"/>
                <w:b/>
                <w:bCs/>
                <w:noProof/>
              </w:rPr>
              <w:t>畜禽养殖：生猪现货有望带动期价特别是近月继续反弹</w:t>
            </w:r>
          </w:hyperlink>
        </w:p>
        <w:p w:rsidR="00DF5606" w:rsidRDefault="00DF5606">
          <w:pPr>
            <w:pStyle w:val="23"/>
            <w:tabs>
              <w:tab w:val="right" w:leader="dot" w:pos="8296"/>
            </w:tabs>
            <w:rPr>
              <w:rFonts w:eastAsiaTheme="minorEastAsia"/>
              <w:noProof/>
              <w:szCs w:val="22"/>
            </w:rPr>
          </w:pPr>
          <w:hyperlink w:anchor="_Toc149726789" w:history="1">
            <w:r w:rsidRPr="009C6CDB">
              <w:rPr>
                <w:rStyle w:val="a9"/>
                <w:rFonts w:ascii="楷体" w:eastAsia="楷体" w:hAnsi="楷体"/>
                <w:b/>
                <w:noProof/>
              </w:rPr>
              <w:t>郑棉：震荡偏弱，轻空或观望</w:t>
            </w:r>
          </w:hyperlink>
        </w:p>
        <w:p w:rsidR="00DF5606" w:rsidRDefault="00DF5606">
          <w:pPr>
            <w:pStyle w:val="23"/>
            <w:tabs>
              <w:tab w:val="right" w:leader="dot" w:pos="8296"/>
            </w:tabs>
            <w:rPr>
              <w:rFonts w:eastAsiaTheme="minorEastAsia"/>
              <w:noProof/>
              <w:szCs w:val="22"/>
            </w:rPr>
          </w:pPr>
          <w:hyperlink w:anchor="_Toc149726790" w:history="1">
            <w:r w:rsidRPr="009C6CDB">
              <w:rPr>
                <w:rStyle w:val="a9"/>
                <w:rFonts w:ascii="楷体" w:eastAsia="楷体" w:hAnsi="楷体"/>
                <w:b/>
                <w:noProof/>
              </w:rPr>
              <w:t>白糖：空单持有</w:t>
            </w:r>
          </w:hyperlink>
        </w:p>
        <w:p w:rsidR="00DF5606" w:rsidRDefault="00DF5606">
          <w:pPr>
            <w:pStyle w:val="11"/>
            <w:tabs>
              <w:tab w:val="right" w:leader="dot" w:pos="8296"/>
            </w:tabs>
            <w:rPr>
              <w:rFonts w:eastAsiaTheme="minorEastAsia"/>
              <w:noProof/>
              <w:szCs w:val="22"/>
            </w:rPr>
          </w:pPr>
          <w:hyperlink w:anchor="_Toc149726791" w:history="1">
            <w:r w:rsidRPr="009C6CDB">
              <w:rPr>
                <w:rStyle w:val="a9"/>
                <w:rFonts w:ascii="Times New Roman" w:eastAsia="楷体" w:hAnsi="Times New Roman"/>
                <w:b/>
                <w:noProof/>
              </w:rPr>
              <w:t>[</w:t>
            </w:r>
            <w:r w:rsidRPr="009C6CDB">
              <w:rPr>
                <w:rStyle w:val="a9"/>
                <w:rFonts w:ascii="Times New Roman" w:eastAsia="楷体" w:hAnsi="Times New Roman"/>
                <w:b/>
                <w:noProof/>
              </w:rPr>
              <w:t>指数</w:t>
            </w:r>
            <w:r w:rsidRPr="009C6CDB">
              <w:rPr>
                <w:rStyle w:val="a9"/>
                <w:rFonts w:ascii="Times New Roman" w:eastAsia="楷体" w:hAnsi="Times New Roman"/>
                <w:b/>
                <w:noProof/>
              </w:rPr>
              <w:t>]</w:t>
            </w:r>
          </w:hyperlink>
        </w:p>
        <w:p w:rsidR="00DF5606" w:rsidRDefault="00DF5606">
          <w:pPr>
            <w:pStyle w:val="23"/>
            <w:tabs>
              <w:tab w:val="right" w:leader="dot" w:pos="8296"/>
            </w:tabs>
            <w:rPr>
              <w:rFonts w:eastAsiaTheme="minorEastAsia"/>
              <w:noProof/>
              <w:szCs w:val="22"/>
            </w:rPr>
          </w:pPr>
          <w:hyperlink w:anchor="_Toc149726792" w:history="1">
            <w:r w:rsidRPr="009C6CDB">
              <w:rPr>
                <w:rStyle w:val="a9"/>
                <w:rFonts w:ascii="Times New Roman" w:eastAsia="楷体" w:hAnsi="Times New Roman"/>
                <w:b/>
                <w:noProof/>
              </w:rPr>
              <w:t>集运指数（欧线）：涨价计划兑现即期运价上涨，远期价格反弹受压</w:t>
            </w:r>
          </w:hyperlink>
        </w:p>
        <w:p w:rsidR="003F56A5" w:rsidRPr="00152664" w:rsidRDefault="00CC3FFA" w:rsidP="00152664">
          <w:pPr>
            <w:pStyle w:val="11"/>
            <w:tabs>
              <w:tab w:val="right" w:leader="dot" w:pos="8296"/>
            </w:tabs>
            <w:rPr>
              <w:rFonts w:eastAsiaTheme="minorEastAsia"/>
              <w:noProof/>
              <w:szCs w:val="22"/>
            </w:rPr>
          </w:pPr>
          <w:r>
            <w:rPr>
              <w:bCs/>
            </w:rPr>
            <w:fldChar w:fldCharType="end"/>
          </w:r>
          <w:r w:rsidR="00152664">
            <w:rPr>
              <w:rFonts w:eastAsiaTheme="minorEastAsia"/>
              <w:noProof/>
              <w:szCs w:val="22"/>
            </w:rPr>
            <w:t xml:space="preserve"> </w:t>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972676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9726762"/>
      <w:bookmarkEnd w:id="4"/>
      <w:r>
        <w:rPr>
          <w:rFonts w:ascii="Times New Roman" w:eastAsia="楷体" w:hAnsi="Times New Roman" w:hint="eastAsia"/>
          <w:b/>
          <w:color w:val="000000" w:themeColor="text1"/>
          <w:sz w:val="24"/>
          <w:szCs w:val="24"/>
        </w:rPr>
        <w:t>股指：</w:t>
      </w:r>
      <w:bookmarkEnd w:id="6"/>
      <w:bookmarkEnd w:id="7"/>
      <w:r w:rsidR="0041664D" w:rsidRPr="0041664D">
        <w:rPr>
          <w:rFonts w:ascii="Times New Roman" w:eastAsia="楷体" w:hAnsi="Times New Roman" w:hint="eastAsia"/>
          <w:b/>
          <w:color w:val="000000" w:themeColor="text1"/>
          <w:sz w:val="24"/>
          <w:szCs w:val="24"/>
        </w:rPr>
        <w:t>指数多单持有</w:t>
      </w:r>
      <w:bookmarkEnd w:id="8"/>
    </w:p>
    <w:p w:rsidR="003F56A5" w:rsidRDefault="0041664D" w:rsidP="00D14B3E">
      <w:pPr>
        <w:ind w:leftChars="300" w:left="630"/>
        <w:rPr>
          <w:rFonts w:ascii="Times New Roman" w:eastAsia="楷体" w:hAnsi="Times New Roman"/>
          <w:color w:val="000000" w:themeColor="text1"/>
          <w:sz w:val="24"/>
          <w:szCs w:val="24"/>
        </w:rPr>
      </w:pPr>
      <w:r w:rsidRPr="0041664D">
        <w:rPr>
          <w:rFonts w:ascii="Times New Roman" w:eastAsia="楷体" w:hAnsi="Times New Roman" w:hint="eastAsia"/>
          <w:color w:val="000000" w:themeColor="text1"/>
          <w:sz w:val="24"/>
          <w:szCs w:val="24"/>
        </w:rPr>
        <w:t>中央金融工作会议召开，重点提出了金融工作的几个新原则，分别是：以深化金融供给侧结构性改革为主线。以金融队伍的纯洁性、专业性、战斗力为重要支撑。以全面加强监管、防范化解风险为重点。牢牢守住不发生系统性金融风险的底线。金融市场方面，再次强调稳健运行和防范风险的联动，并重点指出汇率问题。经多层政策出台后，短期底部大概率形成，但目前市场的分歧点在于反弹的高度及弹性，一是中期美债具有一定韧性，二是国内基本面的修复持续性。短期看，</w:t>
      </w:r>
      <w:r w:rsidRPr="0041664D">
        <w:rPr>
          <w:rFonts w:ascii="Times New Roman" w:eastAsia="楷体" w:hAnsi="Times New Roman" w:hint="eastAsia"/>
          <w:color w:val="000000" w:themeColor="text1"/>
          <w:sz w:val="24"/>
          <w:szCs w:val="24"/>
        </w:rPr>
        <w:t>A</w:t>
      </w:r>
      <w:r w:rsidRPr="0041664D">
        <w:rPr>
          <w:rFonts w:ascii="Times New Roman" w:eastAsia="楷体" w:hAnsi="Times New Roman" w:hint="eastAsia"/>
          <w:color w:val="000000" w:themeColor="text1"/>
          <w:sz w:val="24"/>
          <w:szCs w:val="24"/>
        </w:rPr>
        <w:t>股存在一定正面修复行情，后续关注月末国内政策面和</w:t>
      </w:r>
      <w:r w:rsidRPr="0041664D">
        <w:rPr>
          <w:rFonts w:ascii="Times New Roman" w:eastAsia="楷体" w:hAnsi="Times New Roman" w:hint="eastAsia"/>
          <w:color w:val="000000" w:themeColor="text1"/>
          <w:sz w:val="24"/>
          <w:szCs w:val="24"/>
        </w:rPr>
        <w:t>11</w:t>
      </w:r>
      <w:r w:rsidRPr="0041664D">
        <w:rPr>
          <w:rFonts w:ascii="Times New Roman" w:eastAsia="楷体" w:hAnsi="Times New Roman" w:hint="eastAsia"/>
          <w:color w:val="000000" w:themeColor="text1"/>
          <w:sz w:val="24"/>
          <w:szCs w:val="24"/>
        </w:rPr>
        <w:t>月初美联储议息会议、</w:t>
      </w:r>
      <w:r w:rsidRPr="0041664D">
        <w:rPr>
          <w:rFonts w:ascii="Times New Roman" w:eastAsia="楷体" w:hAnsi="Times New Roman" w:hint="eastAsia"/>
          <w:color w:val="000000" w:themeColor="text1"/>
          <w:sz w:val="24"/>
          <w:szCs w:val="24"/>
        </w:rPr>
        <w:t>APEC</w:t>
      </w:r>
      <w:r w:rsidRPr="0041664D">
        <w:rPr>
          <w:rFonts w:ascii="Times New Roman" w:eastAsia="楷体" w:hAnsi="Times New Roman" w:hint="eastAsia"/>
          <w:color w:val="000000" w:themeColor="text1"/>
          <w:sz w:val="24"/>
          <w:szCs w:val="24"/>
        </w:rPr>
        <w:t>会议等释放的信号，预计市场在反弹回升之后或循序渐进构造底部区间</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972676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9726764"/>
      <w:r>
        <w:rPr>
          <w:rFonts w:ascii="Times New Roman" w:eastAsia="楷体" w:hAnsi="Times New Roman" w:hint="eastAsia"/>
          <w:b/>
          <w:color w:val="000000" w:themeColor="text1"/>
          <w:sz w:val="24"/>
          <w:szCs w:val="24"/>
        </w:rPr>
        <w:t>贵金属：</w:t>
      </w:r>
      <w:r w:rsidR="0041664D" w:rsidRPr="0041664D">
        <w:rPr>
          <w:rFonts w:ascii="Times New Roman" w:eastAsia="楷体" w:hAnsi="Times New Roman" w:hint="eastAsia"/>
          <w:b/>
          <w:color w:val="000000" w:themeColor="text1"/>
          <w:sz w:val="24"/>
          <w:szCs w:val="24"/>
        </w:rPr>
        <w:t>欧元区经济景气指数略优于预期，内盘贵金属价格回落</w:t>
      </w:r>
      <w:bookmarkEnd w:id="10"/>
    </w:p>
    <w:p w:rsidR="003F56A5" w:rsidRDefault="0041664D">
      <w:pPr>
        <w:ind w:leftChars="300" w:left="630"/>
        <w:rPr>
          <w:rFonts w:ascii="Times New Roman" w:eastAsia="楷体" w:hAnsi="Times New Roman"/>
          <w:sz w:val="24"/>
          <w:szCs w:val="24"/>
        </w:rPr>
      </w:pPr>
      <w:r w:rsidRPr="0041664D">
        <w:rPr>
          <w:rFonts w:ascii="Times New Roman" w:eastAsia="楷体" w:hAnsi="Times New Roman" w:hint="eastAsia"/>
          <w:color w:val="000000" w:themeColor="text1"/>
          <w:sz w:val="24"/>
          <w:szCs w:val="24"/>
        </w:rPr>
        <w:t>昨夜沪金小幅回落、沪银大幅下跌。欧元区</w:t>
      </w:r>
      <w:r w:rsidRPr="0041664D">
        <w:rPr>
          <w:rFonts w:ascii="Times New Roman" w:eastAsia="楷体" w:hAnsi="Times New Roman" w:hint="eastAsia"/>
          <w:color w:val="000000" w:themeColor="text1"/>
          <w:sz w:val="24"/>
          <w:szCs w:val="24"/>
        </w:rPr>
        <w:t>10</w:t>
      </w:r>
      <w:r w:rsidRPr="0041664D">
        <w:rPr>
          <w:rFonts w:ascii="Times New Roman" w:eastAsia="楷体" w:hAnsi="Times New Roman" w:hint="eastAsia"/>
          <w:color w:val="000000" w:themeColor="text1"/>
          <w:sz w:val="24"/>
          <w:szCs w:val="24"/>
        </w:rPr>
        <w:t>月工业景气指数微跌至</w:t>
      </w:r>
      <w:r w:rsidRPr="0041664D">
        <w:rPr>
          <w:rFonts w:ascii="Times New Roman" w:eastAsia="楷体" w:hAnsi="Times New Roman" w:hint="eastAsia"/>
          <w:color w:val="000000" w:themeColor="text1"/>
          <w:sz w:val="24"/>
          <w:szCs w:val="24"/>
        </w:rPr>
        <w:t>-9.3</w:t>
      </w:r>
      <w:r w:rsidRPr="0041664D">
        <w:rPr>
          <w:rFonts w:ascii="Times New Roman" w:eastAsia="楷体" w:hAnsi="Times New Roman" w:hint="eastAsia"/>
          <w:color w:val="000000" w:themeColor="text1"/>
          <w:sz w:val="24"/>
          <w:szCs w:val="24"/>
        </w:rPr>
        <w:t>，</w:t>
      </w:r>
      <w:r w:rsidRPr="0041664D">
        <w:rPr>
          <w:rFonts w:ascii="Times New Roman" w:eastAsia="楷体" w:hAnsi="Times New Roman" w:hint="eastAsia"/>
          <w:color w:val="000000" w:themeColor="text1"/>
          <w:sz w:val="24"/>
          <w:szCs w:val="24"/>
        </w:rPr>
        <w:t>10</w:t>
      </w:r>
      <w:r w:rsidRPr="0041664D">
        <w:rPr>
          <w:rFonts w:ascii="Times New Roman" w:eastAsia="楷体" w:hAnsi="Times New Roman" w:hint="eastAsia"/>
          <w:color w:val="000000" w:themeColor="text1"/>
          <w:sz w:val="24"/>
          <w:szCs w:val="24"/>
        </w:rPr>
        <w:t>月经济景气指数录得</w:t>
      </w:r>
      <w:r w:rsidRPr="0041664D">
        <w:rPr>
          <w:rFonts w:ascii="Times New Roman" w:eastAsia="楷体" w:hAnsi="Times New Roman" w:hint="eastAsia"/>
          <w:color w:val="000000" w:themeColor="text1"/>
          <w:sz w:val="24"/>
          <w:szCs w:val="24"/>
        </w:rPr>
        <w:t>93.3</w:t>
      </w:r>
      <w:r w:rsidRPr="0041664D">
        <w:rPr>
          <w:rFonts w:ascii="Times New Roman" w:eastAsia="楷体" w:hAnsi="Times New Roman" w:hint="eastAsia"/>
          <w:color w:val="000000" w:themeColor="text1"/>
          <w:sz w:val="24"/>
          <w:szCs w:val="24"/>
        </w:rPr>
        <w:t>，略好于预期；</w:t>
      </w:r>
      <w:r w:rsidRPr="0041664D">
        <w:rPr>
          <w:rFonts w:ascii="Times New Roman" w:eastAsia="楷体" w:hAnsi="Times New Roman" w:hint="eastAsia"/>
          <w:color w:val="000000" w:themeColor="text1"/>
          <w:sz w:val="24"/>
          <w:szCs w:val="24"/>
        </w:rPr>
        <w:t>10</w:t>
      </w:r>
      <w:r w:rsidRPr="0041664D">
        <w:rPr>
          <w:rFonts w:ascii="Times New Roman" w:eastAsia="楷体" w:hAnsi="Times New Roman" w:hint="eastAsia"/>
          <w:color w:val="000000" w:themeColor="text1"/>
          <w:sz w:val="24"/>
          <w:szCs w:val="24"/>
        </w:rPr>
        <w:t>月消费者信心指数终值持平于</w:t>
      </w:r>
      <w:r w:rsidRPr="0041664D">
        <w:rPr>
          <w:rFonts w:ascii="Times New Roman" w:eastAsia="楷体" w:hAnsi="Times New Roman" w:hint="eastAsia"/>
          <w:color w:val="000000" w:themeColor="text1"/>
          <w:sz w:val="24"/>
          <w:szCs w:val="24"/>
        </w:rPr>
        <w:t>-17.9</w:t>
      </w:r>
      <w:r w:rsidRPr="0041664D">
        <w:rPr>
          <w:rFonts w:ascii="Times New Roman" w:eastAsia="楷体" w:hAnsi="Times New Roman" w:hint="eastAsia"/>
          <w:color w:val="000000" w:themeColor="text1"/>
          <w:sz w:val="24"/>
          <w:szCs w:val="24"/>
        </w:rPr>
        <w:t>，符合预期。进入三季度后</w:t>
      </w:r>
      <w:r w:rsidRPr="0041664D">
        <w:rPr>
          <w:rFonts w:ascii="Times New Roman" w:eastAsia="楷体" w:hAnsi="Times New Roman" w:hint="eastAsia"/>
          <w:color w:val="000000" w:themeColor="text1"/>
          <w:sz w:val="24"/>
          <w:szCs w:val="24"/>
        </w:rPr>
        <w:t>LBMA</w:t>
      </w:r>
      <w:r w:rsidRPr="0041664D">
        <w:rPr>
          <w:rFonts w:ascii="Times New Roman" w:eastAsia="楷体" w:hAnsi="Times New Roman" w:hint="eastAsia"/>
          <w:color w:val="000000" w:themeColor="text1"/>
          <w:sz w:val="24"/>
          <w:szCs w:val="24"/>
        </w:rPr>
        <w:t>白银库存自低位小幅回升，国内市场供需两弱，但近期因海外地缘冲突因素影响，避险情绪推动银价上行。留意周内美国</w:t>
      </w:r>
      <w:r w:rsidRPr="0041664D">
        <w:rPr>
          <w:rFonts w:ascii="Times New Roman" w:eastAsia="楷体" w:hAnsi="Times New Roman" w:hint="eastAsia"/>
          <w:color w:val="000000" w:themeColor="text1"/>
          <w:sz w:val="24"/>
          <w:szCs w:val="24"/>
        </w:rPr>
        <w:t>ISM</w:t>
      </w:r>
      <w:r w:rsidRPr="0041664D">
        <w:rPr>
          <w:rFonts w:ascii="Times New Roman" w:eastAsia="楷体" w:hAnsi="Times New Roman" w:hint="eastAsia"/>
          <w:color w:val="000000" w:themeColor="text1"/>
          <w:sz w:val="24"/>
          <w:szCs w:val="24"/>
        </w:rPr>
        <w:t>经济景气度数据及美联储</w:t>
      </w:r>
      <w:r w:rsidRPr="0041664D">
        <w:rPr>
          <w:rFonts w:ascii="Times New Roman" w:eastAsia="楷体" w:hAnsi="Times New Roman" w:hint="eastAsia"/>
          <w:color w:val="000000" w:themeColor="text1"/>
          <w:sz w:val="24"/>
          <w:szCs w:val="24"/>
        </w:rPr>
        <w:t>11</w:t>
      </w:r>
      <w:r w:rsidRPr="0041664D">
        <w:rPr>
          <w:rFonts w:ascii="Times New Roman" w:eastAsia="楷体" w:hAnsi="Times New Roman" w:hint="eastAsia"/>
          <w:color w:val="000000" w:themeColor="text1"/>
          <w:sz w:val="24"/>
          <w:szCs w:val="24"/>
        </w:rPr>
        <w:t>月议息决议，市场预期本次会议联储或“鹰派暂停”，建议沪金、沪银逢低试多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972676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9726766"/>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41664D" w:rsidRPr="0041664D">
        <w:rPr>
          <w:rFonts w:ascii="楷体" w:eastAsia="楷体" w:hAnsi="楷体" w:hint="eastAsia"/>
          <w:b/>
          <w:color w:val="000000" w:themeColor="text1"/>
          <w:sz w:val="24"/>
          <w:szCs w:val="24"/>
        </w:rPr>
        <w:t>进口矿石价格小幅下降，主力期价窄幅震荡</w:t>
      </w:r>
      <w:bookmarkEnd w:id="18"/>
    </w:p>
    <w:p w:rsidR="00F50569" w:rsidRDefault="0041664D" w:rsidP="00F50569">
      <w:pPr>
        <w:ind w:leftChars="300" w:left="630"/>
        <w:rPr>
          <w:rFonts w:ascii="楷体" w:eastAsia="楷体" w:hAnsi="楷体"/>
          <w:color w:val="000000" w:themeColor="text1"/>
          <w:sz w:val="24"/>
          <w:szCs w:val="24"/>
        </w:rPr>
      </w:pPr>
      <w:r w:rsidRPr="0041664D">
        <w:rPr>
          <w:rFonts w:ascii="楷体" w:eastAsia="楷体" w:hAnsi="楷体" w:hint="eastAsia"/>
          <w:color w:val="000000" w:themeColor="text1"/>
          <w:sz w:val="24"/>
          <w:szCs w:val="24"/>
        </w:rPr>
        <w:t>现货价格微跌1000元/吨，昨日主力期价盘初小幅下挫、盘中回升一度涨近2%，尾盘加速下行最终收跌；远月合约均跌近2%。进口锂辉石价格小幅下降，锂云母价格持稳。下游以长协采购为主的背景下，碳酸锂或维持供强需弱的局面，现货价格仍有进一步下探空间。据SMM数据，10月电池行业PMI终值49.86，处于荣枯线下方；订单不及预期，电池厂库存高位维持去库，排产小幅下跌。后市下游需求较弱的预期或仍令期价承压，期价或于前低及外采成本线之间维持区间震荡</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9726767"/>
      <w:r>
        <w:rPr>
          <w:rFonts w:ascii="楷体" w:eastAsia="楷体" w:hAnsi="楷体" w:hint="eastAsia"/>
          <w:b/>
          <w:color w:val="000000" w:themeColor="text1"/>
          <w:sz w:val="24"/>
          <w:szCs w:val="24"/>
        </w:rPr>
        <w:t>螺纹钢：</w:t>
      </w:r>
      <w:bookmarkEnd w:id="16"/>
      <w:bookmarkEnd w:id="17"/>
      <w:r w:rsidR="0041664D" w:rsidRPr="0041664D">
        <w:rPr>
          <w:rFonts w:ascii="楷体" w:eastAsia="楷体" w:hAnsi="楷体" w:hint="eastAsia"/>
          <w:b/>
          <w:color w:val="000000" w:themeColor="text1"/>
          <w:sz w:val="24"/>
          <w:szCs w:val="24"/>
        </w:rPr>
        <w:t>估值修复，价格偏强震荡</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41664D" w:rsidP="00201944">
      <w:pPr>
        <w:ind w:leftChars="300" w:left="630"/>
        <w:rPr>
          <w:rFonts w:ascii="楷体" w:eastAsia="楷体" w:hAnsi="楷体"/>
          <w:color w:val="000000" w:themeColor="text1"/>
          <w:sz w:val="24"/>
          <w:szCs w:val="24"/>
        </w:rPr>
      </w:pPr>
      <w:r w:rsidRPr="0041664D">
        <w:rPr>
          <w:rFonts w:ascii="楷体" w:eastAsia="楷体" w:hAnsi="楷体" w:hint="eastAsia"/>
          <w:color w:val="000000" w:themeColor="text1"/>
          <w:sz w:val="24"/>
          <w:szCs w:val="24"/>
        </w:rPr>
        <w:t>近期宏观利好刺激市场情绪，现实逐步跟进，推动钢材价格向上修复，短期成材仍处于亏损中，估值相对较低，预计价格或震荡偏强运行，进一步突破或需现实进一步走强</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9726768"/>
      <w:r>
        <w:rPr>
          <w:rFonts w:ascii="楷体" w:eastAsia="楷体" w:hAnsi="楷体" w:hint="eastAsia"/>
          <w:b/>
          <w:color w:val="000000" w:themeColor="text1"/>
          <w:sz w:val="24"/>
          <w:szCs w:val="24"/>
        </w:rPr>
        <w:t>焦炭：</w:t>
      </w:r>
      <w:bookmarkEnd w:id="20"/>
      <w:bookmarkEnd w:id="21"/>
      <w:r w:rsidR="0041664D" w:rsidRPr="0041664D">
        <w:rPr>
          <w:rFonts w:ascii="楷体" w:eastAsia="楷体" w:hAnsi="楷体" w:hint="eastAsia"/>
          <w:b/>
          <w:color w:val="000000" w:themeColor="text1"/>
          <w:sz w:val="24"/>
          <w:szCs w:val="24"/>
        </w:rPr>
        <w:t>钢焦博弈激烈，整体或继续震荡运行</w:t>
      </w:r>
      <w:bookmarkEnd w:id="22"/>
    </w:p>
    <w:p w:rsidR="003F56A5" w:rsidRDefault="0041664D" w:rsidP="00572E35">
      <w:pPr>
        <w:ind w:leftChars="300" w:left="630"/>
        <w:rPr>
          <w:rFonts w:ascii="楷体" w:eastAsia="楷体" w:hAnsi="楷体"/>
          <w:color w:val="000000" w:themeColor="text1"/>
          <w:sz w:val="24"/>
          <w:szCs w:val="24"/>
        </w:rPr>
      </w:pPr>
      <w:r w:rsidRPr="0041664D">
        <w:rPr>
          <w:rFonts w:ascii="楷体" w:eastAsia="楷体" w:hAnsi="楷体" w:hint="eastAsia"/>
          <w:color w:val="000000" w:themeColor="text1"/>
          <w:sz w:val="24"/>
          <w:szCs w:val="24"/>
        </w:rPr>
        <w:t>成材利润矛盾突出情况下，第一轮提降提出，焦炭供需缺口收敛，下游采</w:t>
      </w:r>
      <w:r w:rsidRPr="0041664D">
        <w:rPr>
          <w:rFonts w:ascii="楷体" w:eastAsia="楷体" w:hAnsi="楷体" w:hint="eastAsia"/>
          <w:color w:val="000000" w:themeColor="text1"/>
          <w:sz w:val="24"/>
          <w:szCs w:val="24"/>
        </w:rPr>
        <w:lastRenderedPageBreak/>
        <w:t>购意愿减弱。成材目前价格压制原料上涨，短期宽幅高位下震荡运行</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9726769"/>
      <w:r>
        <w:rPr>
          <w:rFonts w:ascii="楷体" w:eastAsia="楷体" w:hAnsi="楷体" w:hint="eastAsia"/>
          <w:b/>
          <w:color w:val="000000" w:themeColor="text1"/>
          <w:sz w:val="24"/>
          <w:szCs w:val="24"/>
        </w:rPr>
        <w:t>焦煤：</w:t>
      </w:r>
      <w:r w:rsidR="0041664D" w:rsidRPr="0041664D">
        <w:rPr>
          <w:rFonts w:ascii="楷体" w:eastAsia="楷体" w:hAnsi="楷体" w:hint="eastAsia"/>
          <w:b/>
          <w:sz w:val="24"/>
          <w:szCs w:val="24"/>
        </w:rPr>
        <w:t>第一轮提降提出，上方压力明显</w:t>
      </w:r>
      <w:bookmarkEnd w:id="23"/>
    </w:p>
    <w:p w:rsidR="003F56A5" w:rsidRDefault="0041664D">
      <w:pPr>
        <w:ind w:leftChars="300" w:left="630"/>
        <w:rPr>
          <w:rFonts w:ascii="楷体" w:eastAsia="楷体" w:hAnsi="楷体"/>
          <w:bCs/>
          <w:sz w:val="24"/>
          <w:szCs w:val="24"/>
        </w:rPr>
      </w:pPr>
      <w:r w:rsidRPr="0041664D">
        <w:rPr>
          <w:rFonts w:ascii="楷体" w:eastAsia="楷体" w:hAnsi="楷体" w:hint="eastAsia"/>
          <w:sz w:val="24"/>
          <w:szCs w:val="24"/>
        </w:rPr>
        <w:t>第一轮提降提出，利润矛盾下，现货价格向上驱动不明显。低库存、高日耗下供应支撑较强，焦煤高位下震荡运行</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9726770"/>
      <w:r>
        <w:rPr>
          <w:rFonts w:ascii="楷体" w:eastAsia="楷体" w:hAnsi="楷体" w:hint="eastAsia"/>
          <w:b/>
          <w:color w:val="000000" w:themeColor="text1"/>
          <w:sz w:val="24"/>
          <w:szCs w:val="24"/>
        </w:rPr>
        <w:t>铜：</w:t>
      </w:r>
      <w:bookmarkEnd w:id="24"/>
      <w:bookmarkEnd w:id="25"/>
      <w:r w:rsidR="00CD74BD" w:rsidRPr="00CD74BD">
        <w:rPr>
          <w:rFonts w:ascii="楷体" w:eastAsia="楷体" w:hAnsi="楷体" w:hint="eastAsia"/>
          <w:b/>
          <w:color w:val="000000" w:themeColor="text1"/>
          <w:sz w:val="24"/>
          <w:szCs w:val="24"/>
        </w:rPr>
        <w:t>国内库存大幅去化，支撑铜价低位反弹</w:t>
      </w:r>
      <w:bookmarkEnd w:id="26"/>
    </w:p>
    <w:p w:rsidR="00CD74BD" w:rsidRPr="00CD74BD" w:rsidRDefault="00CD74BD" w:rsidP="00CD74BD">
      <w:pPr>
        <w:ind w:leftChars="300" w:left="630"/>
        <w:rPr>
          <w:rFonts w:ascii="楷体" w:eastAsia="楷体" w:hAnsi="楷体"/>
          <w:color w:val="000000" w:themeColor="text1"/>
          <w:sz w:val="24"/>
          <w:szCs w:val="24"/>
        </w:rPr>
      </w:pPr>
      <w:r w:rsidRPr="00CD74BD">
        <w:rPr>
          <w:rFonts w:ascii="楷体" w:eastAsia="楷体" w:hAnsi="楷体" w:hint="eastAsia"/>
          <w:color w:val="000000" w:themeColor="text1"/>
          <w:sz w:val="24"/>
          <w:szCs w:val="24"/>
        </w:rPr>
        <w:t>(1)库存：10月30日，SHFE仓单库存1731吨，减1087吨；LME仓单库存178400吨，减2200吨。</w:t>
      </w:r>
    </w:p>
    <w:p w:rsidR="00CD74BD" w:rsidRPr="00CD74BD" w:rsidRDefault="00CD74BD" w:rsidP="00CD74BD">
      <w:pPr>
        <w:ind w:leftChars="300" w:left="630"/>
        <w:rPr>
          <w:rFonts w:ascii="楷体" w:eastAsia="楷体" w:hAnsi="楷体"/>
          <w:color w:val="000000" w:themeColor="text1"/>
          <w:sz w:val="24"/>
          <w:szCs w:val="24"/>
        </w:rPr>
      </w:pPr>
      <w:r w:rsidRPr="00CD74BD">
        <w:rPr>
          <w:rFonts w:ascii="楷体" w:eastAsia="楷体" w:hAnsi="楷体" w:hint="eastAsia"/>
          <w:color w:val="000000" w:themeColor="text1"/>
          <w:sz w:val="24"/>
          <w:szCs w:val="24"/>
        </w:rPr>
        <w:t>(2)精废价差：10月30日，Mysteel精废价差1374，扩张356。目前价差在合理价差1377之下。</w:t>
      </w:r>
    </w:p>
    <w:p w:rsidR="00CD74BD" w:rsidRPr="00CD74BD" w:rsidRDefault="00CD74BD" w:rsidP="00CD74BD">
      <w:pPr>
        <w:ind w:leftChars="300" w:left="630"/>
        <w:rPr>
          <w:rFonts w:ascii="楷体" w:eastAsia="楷体" w:hAnsi="楷体"/>
          <w:color w:val="000000" w:themeColor="text1"/>
          <w:sz w:val="24"/>
          <w:szCs w:val="24"/>
        </w:rPr>
      </w:pPr>
    </w:p>
    <w:p w:rsidR="00127803" w:rsidRPr="00127803" w:rsidRDefault="00CD74BD" w:rsidP="00CD74BD">
      <w:pPr>
        <w:ind w:leftChars="300" w:left="630"/>
        <w:rPr>
          <w:rFonts w:ascii="楷体" w:eastAsia="楷体" w:hAnsi="楷体"/>
          <w:color w:val="000000" w:themeColor="text1"/>
          <w:sz w:val="24"/>
          <w:szCs w:val="24"/>
        </w:rPr>
      </w:pPr>
      <w:r w:rsidRPr="00CD74BD">
        <w:rPr>
          <w:rFonts w:ascii="楷体" w:eastAsia="楷体" w:hAnsi="楷体" w:hint="eastAsia"/>
          <w:color w:val="000000" w:themeColor="text1"/>
          <w:sz w:val="24"/>
          <w:szCs w:val="24"/>
        </w:rPr>
        <w:t>综述：当前而言，短期宏观面利空消化，市场交易重心向基本面偏移，国内库存大幅去化，虚实盘比偏高，支撑价格反弹，预计短期价格震荡偏多运行。周内沪铜2312合约波动区间参考66500-67800元/吨。关注国内库存及当月持仓量变化</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9726771"/>
      <w:r>
        <w:rPr>
          <w:rFonts w:ascii="楷体" w:eastAsia="楷体" w:hAnsi="楷体" w:hint="eastAsia"/>
          <w:b/>
          <w:color w:val="000000" w:themeColor="text1"/>
          <w:sz w:val="24"/>
          <w:szCs w:val="24"/>
        </w:rPr>
        <w:t>铝：</w:t>
      </w:r>
      <w:bookmarkEnd w:id="27"/>
      <w:bookmarkEnd w:id="28"/>
      <w:r w:rsidR="0041664D" w:rsidRPr="0041664D">
        <w:rPr>
          <w:rFonts w:ascii="楷体" w:eastAsia="楷体" w:hAnsi="楷体" w:hint="eastAsia"/>
          <w:b/>
          <w:color w:val="000000" w:themeColor="text1"/>
          <w:sz w:val="24"/>
          <w:szCs w:val="24"/>
        </w:rPr>
        <w:t>铝市价格仍有较强支撑</w:t>
      </w:r>
      <w:bookmarkEnd w:id="29"/>
    </w:p>
    <w:p w:rsidR="003F56A5" w:rsidRDefault="0041664D" w:rsidP="00127803">
      <w:pPr>
        <w:ind w:leftChars="300" w:left="630"/>
        <w:rPr>
          <w:rFonts w:ascii="楷体" w:eastAsia="楷体" w:hAnsi="楷体"/>
          <w:color w:val="000000" w:themeColor="text1"/>
          <w:sz w:val="24"/>
          <w:szCs w:val="24"/>
        </w:rPr>
      </w:pPr>
      <w:r w:rsidRPr="0041664D">
        <w:rPr>
          <w:rFonts w:ascii="楷体" w:eastAsia="楷体" w:hAnsi="楷体" w:hint="eastAsia"/>
          <w:color w:val="000000" w:themeColor="text1"/>
          <w:sz w:val="24"/>
          <w:szCs w:val="24"/>
        </w:rPr>
        <w:t>国内PMI数据表现欠佳，市场反馈情绪偏弱，海外宏观存在较大不确定性，美元指数高位震荡运行。近期铝棒产能收缩，铝水转铸锭，行业铸锭量环比有所增长，云南枯水限电当地电解铝产能预期减产，短期电解铝供应仍维持高供应，市场进口补充不断。下游消费逐渐转入淡季，铝锭库存逐步累积但仍位于往年库存低位，铝价仍有较强支撑</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9726772"/>
      <w:r>
        <w:rPr>
          <w:rFonts w:ascii="楷体" w:eastAsia="楷体" w:hAnsi="楷体" w:hint="eastAsia"/>
          <w:b/>
          <w:color w:val="000000" w:themeColor="text1"/>
          <w:sz w:val="24"/>
          <w:szCs w:val="24"/>
        </w:rPr>
        <w:t>锌：</w:t>
      </w:r>
      <w:r w:rsidR="0041664D" w:rsidRPr="0041664D">
        <w:rPr>
          <w:rFonts w:ascii="楷体" w:eastAsia="楷体" w:hAnsi="楷体" w:hint="eastAsia"/>
          <w:b/>
          <w:color w:val="000000" w:themeColor="text1"/>
          <w:sz w:val="24"/>
          <w:szCs w:val="24"/>
        </w:rPr>
        <w:t>锌市基本面驱动偏弱，极低库存限制下跌空间</w:t>
      </w:r>
      <w:bookmarkEnd w:id="30"/>
    </w:p>
    <w:p w:rsidR="003F56A5" w:rsidRDefault="0041664D" w:rsidP="000B0648">
      <w:pPr>
        <w:ind w:leftChars="300" w:left="630"/>
        <w:rPr>
          <w:rFonts w:ascii="楷体" w:eastAsia="楷体" w:hAnsi="楷体"/>
          <w:color w:val="000000" w:themeColor="text1"/>
          <w:sz w:val="24"/>
          <w:szCs w:val="24"/>
        </w:rPr>
      </w:pPr>
      <w:r w:rsidRPr="0041664D">
        <w:rPr>
          <w:rFonts w:ascii="楷体" w:eastAsia="楷体" w:hAnsi="楷体" w:hint="eastAsia"/>
          <w:color w:val="000000" w:themeColor="text1"/>
          <w:sz w:val="24"/>
          <w:szCs w:val="24"/>
        </w:rPr>
        <w:t>海外宏观情绪波动，国内制造业数据表现不及预期，宏观承压。矿端供应偏紧，加工费走势下行，目前冶炼端利润尚可维持生产，前期检修产能恢复，进口盈利窗口打开，进口锌锭持续流入，旺季消费转弱，下游现货交投较为平淡，锌市绝对库存极低支撑价格</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9726773"/>
      <w:r>
        <w:rPr>
          <w:rFonts w:ascii="楷体" w:eastAsia="楷体" w:hAnsi="楷体" w:hint="eastAsia"/>
          <w:b/>
          <w:color w:val="000000" w:themeColor="text1"/>
          <w:sz w:val="24"/>
          <w:szCs w:val="24"/>
        </w:rPr>
        <w:t>镍：</w:t>
      </w:r>
      <w:r w:rsidR="0041664D" w:rsidRPr="0041664D">
        <w:rPr>
          <w:rFonts w:ascii="楷体" w:eastAsia="楷体" w:hAnsi="楷体" w:hint="eastAsia"/>
          <w:b/>
          <w:color w:val="000000" w:themeColor="text1"/>
          <w:sz w:val="24"/>
          <w:szCs w:val="24"/>
        </w:rPr>
        <w:t>印尼镍矿消息影响有限，短期震荡偏弱为主</w:t>
      </w:r>
      <w:bookmarkEnd w:id="31"/>
    </w:p>
    <w:p w:rsidR="003F56A5" w:rsidRDefault="0041664D">
      <w:pPr>
        <w:ind w:leftChars="300" w:left="630"/>
        <w:rPr>
          <w:rFonts w:ascii="楷体" w:eastAsia="楷体" w:hAnsi="楷体"/>
          <w:color w:val="000000" w:themeColor="text1"/>
          <w:sz w:val="24"/>
          <w:szCs w:val="24"/>
        </w:rPr>
      </w:pPr>
      <w:r w:rsidRPr="0041664D">
        <w:rPr>
          <w:rFonts w:ascii="楷体" w:eastAsia="楷体" w:hAnsi="楷体" w:hint="eastAsia"/>
          <w:color w:val="000000" w:themeColor="text1"/>
          <w:sz w:val="24"/>
          <w:szCs w:val="24"/>
        </w:rPr>
        <w:t>我国10月份制造业PMI降至收缩区间，国内宏观情绪转弱；美国经济仍具有韧性，且美债收益率仍处于高位附近，美元指数高位震荡，叠加地缘政治扰动，持续施压有色金属。市场传言“印尼高品位镍矿储量可能在六年左右耗尽“，目前该消息的影响有限，继续关注印尼镍矿政策风向。需求端，不锈钢厂陆续减产，对镍的需求持续下降。供应端，外采原料来生产精炼镍的工艺已亏损，但生产精炼镍的主流工艺仍有利润，精炼镍产量仍在逐步释放。库存端，国内社会库存和全球显性库存仍维持累库趋势，供应压力凸显。综合来看，基本面供增需弱格局压制镍价，但短期来看，仍处于绝对历史低位的显性库存和电积镍成本带来一定的支撑作用，镍价短期继续下跌的动能不足，预计以偏弱震荡运行为主</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9726774"/>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w:t>
      </w:r>
      <w:r w:rsidRPr="00DB4E25">
        <w:rPr>
          <w:rFonts w:ascii="楷体" w:eastAsia="楷体" w:hAnsi="楷体" w:hint="eastAsia"/>
          <w:color w:val="000000" w:themeColor="text1"/>
          <w:sz w:val="24"/>
          <w:szCs w:val="24"/>
        </w:rPr>
        <w:lastRenderedPageBreak/>
        <w:t>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9726775"/>
      <w:r>
        <w:rPr>
          <w:rFonts w:ascii="楷体" w:eastAsia="楷体" w:hAnsi="楷体" w:hint="eastAsia"/>
          <w:b/>
          <w:color w:val="000000" w:themeColor="text1"/>
          <w:sz w:val="24"/>
          <w:szCs w:val="24"/>
        </w:rPr>
        <w:t>不锈钢：</w:t>
      </w:r>
      <w:r w:rsidR="0041664D" w:rsidRPr="0041664D">
        <w:rPr>
          <w:rFonts w:ascii="楷体" w:eastAsia="楷体" w:hAnsi="楷体" w:hint="eastAsia"/>
          <w:b/>
          <w:color w:val="000000" w:themeColor="text1"/>
          <w:sz w:val="24"/>
          <w:szCs w:val="24"/>
        </w:rPr>
        <w:t>去库节奏缓慢，等待需求好转信号</w:t>
      </w:r>
      <w:bookmarkEnd w:id="33"/>
    </w:p>
    <w:p w:rsidR="003F56A5" w:rsidRDefault="0041664D" w:rsidP="001529BB">
      <w:pPr>
        <w:ind w:leftChars="300" w:left="630"/>
        <w:rPr>
          <w:rFonts w:ascii="楷体" w:eastAsia="楷体" w:hAnsi="楷体"/>
          <w:color w:val="000000" w:themeColor="text1"/>
          <w:sz w:val="24"/>
          <w:szCs w:val="24"/>
        </w:rPr>
      </w:pPr>
      <w:r w:rsidRPr="0041664D">
        <w:rPr>
          <w:rFonts w:ascii="楷体" w:eastAsia="楷体" w:hAnsi="楷体" w:hint="eastAsia"/>
          <w:color w:val="000000" w:themeColor="text1"/>
          <w:sz w:val="24"/>
          <w:szCs w:val="24"/>
        </w:rPr>
        <w:t>我国10月份制造业PMI降至收缩区间，宏观氛围转弱，不锈钢价昨日回落。需求端，下游成交氛围略有好转，需求仍疲弱，且多国实行反倾销政策也对不锈钢出口带来抑制作用。供应端，不锈钢厂减产预计将持续到11月。成本端，钢厂减产的负反馈由下往上传导至镍铁，叠加印尼回流压力，镍铁价格偏弱运行。镍矿也在产业压力和FOB价格下调的影响下弱势运行，年内印尼镍矿会有新配额的消息也利空镍矿价格。库存方面，下游部分地区交投氛围稍有回暖，但整体仍以观望为主，不锈钢去库节奏缓慢。综合来看，不锈钢产业负反馈仍在持续，成本端暂未企稳，需求不佳现实下不锈钢反弹难以持续，预计短期内震荡偏弱为主。若需求在政策推动下有明显好转，不锈钢价有望向上修复</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9726776"/>
      <w:r>
        <w:rPr>
          <w:rFonts w:ascii="楷体" w:eastAsia="楷体" w:hAnsi="楷体" w:hint="eastAsia"/>
          <w:b/>
          <w:color w:val="000000" w:themeColor="text1"/>
          <w:sz w:val="24"/>
          <w:szCs w:val="24"/>
        </w:rPr>
        <w:t>工业硅：</w:t>
      </w:r>
      <w:r w:rsidR="0041664D" w:rsidRPr="0041664D">
        <w:rPr>
          <w:rFonts w:ascii="楷体" w:eastAsia="楷体" w:hAnsi="楷体" w:hint="eastAsia"/>
          <w:b/>
          <w:sz w:val="24"/>
          <w:szCs w:val="24"/>
        </w:rPr>
        <w:t>北方供应增加，反弹高度或有限</w:t>
      </w:r>
      <w:bookmarkEnd w:id="34"/>
    </w:p>
    <w:p w:rsidR="003F56A5" w:rsidRDefault="0041664D" w:rsidP="00827E8A">
      <w:pPr>
        <w:ind w:leftChars="300" w:left="630"/>
        <w:rPr>
          <w:rFonts w:ascii="楷体" w:eastAsia="楷体" w:hAnsi="楷体"/>
          <w:sz w:val="24"/>
          <w:szCs w:val="24"/>
        </w:rPr>
      </w:pPr>
      <w:r w:rsidRPr="0041664D">
        <w:rPr>
          <w:rFonts w:ascii="楷体" w:eastAsia="楷体" w:hAnsi="楷体" w:hint="eastAsia"/>
          <w:sz w:val="24"/>
          <w:szCs w:val="24"/>
        </w:rPr>
        <w:t>10月31日，Si2312主力合约呈反弹走势，收盘价14260元/吨，较上一收盘价涨跌幅+0.35%。从基本面来看，西南地区即将进入枯水期，成本抬升以及供应减少确定性较强，符合市场预期。而北方大厂维持复产节奏，叠加存在新增产能项目投产，供应持续放量，枯水期供应或再超预期。此外，仓单总量依旧高位，压力暂未完全释放，预计盘面反弹高度或有限。策略上，谨慎资金可暂时观望，激进资金可以尝试逢高做空机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972677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024C21" w:rsidRDefault="00CC3FFA" w:rsidP="00024C21">
      <w:pPr>
        <w:ind w:firstLineChars="200" w:firstLine="482"/>
        <w:outlineLvl w:val="1"/>
        <w:rPr>
          <w:rFonts w:ascii="楷体" w:eastAsia="楷体" w:hAnsi="楷体"/>
          <w:b/>
          <w:sz w:val="24"/>
          <w:szCs w:val="24"/>
        </w:rPr>
      </w:pPr>
      <w:bookmarkStart w:id="37" w:name="_Toc149726778"/>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41664D" w:rsidRPr="0041664D">
        <w:rPr>
          <w:rFonts w:ascii="楷体" w:eastAsia="楷体" w:hAnsi="楷体" w:hint="eastAsia"/>
          <w:b/>
          <w:sz w:val="24"/>
          <w:szCs w:val="24"/>
        </w:rPr>
        <w:t>供应利好消化殆尽，天胶或偏弱震荡为主</w:t>
      </w:r>
      <w:bookmarkEnd w:id="37"/>
    </w:p>
    <w:p w:rsidR="003F56A5" w:rsidRDefault="0041664D">
      <w:pPr>
        <w:ind w:leftChars="300" w:left="630"/>
        <w:rPr>
          <w:rFonts w:ascii="楷体" w:eastAsia="楷体" w:hAnsi="楷体"/>
          <w:sz w:val="24"/>
          <w:szCs w:val="24"/>
        </w:rPr>
      </w:pPr>
      <w:r w:rsidRPr="0041664D">
        <w:rPr>
          <w:rFonts w:ascii="楷体" w:eastAsia="楷体" w:hAnsi="楷体" w:hint="eastAsia"/>
          <w:sz w:val="24"/>
          <w:szCs w:val="24"/>
        </w:rPr>
        <w:t>点评：近期天然橡胶回调探底，做空势力逐步进场。供应方面，东南亚主产区降雨天气缓解，原料产出持续上量，原料收购价格存下降预期，供应端利好削弱。库存方面，国内天然橡胶库存虽仍在去库，但去库幅度偏缓，下游工厂对原材料高价抵触心理。需求端来看，下游轮胎企业开工率高位维持，假期放假天数较去年明显缩减。半钢胎略好于全钢胎，国内稳经济政策将有利于轮胎替换及配套需求的改善。节后工厂开工处于恢复提升状态，对原材料补库积极性提高，提振天胶市场。终端汽车方面，9月数据同环比继续走强，创过去十年同期历史新高，十月汽车消费旺季再度来临</w:t>
      </w:r>
      <w:r w:rsidRPr="0041664D">
        <w:rPr>
          <w:rFonts w:ascii="楷体" w:eastAsia="楷体" w:hAnsi="楷体" w:hint="eastAsia"/>
          <w:sz w:val="24"/>
          <w:szCs w:val="24"/>
        </w:rPr>
        <w:lastRenderedPageBreak/>
        <w:t>下汽车市场景气度高。整体看，近期基本面转好幅度有所减弱，在新的利好支撑出现前，橡胶或偏弱震荡为主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9726779"/>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41664D" w:rsidRPr="0041664D">
        <w:rPr>
          <w:rFonts w:ascii="Calibri" w:eastAsia="楷体" w:hAnsi="Calibri" w:cs="Calibri" w:hint="eastAsia"/>
          <w:b/>
          <w:color w:val="000000" w:themeColor="text1"/>
          <w:sz w:val="24"/>
          <w:szCs w:val="24"/>
        </w:rPr>
        <w:t>供应偏宽松预期</w:t>
      </w:r>
      <w:r w:rsidR="0041664D" w:rsidRPr="0041664D">
        <w:rPr>
          <w:rFonts w:ascii="Calibri" w:eastAsia="楷体" w:hAnsi="Calibri" w:cs="Calibri" w:hint="eastAsia"/>
          <w:b/>
          <w:color w:val="000000" w:themeColor="text1"/>
          <w:sz w:val="24"/>
          <w:szCs w:val="24"/>
        </w:rPr>
        <w:t xml:space="preserve"> </w:t>
      </w:r>
      <w:r w:rsidR="0041664D" w:rsidRPr="0041664D">
        <w:rPr>
          <w:rFonts w:ascii="Calibri" w:eastAsia="楷体" w:hAnsi="Calibri" w:cs="Calibri" w:hint="eastAsia"/>
          <w:b/>
          <w:color w:val="000000" w:themeColor="text1"/>
          <w:sz w:val="24"/>
          <w:szCs w:val="24"/>
        </w:rPr>
        <w:t>关注上方压力位</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41664D" w:rsidP="002C73FE">
      <w:pPr>
        <w:ind w:leftChars="300" w:left="630"/>
        <w:rPr>
          <w:rFonts w:ascii="楷体" w:eastAsia="楷体" w:hAnsi="楷体"/>
          <w:color w:val="000000" w:themeColor="text1"/>
          <w:sz w:val="24"/>
          <w:szCs w:val="24"/>
        </w:rPr>
      </w:pPr>
      <w:r w:rsidRPr="0041664D">
        <w:rPr>
          <w:rFonts w:ascii="楷体" w:eastAsia="楷体" w:hAnsi="楷体" w:hint="eastAsia"/>
          <w:color w:val="000000" w:themeColor="text1"/>
          <w:sz w:val="24"/>
          <w:szCs w:val="24"/>
        </w:rPr>
        <w:t>原油方面，供应风险担忧减弱，叠加美国原油产量增长，国际油价下跌 。PX方面，短期来看因汽油裂解超跌反弹驱动PX小幅跟涨，但暂不建议追多。随着调油需求走弱，歧化装置开工率有望进一步提升， Q4 PX供应充足。PTA供应方面，至10.26 PTA负荷调整至78.8%。本周聚酯装置大体稳定运行，截至10.26 初步核算国内大陆地区聚酯负荷在90.7%，环比小幅提升。终端开工率尚可但涤纶长丝库存节后累库节奏较快，随着聚酯原料价格走低，工厂出货意愿较大。综合来看，目前PTA加工费高于旺季水平，后续检修恐难持续。恒力220缩减合约量30%与逸盛400推迟检修并存及后续投产预期，供应仍偏宽松。随着需求端季节性走弱， PTA企稳但不看太高，关注6000附近压力位。建议把握11-1正套或单边布空2401合约机会。仅供参考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F164D" w:rsidRDefault="00CC3FFA" w:rsidP="00DF164D">
      <w:pPr>
        <w:ind w:leftChars="200" w:left="420"/>
        <w:outlineLvl w:val="1"/>
        <w:rPr>
          <w:rFonts w:ascii="楷体" w:eastAsia="楷体" w:hAnsi="楷体"/>
          <w:b/>
          <w:color w:val="000000" w:themeColor="text1"/>
          <w:sz w:val="24"/>
          <w:szCs w:val="24"/>
        </w:rPr>
      </w:pPr>
      <w:bookmarkStart w:id="39" w:name="_Toc149726780"/>
      <w:r>
        <w:rPr>
          <w:rFonts w:ascii="楷体" w:eastAsia="楷体" w:hAnsi="楷体" w:hint="eastAsia"/>
          <w:b/>
          <w:color w:val="000000" w:themeColor="text1"/>
          <w:sz w:val="24"/>
          <w:szCs w:val="24"/>
        </w:rPr>
        <w:t>聚烯烃：</w:t>
      </w:r>
      <w:r w:rsidR="0041664D" w:rsidRPr="0041664D">
        <w:rPr>
          <w:rFonts w:ascii="楷体" w:eastAsia="楷体" w:hAnsi="楷体" w:hint="eastAsia"/>
          <w:b/>
          <w:color w:val="000000" w:themeColor="text1"/>
          <w:sz w:val="24"/>
          <w:szCs w:val="24"/>
        </w:rPr>
        <w:t>成本支撑再度落空 聚烯烃偏弱整理为主</w:t>
      </w:r>
      <w:bookmarkEnd w:id="39"/>
    </w:p>
    <w:p w:rsidR="003F56A5" w:rsidRDefault="0041664D">
      <w:pPr>
        <w:ind w:leftChars="300" w:left="630"/>
        <w:rPr>
          <w:rFonts w:ascii="楷体" w:eastAsia="楷体" w:hAnsi="楷体"/>
          <w:bCs/>
          <w:sz w:val="24"/>
          <w:szCs w:val="24"/>
        </w:rPr>
      </w:pPr>
      <w:r w:rsidRPr="0041664D">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以色列-哈马斯战争可能威胁原油供应的风险减弱，欧佩克和美国原油产量增加，欧美原油期货收盘继续下跌，WTI首月期货跌至8月28日以来最低价位。需求方面，PE下游方面，农膜整体需求平平，工厂生产清淡。棚膜工厂多停机检修；PP下游方面，BOPP市场成交刚需有量，整体量较上一交易日增加，BOPP企业未交付订单多数在一周以内，个别可至八月中。综合来看，PE方面，现阶段农膜进入需求淡季，下游拿货多按需为主；部分装置仍处于检修阶段，供应压力得到一定程度释放，但目前生产企业库存仍处高位，预计今日聚乙烯价格维持窄幅震荡为主。PP方面，昨日期货走高带动贸易商上涨报盘，然国际油价下跌，成本面支撑减弱。需求面来看，下游采买意愿下滑，场内信心不足，维持刚需采购。临近月末，市场变化有限，预计今日聚丙烯市场震荡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0" w:name="_Toc149726781"/>
      <w:r>
        <w:rPr>
          <w:rFonts w:ascii="楷体" w:eastAsia="楷体" w:hAnsi="楷体" w:hint="eastAsia"/>
          <w:b/>
          <w:color w:val="000000" w:themeColor="text1"/>
          <w:sz w:val="24"/>
          <w:szCs w:val="24"/>
        </w:rPr>
        <w:t>MEG：</w:t>
      </w:r>
      <w:r w:rsidR="0041664D" w:rsidRPr="0041664D">
        <w:rPr>
          <w:rFonts w:ascii="楷体" w:eastAsia="楷体" w:hAnsi="楷体" w:hint="eastAsia"/>
          <w:b/>
          <w:color w:val="000000" w:themeColor="text1"/>
          <w:sz w:val="24"/>
          <w:szCs w:val="24"/>
        </w:rPr>
        <w:t>到港增加 反弹空间受限</w:t>
      </w:r>
      <w:bookmarkEnd w:id="40"/>
    </w:p>
    <w:p w:rsidR="003F56A5" w:rsidRDefault="0041664D" w:rsidP="00152664">
      <w:pPr>
        <w:ind w:leftChars="300" w:left="630"/>
        <w:rPr>
          <w:rFonts w:ascii="楷体" w:eastAsia="楷体" w:hAnsi="楷体"/>
          <w:color w:val="000000" w:themeColor="text1"/>
          <w:sz w:val="24"/>
          <w:szCs w:val="24"/>
        </w:rPr>
      </w:pPr>
      <w:r w:rsidRPr="0041664D">
        <w:rPr>
          <w:rFonts w:ascii="楷体" w:eastAsia="楷体" w:hAnsi="楷体" w:hint="eastAsia"/>
          <w:color w:val="000000" w:themeColor="text1"/>
          <w:sz w:val="24"/>
          <w:szCs w:val="24"/>
        </w:rPr>
        <w:t>供需情况，10.30华东主港地区MEG港口库存约127.6万吨附近，环比上期累11.7万吨。8月进口量高位，短期海外供应充足。截至10月26日，中国大陆地区乙二醇整体开工负荷在58.83%（+0.65%），其中煤制乙二醇开工负荷在64.69%（+3.71%）。截至10月26日，国内大陆地区聚酯负荷在90.7%，环比小幅提升。终端来看，节后江浙加弹综合开工已回升至86%（+2%），江浙织机综合开工提升至80%，江浙印染综合开工小幅下滑至82%，随着原料价格走弱及节后库存累积，涤纶近期出货意愿较强。综合来看，成本端仍有弱支撑，但近期陕西40万吨装置新开工将出产品，存量库存大幅累积，成本及弱供需博弈，暂维持4000-4250区间操作思路。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49726782"/>
      <w:r>
        <w:rPr>
          <w:rFonts w:ascii="楷体" w:eastAsia="楷体" w:hAnsi="楷体" w:hint="eastAsia"/>
          <w:b/>
          <w:color w:val="000000" w:themeColor="text1"/>
          <w:sz w:val="24"/>
          <w:szCs w:val="24"/>
        </w:rPr>
        <w:lastRenderedPageBreak/>
        <w:t>玻璃</w:t>
      </w:r>
      <w:r w:rsidR="00A71A7E">
        <w:rPr>
          <w:rFonts w:ascii="楷体" w:eastAsia="楷体" w:hAnsi="楷体" w:hint="eastAsia"/>
          <w:b/>
          <w:color w:val="000000" w:themeColor="text1"/>
          <w:sz w:val="24"/>
          <w:szCs w:val="24"/>
        </w:rPr>
        <w:t>：</w:t>
      </w:r>
      <w:r w:rsidR="0041664D" w:rsidRPr="0041664D">
        <w:rPr>
          <w:rFonts w:ascii="楷体" w:eastAsia="楷体" w:hAnsi="楷体" w:hint="eastAsia"/>
          <w:b/>
          <w:color w:val="000000" w:themeColor="text1"/>
          <w:sz w:val="24"/>
          <w:szCs w:val="24"/>
        </w:rPr>
        <w:t>宏观利好托底，延续震荡格局</w:t>
      </w:r>
      <w:bookmarkEnd w:id="41"/>
    </w:p>
    <w:p w:rsidR="00A71A7E" w:rsidRDefault="0041664D" w:rsidP="001F79C6">
      <w:pPr>
        <w:ind w:leftChars="300" w:left="630"/>
        <w:rPr>
          <w:rFonts w:ascii="楷体" w:eastAsia="楷体" w:hAnsi="楷体"/>
          <w:color w:val="000000" w:themeColor="text1"/>
          <w:sz w:val="24"/>
          <w:szCs w:val="24"/>
        </w:rPr>
      </w:pPr>
      <w:r w:rsidRPr="0041664D">
        <w:rPr>
          <w:rFonts w:ascii="楷体" w:eastAsia="楷体" w:hAnsi="楷体" w:hint="eastAsia"/>
          <w:color w:val="000000" w:themeColor="text1"/>
          <w:sz w:val="24"/>
          <w:szCs w:val="24"/>
        </w:rPr>
        <w:t>隆众资讯10月31日报道：今日浮法玻璃现货价格2060元/吨，较上一交易日持平。库存上，截止到20231026，全国浮法玻璃样本企业总库存4065.8万重箱，环比增加35.4万重箱，环比0.88%。原片厂主动降价清库，下游拿货谨慎；供给端产量维持17万吨/天左右相对偏高位置，供需短期维持弱平衡。成本端纯碱价格下跌成本下降，宏观上保交楼和旧改政策托底，远月基差较大，对盘面有一定支撑。玻璃即将进入淡季，供给高增下，基本面走弱，但宏观层面预期对政策方面的期待转强，市场延续震荡行情</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9726783"/>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41664D" w:rsidRPr="0041664D">
        <w:rPr>
          <w:rFonts w:ascii="楷体" w:eastAsia="楷体" w:hAnsi="楷体" w:hint="eastAsia"/>
          <w:b/>
          <w:color w:val="000000" w:themeColor="text1"/>
          <w:sz w:val="24"/>
          <w:szCs w:val="24"/>
        </w:rPr>
        <w:t>现货价格继续下移，等待反弹结束</w:t>
      </w:r>
      <w:bookmarkEnd w:id="42"/>
    </w:p>
    <w:p w:rsidR="00A71A7E" w:rsidRDefault="0041664D" w:rsidP="00F51139">
      <w:pPr>
        <w:ind w:leftChars="300" w:left="630"/>
        <w:rPr>
          <w:rFonts w:ascii="楷体" w:eastAsia="楷体" w:hAnsi="楷体"/>
          <w:bCs/>
          <w:sz w:val="24"/>
          <w:szCs w:val="24"/>
        </w:rPr>
      </w:pPr>
      <w:r w:rsidRPr="0041664D">
        <w:rPr>
          <w:rFonts w:ascii="楷体" w:eastAsia="楷体" w:hAnsi="楷体" w:hint="eastAsia"/>
          <w:color w:val="000000" w:themeColor="text1"/>
          <w:sz w:val="24"/>
          <w:szCs w:val="24"/>
        </w:rPr>
        <w:t>纯碱价格继续下移。周度市场轻重碱报价下跌，华中地区重碱报价2300元/吨，青海地区重碱报价2100元/吨。供给方面，上周纯碱周产量69.01万吨，跌幅1.52%，本周青海盐湖和发投环保问题减产，部分企业短停，三友下月有轮检计划，周产量预计维持在67-69万吨；上周厂库库存45.38吨，环比+7.65吨，涨幅20.28%，持续累库。需求上，下游基本刚需为主，周度表需在62万吨左右，每周供需差在5-7万左右速度累库。进出口上，月中大量进口到港，供需宽松。盘面远月合约受大基差和宏观情绪影响反弹，到随着累库的进行，向上空间有限，期价走出负反馈的概率较大，建议等待反弹结束逢高沽空</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4972678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49726785"/>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41664D" w:rsidRPr="0041664D">
        <w:rPr>
          <w:rFonts w:ascii="楷体" w:eastAsia="楷体" w:hAnsi="楷体" w:hint="eastAsia"/>
          <w:b/>
          <w:sz w:val="24"/>
          <w:szCs w:val="24"/>
        </w:rPr>
        <w:t>四季度存供应宽松预期，基差承压运行</w:t>
      </w:r>
      <w:bookmarkEnd w:id="44"/>
    </w:p>
    <w:p w:rsidR="003F56A5" w:rsidRDefault="0041664D">
      <w:pPr>
        <w:ind w:leftChars="300" w:left="630"/>
        <w:rPr>
          <w:rFonts w:ascii="楷体" w:eastAsia="楷体" w:hAnsi="楷体"/>
          <w:sz w:val="24"/>
          <w:szCs w:val="24"/>
        </w:rPr>
      </w:pPr>
      <w:r w:rsidRPr="0041664D">
        <w:rPr>
          <w:rFonts w:ascii="楷体" w:eastAsia="楷体" w:hAnsi="楷体" w:hint="eastAsia"/>
          <w:sz w:val="24"/>
          <w:szCs w:val="24"/>
        </w:rPr>
        <w:t>美豆边际需求好转，同时在阿根廷旧作大幅减产影响豆粕供应下，提振美豆粕出口需求，对CBOT大豆构成支撑。虽美豆新季平衡表偏紧，但美豆定产后对盘面影响有限，市场定价将逐步转向南美，当前美豆收割快速推进及南美天气改善，CBOT大豆价格预计上方空间有限。后续关注巴西大豆播种情况及美豆出口，中长期南美丰产预期能否兑现十分关键。国内现货基差继续承压运行，下游成交不佳。供应端在9-10月份大豆阶段性到港减少下，油厂大豆库存维持偏低水平，随着油厂开机恢复，豆粕产出缓增，但部分油厂存断豆停机情况，豆粕库存高于去年同期值为74.09万吨，当前沿海主流油厂豆粕现货报价小幅下调至4150-4280元/吨。9月份进口大豆到港量为715万吨，环比减23.6%，11-12月预计会增至月均950万吨的到港，但对美豆新作整体买船偏慢，仍要关注后续大豆是否会有延迟到港情况。需求，下游生猪养殖利润不佳，但在能繁存栏高位下，下游维持刚需补库，保持安全库存，现货成交略有好转。菜粕存供需改善预期，随着6月份后菜籽到港减少，油厂压榨也在逐步下滑，但四季度随着菜籽进口增加，菜粕供应预计转宽。而需求方面，随着水产消费旺季的结束，菜粕刚需减少，主要关注豆菜粕价差较大下带来的替代需求。策略方面，远月压力仍存，短期跟随外盘波动，短线建议逢高沽空为主，豆粕暂看4000压力，菜粕区间预计2850-3000</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49726786"/>
      <w:r>
        <w:rPr>
          <w:rFonts w:ascii="楷体" w:eastAsia="楷体" w:hAnsi="楷体" w:hint="eastAsia"/>
          <w:b/>
          <w:color w:val="000000" w:themeColor="text1"/>
          <w:sz w:val="24"/>
          <w:szCs w:val="24"/>
        </w:rPr>
        <w:t>油脂：</w:t>
      </w:r>
      <w:r w:rsidR="0041664D" w:rsidRPr="0041664D">
        <w:rPr>
          <w:rFonts w:ascii="楷体" w:eastAsia="楷体" w:hAnsi="楷体" w:hint="eastAsia"/>
          <w:b/>
          <w:sz w:val="24"/>
          <w:szCs w:val="24"/>
        </w:rPr>
        <w:t>供过于求格局未变，维持偏弱震荡</w:t>
      </w:r>
      <w:bookmarkEnd w:id="45"/>
    </w:p>
    <w:p w:rsidR="003F56A5" w:rsidRDefault="0041664D" w:rsidP="00792D31">
      <w:pPr>
        <w:ind w:leftChars="300" w:left="630"/>
        <w:rPr>
          <w:rFonts w:ascii="楷体" w:eastAsia="楷体" w:hAnsi="楷体"/>
          <w:sz w:val="24"/>
          <w:szCs w:val="24"/>
        </w:rPr>
      </w:pPr>
      <w:r w:rsidRPr="0041664D">
        <w:rPr>
          <w:rFonts w:ascii="楷体" w:eastAsia="楷体" w:hAnsi="楷体" w:hint="eastAsia"/>
          <w:sz w:val="24"/>
          <w:szCs w:val="24"/>
        </w:rPr>
        <w:lastRenderedPageBreak/>
        <w:t>在油脂回归基本面主导下，缺乏上行驱动，因国内三大油脂供过于求格局尚未改变，在库存相对高位下压制价格反弹空间。棕榈油，产地季节性增产周期下10月存继续累库预期，印尼棕榈油7月份因产量增幅不及需求增幅，库存继续下降。而马棕9月库存增至新高，基本符合市场预期。马棕10月出口环比增加6%-8%，而在产量延续增势下，预计10月仍将保持累库趋势；但11月将进入产地季节性减产阶段，关注厄尔尼诺对产量的影响，为中长期潜在利多因素。国内棕榈油7-8月份进口到港维持高位，在买船积极下，进口供应稳增，最新商业库存床年内新高为91.76万吨。需求端，随着各地气温下降，棕榈油逐步进入消费淡季，掺混需求预计减少。豆油库存去化仍需看需求增量。国内受9-10月大豆到港减少大豆库存偏低影响，虽油厂开机有所回升，但整体压榨水平偏低，豆油供应缓增。需求端，终端存在一定补库需求，且四季度为豆油消费旺季，部分掺混需求预计转向豆油，但当前价格优势并不明显，限制替代需求，近期成交未见明显增量，库存维持中性偏低水平。菜油短期供应压力减轻，但四季度存供应宽松预期。当前主产地菜籽新作产量不确定性仍存，但当前加籽收割基本结束，集中上市压力也抑制期价走势。虽8-9月份进口加籽到港量减少，菜籽开机及压榨水平偏低，9月菜籽进口32万吨，环比减18.9%，四季度菜籽进口预期宽松。需求方面，与豆油价差持续收窄，库存去化仍需看到替代需求出现。短期油脂维持宽幅震荡，上行驱动不足，建议短线波段操作，高抛低吸或关注豆棕套利低多机会；中长期关注天气及需求表现，能否带来有效驱动</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49726787"/>
      <w:r>
        <w:rPr>
          <w:rFonts w:ascii="楷体" w:eastAsia="楷体" w:hAnsi="楷体" w:hint="eastAsia"/>
          <w:b/>
          <w:bCs/>
          <w:color w:val="000000" w:themeColor="text1"/>
        </w:rPr>
        <w:t>玉米与淀粉：</w:t>
      </w:r>
      <w:r w:rsidR="0041664D" w:rsidRPr="0041664D">
        <w:rPr>
          <w:rFonts w:ascii="楷体" w:eastAsia="楷体" w:hAnsi="楷体" w:hint="eastAsia"/>
          <w:b/>
        </w:rPr>
        <w:t>期价震荡运行</w:t>
      </w:r>
      <w:bookmarkEnd w:id="46"/>
    </w:p>
    <w:p w:rsidR="0041664D" w:rsidRPr="0041664D" w:rsidRDefault="0041664D" w:rsidP="0041664D">
      <w:pPr>
        <w:pStyle w:val="paragraph"/>
        <w:spacing w:before="60" w:after="60"/>
        <w:ind w:leftChars="300" w:left="630"/>
        <w:rPr>
          <w:rFonts w:ascii="楷体" w:eastAsia="楷体" w:hAnsi="楷体" w:hint="eastAsia"/>
        </w:rPr>
      </w:pPr>
      <w:r w:rsidRPr="0041664D">
        <w:rPr>
          <w:rFonts w:ascii="楷体" w:eastAsia="楷体" w:hAnsi="楷体" w:hint="eastAsia"/>
        </w:rPr>
        <w:t>对于玉米而言，基于之前的逻辑，市场更多等待新作压力的释放，考虑到现货价格已经持续回落，盘面11月与1月合约接近平水，或表明新作上市压力临近尾声，而中下游库存相对偏低，且国产玉米性价比在持续回落之后有显著提升，目前已优于小麦和陈稻，仅次于进口玉米，后期市场或逐步基于年度产需缺口而进入补库阶段，这有望带动现货止跌回升。综上所述，我们维持谨慎看多观点，建议谨慎投资者观望，激进投资者择机做多，或持有前期多单。</w:t>
      </w:r>
    </w:p>
    <w:p w:rsidR="003F56A5" w:rsidRDefault="0041664D" w:rsidP="0041664D">
      <w:pPr>
        <w:pStyle w:val="paragraph"/>
        <w:spacing w:before="60" w:beforeAutospacing="0" w:after="60" w:afterAutospacing="0"/>
        <w:ind w:leftChars="300" w:left="630"/>
        <w:rPr>
          <w:rFonts w:ascii="楷体" w:eastAsia="楷体" w:hAnsi="楷体"/>
        </w:rPr>
      </w:pPr>
      <w:r w:rsidRPr="0041664D">
        <w:rPr>
          <w:rFonts w:ascii="楷体" w:eastAsia="楷体" w:hAnsi="楷体" w:hint="eastAsia"/>
        </w:rPr>
        <w:t>对于淀粉而言，近期淀粉-玉米价差整体小幅走扩，主要源于行业供需端和副产品端相对利多，特别是副产品价格持续下跌影响相对较大，主要逻辑有二，其一是通过现货生产利润影响行业开机率，即通过供应端影响行业供需；其二是通过现货生产利润影响现货价格，继而通过基差影响盘面期价，因当前基差处于历史同期高位。在这种情况下，考虑到副产品、行业供需和现货基差三个方面因素，结合前面对玉米原料端的分析，我们倾向于后期淀粉-玉米价差有望继续走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49726788"/>
      <w:r>
        <w:rPr>
          <w:rFonts w:ascii="楷体" w:eastAsia="楷体" w:hAnsi="楷体" w:hint="eastAsia"/>
          <w:b/>
          <w:bCs/>
          <w:color w:val="000000" w:themeColor="text1"/>
        </w:rPr>
        <w:t>畜禽养殖：</w:t>
      </w:r>
      <w:r w:rsidR="0041664D" w:rsidRPr="0041664D">
        <w:rPr>
          <w:rFonts w:ascii="楷体" w:eastAsia="楷体" w:hAnsi="楷体" w:hint="eastAsia"/>
          <w:b/>
          <w:bCs/>
          <w:color w:val="000000" w:themeColor="text1"/>
        </w:rPr>
        <w:t>生猪现货有望带动期价特别是近月继续反弹</w:t>
      </w:r>
      <w:bookmarkEnd w:id="47"/>
    </w:p>
    <w:p w:rsidR="0041664D" w:rsidRPr="0041664D" w:rsidRDefault="0041664D" w:rsidP="0041664D">
      <w:pPr>
        <w:pStyle w:val="paragraph"/>
        <w:spacing w:before="60" w:after="60"/>
        <w:ind w:leftChars="300" w:left="630"/>
        <w:rPr>
          <w:rFonts w:ascii="楷体" w:eastAsia="楷体" w:hAnsi="楷体" w:hint="eastAsia"/>
        </w:rPr>
      </w:pPr>
      <w:r w:rsidRPr="0041664D">
        <w:rPr>
          <w:rFonts w:ascii="楷体" w:eastAsia="楷体" w:hAnsi="楷体" w:hint="eastAsia"/>
        </w:rPr>
        <w:t>对于生猪而言，在前期报告中我们指出，考虑到参考农业农村部的数据，下半年总体供需环比上半年趋于改善，下半年现货价格波动区间较</w:t>
      </w:r>
      <w:r w:rsidRPr="0041664D">
        <w:rPr>
          <w:rFonts w:ascii="楷体" w:eastAsia="楷体" w:hAnsi="楷体" w:hint="eastAsia"/>
        </w:rPr>
        <w:lastRenderedPageBreak/>
        <w:t>上半年有望抬高。当然，7月底现货价格反弹之后，由于市场整体供应依然充足，其上方空间亦有限。接下来期价波动或更多取决于节奏，节奏主要是指市场通过压栏、二次育肥和冷冻库存来影响市场的供应变化，再结合需求的季节性变动，来影响期现货的波动节奏。考虑到8月以来猪价持续震荡回落，近期叠加疫情影响加速下跌，在一定程度上带动供应的消化，并抑制养殖户的压栏和二次育肥，这会缓解后面生猪供应压力，后期在季节性需求旺季的带动之下，市场供需有望逐步改善，期现货价格或出现反弹。当然，需要留意的是疫情的走向，这可以重点关注接下来的现货走势。在这种情况下，转向谨慎看多观点，建议谨慎投资者可以参与正套操作（买1月抛3月或5月合约），激进投资者可以在现货企稳后轻仓买入2401合约。</w:t>
      </w:r>
    </w:p>
    <w:p w:rsidR="003F56A5" w:rsidRDefault="0041664D" w:rsidP="0041664D">
      <w:pPr>
        <w:pStyle w:val="paragraph"/>
        <w:spacing w:before="60" w:beforeAutospacing="0" w:after="60" w:afterAutospacing="0"/>
        <w:ind w:leftChars="300" w:left="630"/>
        <w:rPr>
          <w:rFonts w:ascii="楷体" w:eastAsia="楷体" w:hAnsi="楷体"/>
        </w:rPr>
      </w:pPr>
      <w:r w:rsidRPr="0041664D">
        <w:rPr>
          <w:rFonts w:ascii="楷体" w:eastAsia="楷体" w:hAnsi="楷体" w:hint="eastAsia"/>
        </w:rPr>
        <w:t>对于鸡蛋而言，9月期间期价特别是近月表现强于市场之前预期，主要源于今年现货季节性高点出现时间晚于往年，这使得市场担心前期悲观预期可能落空，甚至出现类似于去年10月现货再创新高的情况。但在我们看来，9月上半月现货表现强于预期或更多源于两个方面的原因，其一是今年春节后现货相对高位，鸡蛋进入冷库形成库存量相对较低，其二是市场对后期价格悲观，渠道库存偏低。而从供需角度看，卓创资讯数据显示，在产蛋鸡存栏连续三个月环比增加，考虑到今年节后以来蛋鸡苗销量均同比增加，而蛋鸡淘汰量持续处于历史低位水平，蛋鸡淘汰日龄则持续位于历史同期高位，由此可以看出，后期鸡蛋供需有望趋于改善。考虑到近期现货下跌幅度符合季节性回落预期，后期需要担心叠加春节后补栏带来的供应增量，现货表现或弱于预期，在这种情况下，我们维持谨慎看空观点</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49726789"/>
      <w:r>
        <w:rPr>
          <w:rFonts w:ascii="楷体" w:eastAsia="楷体" w:hAnsi="楷体" w:hint="eastAsia"/>
          <w:b/>
          <w:sz w:val="24"/>
          <w:szCs w:val="24"/>
        </w:rPr>
        <w:t>郑棉：</w:t>
      </w:r>
      <w:r w:rsidR="0041664D" w:rsidRPr="0041664D">
        <w:rPr>
          <w:rFonts w:ascii="楷体" w:eastAsia="楷体" w:hAnsi="楷体" w:hint="eastAsia"/>
          <w:b/>
          <w:sz w:val="24"/>
          <w:szCs w:val="24"/>
        </w:rPr>
        <w:t>震荡偏弱，轻空或观望</w:t>
      </w:r>
      <w:bookmarkEnd w:id="48"/>
    </w:p>
    <w:p w:rsidR="003F56A5" w:rsidRDefault="0041664D" w:rsidP="007B3290">
      <w:pPr>
        <w:ind w:leftChars="300" w:left="630"/>
        <w:rPr>
          <w:rFonts w:ascii="楷体" w:eastAsia="楷体" w:hAnsi="楷体"/>
          <w:sz w:val="24"/>
          <w:szCs w:val="24"/>
        </w:rPr>
      </w:pPr>
      <w:r w:rsidRPr="0041664D">
        <w:rPr>
          <w:rFonts w:ascii="楷体" w:eastAsia="楷体" w:hAnsi="楷体" w:hint="eastAsia"/>
          <w:sz w:val="24"/>
          <w:szCs w:val="24"/>
        </w:rPr>
        <w:t>据美国农业部统计，至10月29日，全美吐絮率93%，同比落后2个百分点，较近五年平均水平落后2个百分点。全美采摘进度49%，较去年同期落后5个百分点，较近五年平均水平领先2个百分点。全美棉株整体优良率29%，较前一周持平，较去年同期下降1个百分点。85美分/磅处阻力较强，期棉首次冲击未果，大幅回落。美棉走弱，国内抛储本周底价较低，成交率回暖。相关部门发布收储意向征询，因仅为征询，对棉价支撑力度不强。郑棉在1.6万关口徘徊数日后，反弹力度极弱，且缺乏强有力的利多消息刺激，空头再度大举增仓超3万手，彻底失守1.6万关口，再创阶段新低。但成本倒挂和高基差情况下仓单数量同比锐减半数以上，后期或形成先抑后扬的价格走势</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49" w:name="_Toc149726790"/>
      <w:r>
        <w:rPr>
          <w:rFonts w:ascii="楷体" w:eastAsia="楷体" w:hAnsi="楷体" w:hint="eastAsia"/>
          <w:b/>
          <w:sz w:val="24"/>
          <w:szCs w:val="24"/>
        </w:rPr>
        <w:t>白糖：</w:t>
      </w:r>
      <w:r w:rsidR="0041664D" w:rsidRPr="0041664D">
        <w:rPr>
          <w:rFonts w:ascii="楷体" w:eastAsia="楷体" w:hAnsi="楷体" w:hint="eastAsia"/>
          <w:b/>
          <w:sz w:val="24"/>
          <w:szCs w:val="24"/>
        </w:rPr>
        <w:t>空单持有</w:t>
      </w:r>
      <w:bookmarkEnd w:id="49"/>
    </w:p>
    <w:p w:rsidR="00296325" w:rsidRDefault="0041664D" w:rsidP="00296325">
      <w:pPr>
        <w:ind w:leftChars="300" w:left="630"/>
        <w:rPr>
          <w:rFonts w:ascii="楷体" w:eastAsia="楷体" w:hAnsi="楷体"/>
          <w:sz w:val="24"/>
          <w:szCs w:val="24"/>
        </w:rPr>
      </w:pPr>
      <w:r w:rsidRPr="0041664D">
        <w:rPr>
          <w:rFonts w:ascii="楷体" w:eastAsia="楷体" w:hAnsi="楷体" w:hint="eastAsia"/>
          <w:sz w:val="24"/>
          <w:szCs w:val="24"/>
        </w:rPr>
        <w:t>巴西甘蔗行业协会( Unica ）周三公布的数据显示，巴西中南部地区10月上半月的糖产量同比增长22%，达到225万吨。Unica 在一份报告中称，10月上半月甘蔗压榨量为3277万吨，较上年同期增长17.6%。但巴西主要港口的拥堵使其对国际的输出受限。此外，厄尔尼诺天气影响下，市场对新季白糖的供应依然感到担忧，ICE原糖上涨。主要产糖大国印度的乙醇燃料计划使其甘蔗使用量大增，另新季减产概率较大。泰国的产糖前景也</w:t>
      </w:r>
      <w:r w:rsidRPr="0041664D">
        <w:rPr>
          <w:rFonts w:ascii="楷体" w:eastAsia="楷体" w:hAnsi="楷体" w:hint="eastAsia"/>
          <w:sz w:val="24"/>
          <w:szCs w:val="24"/>
        </w:rPr>
        <w:lastRenderedPageBreak/>
        <w:t>不乐观。对于国内糖价来说，传闻10月交割的原糖大部分将运往中国，新榨季也已开始，供应紧张局面短期内有所缓解。不过，国家统计局10月19日公布的数据显示，中国9月成品糖产量为26.2万吨，同比下滑31.1%。产量能否达到预期仍有待观察。2401主力合约预计区间6700-6900震荡</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152664" w:rsidRDefault="00152664" w:rsidP="00152664">
      <w:pPr>
        <w:pBdr>
          <w:top w:val="single" w:sz="4" w:space="0" w:color="auto"/>
        </w:pBdr>
        <w:outlineLvl w:val="0"/>
        <w:rPr>
          <w:rFonts w:ascii="Times New Roman" w:eastAsia="楷体" w:hAnsi="Times New Roman"/>
          <w:b/>
          <w:color w:val="823C0B"/>
        </w:rPr>
      </w:pPr>
      <w:bookmarkStart w:id="50" w:name="_Toc149726791"/>
      <w:r>
        <w:rPr>
          <w:rFonts w:ascii="Times New Roman" w:eastAsia="楷体" w:hAnsi="Times New Roman" w:hint="eastAsia"/>
          <w:b/>
          <w:color w:val="823C0B"/>
          <w:sz w:val="30"/>
          <w:szCs w:val="30"/>
        </w:rPr>
        <w:t>[</w:t>
      </w:r>
      <w:r w:rsidRPr="00152664">
        <w:rPr>
          <w:rFonts w:ascii="Times New Roman" w:eastAsia="楷体" w:hAnsi="Times New Roman" w:hint="eastAsia"/>
          <w:b/>
          <w:color w:val="823C0B"/>
          <w:sz w:val="30"/>
          <w:szCs w:val="30"/>
        </w:rPr>
        <w:t>指数</w:t>
      </w:r>
      <w:r>
        <w:rPr>
          <w:rFonts w:ascii="Times New Roman" w:eastAsia="楷体" w:hAnsi="Times New Roman" w:hint="eastAsia"/>
          <w:b/>
          <w:color w:val="823C0B"/>
          <w:sz w:val="30"/>
          <w:szCs w:val="30"/>
        </w:rPr>
        <w:t>]</w:t>
      </w:r>
      <w:bookmarkEnd w:id="50"/>
    </w:p>
    <w:p w:rsidR="00152664" w:rsidRDefault="00152664" w:rsidP="00152664">
      <w:pPr>
        <w:ind w:leftChars="200" w:left="420"/>
        <w:outlineLvl w:val="1"/>
        <w:rPr>
          <w:rFonts w:ascii="Times New Roman" w:eastAsia="楷体" w:hAnsi="Times New Roman"/>
          <w:b/>
          <w:color w:val="000000" w:themeColor="text1"/>
          <w:sz w:val="24"/>
          <w:szCs w:val="24"/>
        </w:rPr>
      </w:pPr>
      <w:bookmarkStart w:id="51" w:name="_Toc149726792"/>
      <w:r w:rsidRPr="00152664">
        <w:rPr>
          <w:rFonts w:ascii="Times New Roman" w:eastAsia="楷体" w:hAnsi="Times New Roman" w:hint="eastAsia"/>
          <w:b/>
          <w:color w:val="000000" w:themeColor="text1"/>
          <w:sz w:val="24"/>
          <w:szCs w:val="24"/>
        </w:rPr>
        <w:t>集运指数（欧线）</w:t>
      </w:r>
      <w:r>
        <w:rPr>
          <w:rFonts w:ascii="Times New Roman" w:eastAsia="楷体" w:hAnsi="Times New Roman" w:hint="eastAsia"/>
          <w:b/>
          <w:color w:val="000000" w:themeColor="text1"/>
          <w:sz w:val="24"/>
          <w:szCs w:val="24"/>
        </w:rPr>
        <w:t>：</w:t>
      </w:r>
      <w:r w:rsidR="0041664D" w:rsidRPr="0041664D">
        <w:rPr>
          <w:rFonts w:ascii="Times New Roman" w:eastAsia="楷体" w:hAnsi="Times New Roman" w:hint="eastAsia"/>
          <w:b/>
          <w:color w:val="000000" w:themeColor="text1"/>
          <w:sz w:val="24"/>
          <w:szCs w:val="24"/>
        </w:rPr>
        <w:t>涨价计划兑现即期运价上涨，远期价格反弹受压</w:t>
      </w:r>
      <w:bookmarkEnd w:id="51"/>
    </w:p>
    <w:p w:rsidR="0041664D" w:rsidRPr="0041664D" w:rsidRDefault="0041664D" w:rsidP="0041664D">
      <w:pPr>
        <w:ind w:leftChars="300" w:left="630"/>
        <w:rPr>
          <w:rFonts w:ascii="Times New Roman" w:eastAsia="楷体" w:hAnsi="Times New Roman" w:hint="eastAsia"/>
          <w:color w:val="000000" w:themeColor="text1"/>
          <w:sz w:val="24"/>
          <w:szCs w:val="24"/>
        </w:rPr>
      </w:pPr>
      <w:r w:rsidRPr="0041664D">
        <w:rPr>
          <w:rFonts w:ascii="Times New Roman" w:eastAsia="楷体" w:hAnsi="Times New Roman" w:hint="eastAsia"/>
          <w:color w:val="000000" w:themeColor="text1"/>
          <w:sz w:val="24"/>
          <w:szCs w:val="24"/>
        </w:rPr>
        <w:t>供应端，亚洲至欧洲航线上，集装箱航运市场步入传统淡季，船公司持续通过取消航次、暂缓航线恢复、跳港等方式减控运力，并且通过上调运费以支撑即将陆续签署的长协价格，因此本周即期价格有所反弹。但一系列行动是具有较明显的周期性，且未来持续性有待观察。外需方面，欧洲</w:t>
      </w:r>
      <w:r w:rsidRPr="0041664D">
        <w:rPr>
          <w:rFonts w:ascii="Times New Roman" w:eastAsia="楷体" w:hAnsi="Times New Roman" w:hint="eastAsia"/>
          <w:color w:val="000000" w:themeColor="text1"/>
          <w:sz w:val="24"/>
          <w:szCs w:val="24"/>
        </w:rPr>
        <w:t>10</w:t>
      </w:r>
      <w:r w:rsidRPr="0041664D">
        <w:rPr>
          <w:rFonts w:ascii="Times New Roman" w:eastAsia="楷体" w:hAnsi="Times New Roman" w:hint="eastAsia"/>
          <w:color w:val="000000" w:themeColor="text1"/>
          <w:sz w:val="24"/>
          <w:szCs w:val="24"/>
        </w:rPr>
        <w:t>月制造业</w:t>
      </w:r>
      <w:r w:rsidRPr="0041664D">
        <w:rPr>
          <w:rFonts w:ascii="Times New Roman" w:eastAsia="楷体" w:hAnsi="Times New Roman" w:hint="eastAsia"/>
          <w:color w:val="000000" w:themeColor="text1"/>
          <w:sz w:val="24"/>
          <w:szCs w:val="24"/>
        </w:rPr>
        <w:t>PMI</w:t>
      </w:r>
      <w:r w:rsidRPr="0041664D">
        <w:rPr>
          <w:rFonts w:ascii="Times New Roman" w:eastAsia="楷体" w:hAnsi="Times New Roman" w:hint="eastAsia"/>
          <w:color w:val="000000" w:themeColor="text1"/>
          <w:sz w:val="24"/>
          <w:szCs w:val="24"/>
        </w:rPr>
        <w:t>数据为</w:t>
      </w:r>
      <w:r w:rsidRPr="0041664D">
        <w:rPr>
          <w:rFonts w:ascii="Times New Roman" w:eastAsia="楷体" w:hAnsi="Times New Roman" w:hint="eastAsia"/>
          <w:color w:val="000000" w:themeColor="text1"/>
          <w:sz w:val="24"/>
          <w:szCs w:val="24"/>
        </w:rPr>
        <w:t>43</w:t>
      </w:r>
      <w:r w:rsidRPr="0041664D">
        <w:rPr>
          <w:rFonts w:ascii="Times New Roman" w:eastAsia="楷体" w:hAnsi="Times New Roman" w:hint="eastAsia"/>
          <w:color w:val="000000" w:themeColor="text1"/>
          <w:sz w:val="24"/>
          <w:szCs w:val="24"/>
        </w:rPr>
        <w:t>，低于预期，并连续</w:t>
      </w:r>
      <w:r w:rsidRPr="0041664D">
        <w:rPr>
          <w:rFonts w:ascii="Times New Roman" w:eastAsia="楷体" w:hAnsi="Times New Roman" w:hint="eastAsia"/>
          <w:color w:val="000000" w:themeColor="text1"/>
          <w:sz w:val="24"/>
          <w:szCs w:val="24"/>
        </w:rPr>
        <w:t>16</w:t>
      </w:r>
      <w:r w:rsidRPr="0041664D">
        <w:rPr>
          <w:rFonts w:ascii="Times New Roman" w:eastAsia="楷体" w:hAnsi="Times New Roman" w:hint="eastAsia"/>
          <w:color w:val="000000" w:themeColor="text1"/>
          <w:sz w:val="24"/>
          <w:szCs w:val="24"/>
        </w:rPr>
        <w:t>个月处于荣枯线以下，欧洲经济疲软将延续，从而对欧洲需求产生抑制，四季度欧洲需求难以出现改善。</w:t>
      </w:r>
    </w:p>
    <w:p w:rsidR="00152664" w:rsidRDefault="0041664D" w:rsidP="0041664D">
      <w:pPr>
        <w:ind w:leftChars="300" w:left="630"/>
        <w:rPr>
          <w:rFonts w:ascii="Times New Roman" w:eastAsia="楷体" w:hAnsi="Times New Roman"/>
          <w:color w:val="000000" w:themeColor="text1"/>
          <w:sz w:val="24"/>
          <w:szCs w:val="24"/>
        </w:rPr>
      </w:pPr>
      <w:r w:rsidRPr="0041664D">
        <w:rPr>
          <w:rFonts w:ascii="Times New Roman" w:eastAsia="楷体" w:hAnsi="Times New Roman" w:hint="eastAsia"/>
          <w:color w:val="000000" w:themeColor="text1"/>
          <w:sz w:val="24"/>
          <w:szCs w:val="24"/>
        </w:rPr>
        <w:t>本周由于挺价计划开始兑现，但反弹持续性存疑，叠加长期格局依然供强需弱，因此远期价格并未出现太大突破。主力合约</w:t>
      </w:r>
      <w:r w:rsidRPr="0041664D">
        <w:rPr>
          <w:rFonts w:ascii="Times New Roman" w:eastAsia="楷体" w:hAnsi="Times New Roman" w:hint="eastAsia"/>
          <w:color w:val="000000" w:themeColor="text1"/>
          <w:sz w:val="24"/>
          <w:szCs w:val="24"/>
        </w:rPr>
        <w:t>2404</w:t>
      </w:r>
      <w:r w:rsidRPr="0041664D">
        <w:rPr>
          <w:rFonts w:ascii="Times New Roman" w:eastAsia="楷体" w:hAnsi="Times New Roman" w:hint="eastAsia"/>
          <w:color w:val="000000" w:themeColor="text1"/>
          <w:sz w:val="24"/>
          <w:szCs w:val="24"/>
        </w:rPr>
        <w:t>在上方</w:t>
      </w:r>
      <w:r w:rsidRPr="0041664D">
        <w:rPr>
          <w:rFonts w:ascii="Times New Roman" w:eastAsia="楷体" w:hAnsi="Times New Roman" w:hint="eastAsia"/>
          <w:color w:val="000000" w:themeColor="text1"/>
          <w:sz w:val="24"/>
          <w:szCs w:val="24"/>
        </w:rPr>
        <w:t>800</w:t>
      </w:r>
      <w:r w:rsidRPr="0041664D">
        <w:rPr>
          <w:rFonts w:ascii="Times New Roman" w:eastAsia="楷体" w:hAnsi="Times New Roman" w:hint="eastAsia"/>
          <w:color w:val="000000" w:themeColor="text1"/>
          <w:sz w:val="24"/>
          <w:szCs w:val="24"/>
        </w:rPr>
        <w:t>一线受阻回落，预计维持宽幅震荡。未来建议操作上以区间交易为主</w:t>
      </w:r>
      <w:r w:rsidR="00152664">
        <w:rPr>
          <w:rFonts w:ascii="Times New Roman" w:eastAsia="楷体" w:hAnsi="Times New Roman" w:hint="eastAsia"/>
          <w:color w:val="000000" w:themeColor="text1"/>
          <w:sz w:val="24"/>
          <w:szCs w:val="24"/>
        </w:rPr>
        <w:t>。</w:t>
      </w: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2" w:name="_Toc71212556"/>
      <w:bookmarkStart w:id="53" w:name="_Toc19667"/>
      <w:bookmarkStart w:id="54" w:name="_Toc98426751"/>
      <w:bookmarkStart w:id="55" w:name="_Toc12779"/>
      <w:bookmarkStart w:id="56" w:name="_Toc72481108"/>
      <w:r>
        <w:rPr>
          <w:rFonts w:ascii="Times New Roman" w:eastAsia="楷体" w:hAnsi="Times New Roman"/>
          <w:b/>
          <w:color w:val="411D05"/>
          <w:sz w:val="30"/>
          <w:szCs w:val="30"/>
        </w:rPr>
        <w:lastRenderedPageBreak/>
        <w:t>免责声明</w:t>
      </w:r>
      <w:bookmarkEnd w:id="52"/>
      <w:bookmarkEnd w:id="53"/>
      <w:bookmarkEnd w:id="54"/>
      <w:bookmarkEnd w:id="55"/>
      <w:bookmarkEnd w:id="56"/>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877" w:rsidRDefault="006F5877">
      <w:r>
        <w:separator/>
      </w:r>
    </w:p>
  </w:endnote>
  <w:endnote w:type="continuationSeparator" w:id="0">
    <w:p w:rsidR="006F5877" w:rsidRDefault="006F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0AFF" w:usb1="40007843" w:usb2="00000001" w:usb3="00000000" w:csb0="400001BF" w:csb1="DFF7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31A000F0" wp14:editId="6250B514">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DF5606">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DF5606">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877" w:rsidRDefault="006F5877">
      <w:r>
        <w:separator/>
      </w:r>
    </w:p>
  </w:footnote>
  <w:footnote w:type="continuationSeparator" w:id="0">
    <w:p w:rsidR="006F5877" w:rsidRDefault="006F58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670224E0" wp14:editId="584D897A">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4D3F9B74" wp14:editId="1C3B8D28">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41664D">
      <w:rPr>
        <w:rFonts w:ascii="Times New Roman" w:eastAsia="楷体" w:hAnsi="Times New Roman" w:hint="eastAsia"/>
        <w:b/>
        <w:bCs/>
        <w:noProof/>
        <w:color w:val="833C0B"/>
        <w:sz w:val="21"/>
      </w:rPr>
      <w:t>2023</w:t>
    </w:r>
    <w:r w:rsidR="0041664D">
      <w:rPr>
        <w:rFonts w:ascii="Times New Roman" w:eastAsia="楷体" w:hAnsi="Times New Roman" w:hint="eastAsia"/>
        <w:b/>
        <w:bCs/>
        <w:noProof/>
        <w:color w:val="833C0B"/>
        <w:sz w:val="21"/>
      </w:rPr>
      <w:t>年</w:t>
    </w:r>
    <w:r w:rsidR="0041664D">
      <w:rPr>
        <w:rFonts w:ascii="Times New Roman" w:eastAsia="楷体" w:hAnsi="Times New Roman" w:hint="eastAsia"/>
        <w:b/>
        <w:bCs/>
        <w:noProof/>
        <w:color w:val="833C0B"/>
        <w:sz w:val="21"/>
      </w:rPr>
      <w:t>11</w:t>
    </w:r>
    <w:r w:rsidR="0041664D">
      <w:rPr>
        <w:rFonts w:ascii="Times New Roman" w:eastAsia="楷体" w:hAnsi="Times New Roman" w:hint="eastAsia"/>
        <w:b/>
        <w:bCs/>
        <w:noProof/>
        <w:color w:val="833C0B"/>
        <w:sz w:val="21"/>
      </w:rPr>
      <w:t>月</w:t>
    </w:r>
    <w:r w:rsidR="0041664D">
      <w:rPr>
        <w:rFonts w:ascii="Times New Roman" w:eastAsia="楷体" w:hAnsi="Times New Roman" w:hint="eastAsia"/>
        <w:b/>
        <w:bCs/>
        <w:noProof/>
        <w:color w:val="833C0B"/>
        <w:sz w:val="21"/>
      </w:rPr>
      <w:t>1</w:t>
    </w:r>
    <w:r w:rsidR="0041664D">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24C21"/>
    <w:rsid w:val="00032A7A"/>
    <w:rsid w:val="00035EB2"/>
    <w:rsid w:val="000417D7"/>
    <w:rsid w:val="00050B6C"/>
    <w:rsid w:val="0005286B"/>
    <w:rsid w:val="0005726F"/>
    <w:rsid w:val="00057E99"/>
    <w:rsid w:val="00060F08"/>
    <w:rsid w:val="00072EAA"/>
    <w:rsid w:val="00073CEF"/>
    <w:rsid w:val="00076420"/>
    <w:rsid w:val="000820C6"/>
    <w:rsid w:val="00093E40"/>
    <w:rsid w:val="00094BAE"/>
    <w:rsid w:val="00096258"/>
    <w:rsid w:val="000A390A"/>
    <w:rsid w:val="000A413E"/>
    <w:rsid w:val="000B0648"/>
    <w:rsid w:val="000B4E70"/>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2664"/>
    <w:rsid w:val="001529BB"/>
    <w:rsid w:val="00155A0F"/>
    <w:rsid w:val="00156FEB"/>
    <w:rsid w:val="001579F3"/>
    <w:rsid w:val="00163984"/>
    <w:rsid w:val="00170E7B"/>
    <w:rsid w:val="00170EDF"/>
    <w:rsid w:val="001801C4"/>
    <w:rsid w:val="0018678E"/>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54F5"/>
    <w:rsid w:val="003C5F91"/>
    <w:rsid w:val="003D3A9E"/>
    <w:rsid w:val="003F2424"/>
    <w:rsid w:val="003F56A5"/>
    <w:rsid w:val="00404AFE"/>
    <w:rsid w:val="004123EF"/>
    <w:rsid w:val="0041664D"/>
    <w:rsid w:val="004177A8"/>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D4D"/>
    <w:rsid w:val="004C11A7"/>
    <w:rsid w:val="004C4541"/>
    <w:rsid w:val="004C5F3F"/>
    <w:rsid w:val="004D0484"/>
    <w:rsid w:val="004D1AE5"/>
    <w:rsid w:val="004D6F74"/>
    <w:rsid w:val="004E269E"/>
    <w:rsid w:val="004E2959"/>
    <w:rsid w:val="004E3A10"/>
    <w:rsid w:val="004E58A5"/>
    <w:rsid w:val="004E6093"/>
    <w:rsid w:val="004E6F41"/>
    <w:rsid w:val="004F2492"/>
    <w:rsid w:val="005145ED"/>
    <w:rsid w:val="00521683"/>
    <w:rsid w:val="005245A4"/>
    <w:rsid w:val="00526949"/>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9697A"/>
    <w:rsid w:val="005A5EEB"/>
    <w:rsid w:val="005B5BDF"/>
    <w:rsid w:val="005B790A"/>
    <w:rsid w:val="005C05F7"/>
    <w:rsid w:val="005C05FA"/>
    <w:rsid w:val="005C49BA"/>
    <w:rsid w:val="005C5B1D"/>
    <w:rsid w:val="005E1CE0"/>
    <w:rsid w:val="005E6164"/>
    <w:rsid w:val="005F28F8"/>
    <w:rsid w:val="005F2CE6"/>
    <w:rsid w:val="005F45A8"/>
    <w:rsid w:val="005F5D8E"/>
    <w:rsid w:val="00605CB4"/>
    <w:rsid w:val="00606E2B"/>
    <w:rsid w:val="00610C41"/>
    <w:rsid w:val="00612D79"/>
    <w:rsid w:val="0061390B"/>
    <w:rsid w:val="00615F78"/>
    <w:rsid w:val="00622C65"/>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5877"/>
    <w:rsid w:val="006F6553"/>
    <w:rsid w:val="007029E1"/>
    <w:rsid w:val="00702D65"/>
    <w:rsid w:val="00710028"/>
    <w:rsid w:val="007103A5"/>
    <w:rsid w:val="007111CD"/>
    <w:rsid w:val="0072164F"/>
    <w:rsid w:val="007253E7"/>
    <w:rsid w:val="0072736C"/>
    <w:rsid w:val="007315D8"/>
    <w:rsid w:val="00740BD1"/>
    <w:rsid w:val="00743CFD"/>
    <w:rsid w:val="007664C1"/>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C1DB9"/>
    <w:rsid w:val="007C2FD2"/>
    <w:rsid w:val="007C6F18"/>
    <w:rsid w:val="007C7B84"/>
    <w:rsid w:val="007D29EC"/>
    <w:rsid w:val="007D4BBD"/>
    <w:rsid w:val="007D67CC"/>
    <w:rsid w:val="007E1660"/>
    <w:rsid w:val="007E1FC2"/>
    <w:rsid w:val="007F09BE"/>
    <w:rsid w:val="007F1327"/>
    <w:rsid w:val="007F140C"/>
    <w:rsid w:val="007F186E"/>
    <w:rsid w:val="007F197B"/>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288D"/>
    <w:rsid w:val="0083605E"/>
    <w:rsid w:val="00840F4E"/>
    <w:rsid w:val="008463FD"/>
    <w:rsid w:val="00853880"/>
    <w:rsid w:val="00856132"/>
    <w:rsid w:val="00861497"/>
    <w:rsid w:val="008649BB"/>
    <w:rsid w:val="008655EA"/>
    <w:rsid w:val="00867CA5"/>
    <w:rsid w:val="00873ECE"/>
    <w:rsid w:val="008740D4"/>
    <w:rsid w:val="00874708"/>
    <w:rsid w:val="00875F9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5993"/>
    <w:rsid w:val="009E7578"/>
    <w:rsid w:val="009E75B7"/>
    <w:rsid w:val="009F5C7B"/>
    <w:rsid w:val="00A031CE"/>
    <w:rsid w:val="00A04421"/>
    <w:rsid w:val="00A11A0D"/>
    <w:rsid w:val="00A22080"/>
    <w:rsid w:val="00A223D3"/>
    <w:rsid w:val="00A32D1B"/>
    <w:rsid w:val="00A42079"/>
    <w:rsid w:val="00A531E8"/>
    <w:rsid w:val="00A573ED"/>
    <w:rsid w:val="00A60F08"/>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23F73"/>
    <w:rsid w:val="00B33C93"/>
    <w:rsid w:val="00B42124"/>
    <w:rsid w:val="00B443CE"/>
    <w:rsid w:val="00B4555A"/>
    <w:rsid w:val="00B51CAF"/>
    <w:rsid w:val="00B53C56"/>
    <w:rsid w:val="00B60464"/>
    <w:rsid w:val="00B606EF"/>
    <w:rsid w:val="00B618F8"/>
    <w:rsid w:val="00B64133"/>
    <w:rsid w:val="00B72E2D"/>
    <w:rsid w:val="00B745CB"/>
    <w:rsid w:val="00B805BD"/>
    <w:rsid w:val="00B80E26"/>
    <w:rsid w:val="00B81DA7"/>
    <w:rsid w:val="00B873E2"/>
    <w:rsid w:val="00B91D3D"/>
    <w:rsid w:val="00B94E7D"/>
    <w:rsid w:val="00B97F08"/>
    <w:rsid w:val="00BA4663"/>
    <w:rsid w:val="00BA696B"/>
    <w:rsid w:val="00BA7212"/>
    <w:rsid w:val="00BC5F45"/>
    <w:rsid w:val="00BC71D6"/>
    <w:rsid w:val="00BD4C85"/>
    <w:rsid w:val="00BE1EFD"/>
    <w:rsid w:val="00BE456E"/>
    <w:rsid w:val="00BF3137"/>
    <w:rsid w:val="00BF4417"/>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6C71"/>
    <w:rsid w:val="00CF7A9A"/>
    <w:rsid w:val="00D00D60"/>
    <w:rsid w:val="00D017E5"/>
    <w:rsid w:val="00D01A19"/>
    <w:rsid w:val="00D04FF1"/>
    <w:rsid w:val="00D1367C"/>
    <w:rsid w:val="00D14B3E"/>
    <w:rsid w:val="00D1582A"/>
    <w:rsid w:val="00D17FB1"/>
    <w:rsid w:val="00D21BE4"/>
    <w:rsid w:val="00D25C5A"/>
    <w:rsid w:val="00D309C4"/>
    <w:rsid w:val="00D32D2F"/>
    <w:rsid w:val="00D341CA"/>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1A98"/>
    <w:rsid w:val="00DB4E25"/>
    <w:rsid w:val="00DB6FBE"/>
    <w:rsid w:val="00DC47C0"/>
    <w:rsid w:val="00DC6C77"/>
    <w:rsid w:val="00DD145E"/>
    <w:rsid w:val="00DD1480"/>
    <w:rsid w:val="00DD29E1"/>
    <w:rsid w:val="00DD334E"/>
    <w:rsid w:val="00DE02C4"/>
    <w:rsid w:val="00DF164D"/>
    <w:rsid w:val="00DF1796"/>
    <w:rsid w:val="00DF270D"/>
    <w:rsid w:val="00DF3137"/>
    <w:rsid w:val="00DF3B28"/>
    <w:rsid w:val="00DF5606"/>
    <w:rsid w:val="00DF56EC"/>
    <w:rsid w:val="00E020F2"/>
    <w:rsid w:val="00E12059"/>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90537"/>
    <w:rsid w:val="00F91733"/>
    <w:rsid w:val="00F920DB"/>
    <w:rsid w:val="00F95209"/>
    <w:rsid w:val="00F964AD"/>
    <w:rsid w:val="00FB3956"/>
    <w:rsid w:val="00FC0F8B"/>
    <w:rsid w:val="00FC24AF"/>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69AD77-06A4-427E-BAC1-A71B7B05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4420</TotalTime>
  <Pages>10</Pages>
  <Words>1644</Words>
  <Characters>9377</Characters>
  <Application>Microsoft Office Word</Application>
  <DocSecurity>0</DocSecurity>
  <Lines>78</Lines>
  <Paragraphs>21</Paragraphs>
  <ScaleCrop>false</ScaleCrop>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123</cp:revision>
  <cp:lastPrinted>2023-06-08T02:23:00Z</cp:lastPrinted>
  <dcterms:created xsi:type="dcterms:W3CDTF">2022-11-15T10:06:00Z</dcterms:created>
  <dcterms:modified xsi:type="dcterms:W3CDTF">2023-11-01T02:25:00Z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