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Pr="00152664" w:rsidRDefault="00CC3FFA" w:rsidP="00152664">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1529BB"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1529BB" w:rsidRPr="00947D25">
            <w:rPr>
              <w:rStyle w:val="a9"/>
              <w:noProof/>
            </w:rPr>
            <w:fldChar w:fldCharType="begin"/>
          </w:r>
          <w:r w:rsidR="001529BB" w:rsidRPr="00947D25">
            <w:rPr>
              <w:rStyle w:val="a9"/>
              <w:noProof/>
            </w:rPr>
            <w:instrText xml:space="preserve"> </w:instrText>
          </w:r>
          <w:r w:rsidR="001529BB">
            <w:rPr>
              <w:noProof/>
            </w:rPr>
            <w:instrText>HYPERLINK \l "_Toc149568180"</w:instrText>
          </w:r>
          <w:r w:rsidR="001529BB" w:rsidRPr="00947D25">
            <w:rPr>
              <w:rStyle w:val="a9"/>
              <w:noProof/>
            </w:rPr>
            <w:instrText xml:space="preserve"> </w:instrText>
          </w:r>
          <w:r w:rsidR="001529BB" w:rsidRPr="00947D25">
            <w:rPr>
              <w:rStyle w:val="a9"/>
              <w:noProof/>
            </w:rPr>
          </w:r>
          <w:r w:rsidR="001529BB" w:rsidRPr="00947D25">
            <w:rPr>
              <w:rStyle w:val="a9"/>
              <w:noProof/>
            </w:rPr>
            <w:fldChar w:fldCharType="separate"/>
          </w:r>
          <w:r w:rsidR="001529BB" w:rsidRPr="00947D25">
            <w:rPr>
              <w:rStyle w:val="a9"/>
              <w:rFonts w:ascii="Times New Roman" w:eastAsia="楷体" w:hAnsi="Times New Roman"/>
              <w:b/>
              <w:noProof/>
            </w:rPr>
            <w:t>[</w:t>
          </w:r>
          <w:r w:rsidR="001529BB" w:rsidRPr="00947D25">
            <w:rPr>
              <w:rStyle w:val="a9"/>
              <w:rFonts w:ascii="Times New Roman" w:eastAsia="楷体" w:hAnsi="Times New Roman"/>
              <w:b/>
              <w:noProof/>
            </w:rPr>
            <w:t>金融</w:t>
          </w:r>
          <w:r w:rsidR="001529BB" w:rsidRPr="00947D25">
            <w:rPr>
              <w:rStyle w:val="a9"/>
              <w:rFonts w:ascii="Times New Roman" w:eastAsia="楷体" w:hAnsi="Times New Roman"/>
              <w:b/>
              <w:noProof/>
            </w:rPr>
            <w:t>]</w:t>
          </w:r>
          <w:r w:rsidR="001529BB" w:rsidRPr="00947D25">
            <w:rPr>
              <w:rStyle w:val="a9"/>
              <w:noProof/>
            </w:rPr>
            <w:fldChar w:fldCharType="end"/>
          </w:r>
        </w:p>
        <w:p w:rsidR="001529BB" w:rsidRDefault="001529BB">
          <w:pPr>
            <w:pStyle w:val="23"/>
            <w:tabs>
              <w:tab w:val="right" w:leader="dot" w:pos="8296"/>
            </w:tabs>
            <w:rPr>
              <w:rFonts w:eastAsiaTheme="minorEastAsia"/>
              <w:noProof/>
              <w:szCs w:val="22"/>
            </w:rPr>
          </w:pPr>
          <w:hyperlink w:anchor="_Toc149568181" w:history="1">
            <w:r w:rsidRPr="00947D25">
              <w:rPr>
                <w:rStyle w:val="a9"/>
                <w:rFonts w:ascii="Times New Roman" w:eastAsia="楷体" w:hAnsi="Times New Roman"/>
                <w:b/>
                <w:noProof/>
              </w:rPr>
              <w:t>股指：分批低多思路为主</w:t>
            </w:r>
          </w:hyperlink>
        </w:p>
        <w:p w:rsidR="001529BB" w:rsidRDefault="001529BB">
          <w:pPr>
            <w:pStyle w:val="11"/>
            <w:tabs>
              <w:tab w:val="right" w:leader="dot" w:pos="8296"/>
            </w:tabs>
            <w:rPr>
              <w:rFonts w:eastAsiaTheme="minorEastAsia"/>
              <w:noProof/>
              <w:szCs w:val="22"/>
            </w:rPr>
          </w:pPr>
          <w:hyperlink w:anchor="_Toc149568182" w:history="1">
            <w:r w:rsidRPr="00947D25">
              <w:rPr>
                <w:rStyle w:val="a9"/>
                <w:rFonts w:ascii="Times New Roman" w:eastAsia="楷体" w:hAnsi="Times New Roman"/>
                <w:b/>
                <w:noProof/>
              </w:rPr>
              <w:t>[</w:t>
            </w:r>
            <w:r w:rsidRPr="00947D25">
              <w:rPr>
                <w:rStyle w:val="a9"/>
                <w:rFonts w:ascii="Times New Roman" w:eastAsia="楷体" w:hAnsi="Times New Roman"/>
                <w:b/>
                <w:noProof/>
              </w:rPr>
              <w:t>贵金属</w:t>
            </w:r>
            <w:r w:rsidRPr="00947D25">
              <w:rPr>
                <w:rStyle w:val="a9"/>
                <w:rFonts w:ascii="Times New Roman" w:eastAsia="楷体" w:hAnsi="Times New Roman"/>
                <w:b/>
                <w:noProof/>
              </w:rPr>
              <w:t>]</w:t>
            </w:r>
          </w:hyperlink>
        </w:p>
        <w:p w:rsidR="001529BB" w:rsidRDefault="001529BB">
          <w:pPr>
            <w:pStyle w:val="23"/>
            <w:tabs>
              <w:tab w:val="right" w:leader="dot" w:pos="8296"/>
            </w:tabs>
            <w:rPr>
              <w:rFonts w:eastAsiaTheme="minorEastAsia"/>
              <w:noProof/>
              <w:szCs w:val="22"/>
            </w:rPr>
          </w:pPr>
          <w:hyperlink w:anchor="_Toc149568183" w:history="1">
            <w:r w:rsidRPr="00947D25">
              <w:rPr>
                <w:rStyle w:val="a9"/>
                <w:rFonts w:ascii="Times New Roman" w:eastAsia="楷体" w:hAnsi="Times New Roman"/>
                <w:b/>
                <w:noProof/>
              </w:rPr>
              <w:t>贵金属：美国季度经济增速超预期，贵金属价格上涨</w:t>
            </w:r>
          </w:hyperlink>
        </w:p>
        <w:p w:rsidR="001529BB" w:rsidRDefault="001529BB">
          <w:pPr>
            <w:pStyle w:val="11"/>
            <w:tabs>
              <w:tab w:val="right" w:leader="dot" w:pos="8296"/>
            </w:tabs>
            <w:rPr>
              <w:rFonts w:eastAsiaTheme="minorEastAsia"/>
              <w:noProof/>
              <w:szCs w:val="22"/>
            </w:rPr>
          </w:pPr>
          <w:hyperlink w:anchor="_Toc149568184" w:history="1">
            <w:r w:rsidRPr="00947D25">
              <w:rPr>
                <w:rStyle w:val="a9"/>
                <w:rFonts w:ascii="Times New Roman" w:eastAsia="楷体" w:hAnsi="Times New Roman"/>
                <w:b/>
                <w:noProof/>
              </w:rPr>
              <w:t>[</w:t>
            </w:r>
            <w:r w:rsidRPr="00947D25">
              <w:rPr>
                <w:rStyle w:val="a9"/>
                <w:rFonts w:ascii="Times New Roman" w:eastAsia="楷体" w:hAnsi="Times New Roman"/>
                <w:b/>
                <w:noProof/>
              </w:rPr>
              <w:t>金属</w:t>
            </w:r>
            <w:r w:rsidRPr="00947D25">
              <w:rPr>
                <w:rStyle w:val="a9"/>
                <w:rFonts w:ascii="Times New Roman" w:eastAsia="楷体" w:hAnsi="Times New Roman"/>
                <w:b/>
                <w:noProof/>
              </w:rPr>
              <w:t>]</w:t>
            </w:r>
          </w:hyperlink>
        </w:p>
        <w:p w:rsidR="001529BB" w:rsidRDefault="001529BB">
          <w:pPr>
            <w:pStyle w:val="23"/>
            <w:tabs>
              <w:tab w:val="right" w:leader="dot" w:pos="8296"/>
            </w:tabs>
            <w:rPr>
              <w:rFonts w:eastAsiaTheme="minorEastAsia"/>
              <w:noProof/>
              <w:szCs w:val="22"/>
            </w:rPr>
          </w:pPr>
          <w:hyperlink w:anchor="_Toc149568185" w:history="1">
            <w:r w:rsidRPr="00947D25">
              <w:rPr>
                <w:rStyle w:val="a9"/>
                <w:rFonts w:ascii="楷体" w:eastAsia="楷体" w:hAnsi="楷体"/>
                <w:b/>
                <w:noProof/>
              </w:rPr>
              <w:t>碳酸锂：报告显示矿产储量增长，尾盘主力期价反弹</w:t>
            </w:r>
          </w:hyperlink>
        </w:p>
        <w:p w:rsidR="001529BB" w:rsidRDefault="001529BB">
          <w:pPr>
            <w:pStyle w:val="23"/>
            <w:tabs>
              <w:tab w:val="right" w:leader="dot" w:pos="8296"/>
            </w:tabs>
            <w:rPr>
              <w:rFonts w:eastAsiaTheme="minorEastAsia"/>
              <w:noProof/>
              <w:szCs w:val="22"/>
            </w:rPr>
          </w:pPr>
          <w:hyperlink w:anchor="_Toc149568186" w:history="1">
            <w:r w:rsidRPr="00947D25">
              <w:rPr>
                <w:rStyle w:val="a9"/>
                <w:rFonts w:ascii="楷体" w:eastAsia="楷体" w:hAnsi="楷体"/>
                <w:b/>
                <w:noProof/>
              </w:rPr>
              <w:t>螺纹钢：事件推动估值修复，预计价格震荡偏强运行</w:t>
            </w:r>
          </w:hyperlink>
        </w:p>
        <w:p w:rsidR="001529BB" w:rsidRDefault="001529BB">
          <w:pPr>
            <w:pStyle w:val="23"/>
            <w:tabs>
              <w:tab w:val="right" w:leader="dot" w:pos="8296"/>
            </w:tabs>
            <w:rPr>
              <w:rFonts w:eastAsiaTheme="minorEastAsia"/>
              <w:noProof/>
              <w:szCs w:val="22"/>
            </w:rPr>
          </w:pPr>
          <w:hyperlink w:anchor="_Toc149568187" w:history="1">
            <w:r w:rsidRPr="00947D25">
              <w:rPr>
                <w:rStyle w:val="a9"/>
                <w:rFonts w:ascii="楷体" w:eastAsia="楷体" w:hAnsi="楷体"/>
                <w:b/>
                <w:noProof/>
              </w:rPr>
              <w:t>焦炭：供需紧平衡，高位下震荡运行</w:t>
            </w:r>
          </w:hyperlink>
        </w:p>
        <w:p w:rsidR="001529BB" w:rsidRDefault="001529BB">
          <w:pPr>
            <w:pStyle w:val="23"/>
            <w:tabs>
              <w:tab w:val="right" w:leader="dot" w:pos="8296"/>
            </w:tabs>
            <w:rPr>
              <w:rFonts w:eastAsiaTheme="minorEastAsia"/>
              <w:noProof/>
              <w:szCs w:val="22"/>
            </w:rPr>
          </w:pPr>
          <w:hyperlink w:anchor="_Toc149568188" w:history="1">
            <w:r w:rsidRPr="00947D25">
              <w:rPr>
                <w:rStyle w:val="a9"/>
                <w:rFonts w:ascii="楷体" w:eastAsia="楷体" w:hAnsi="楷体"/>
                <w:b/>
                <w:noProof/>
              </w:rPr>
              <w:t>焦煤：供需紧平衡，高位下震荡运行</w:t>
            </w:r>
          </w:hyperlink>
        </w:p>
        <w:p w:rsidR="001529BB" w:rsidRDefault="001529BB">
          <w:pPr>
            <w:pStyle w:val="23"/>
            <w:tabs>
              <w:tab w:val="right" w:leader="dot" w:pos="8296"/>
            </w:tabs>
            <w:rPr>
              <w:rFonts w:eastAsiaTheme="minorEastAsia"/>
              <w:noProof/>
              <w:szCs w:val="22"/>
            </w:rPr>
          </w:pPr>
          <w:hyperlink w:anchor="_Toc149568189" w:history="1">
            <w:r w:rsidRPr="00947D25">
              <w:rPr>
                <w:rStyle w:val="a9"/>
                <w:rFonts w:ascii="楷体" w:eastAsia="楷体" w:hAnsi="楷体"/>
                <w:b/>
                <w:noProof/>
              </w:rPr>
              <w:t>铜：国内库存大幅去化，支撑铜价低位反弹</w:t>
            </w:r>
          </w:hyperlink>
        </w:p>
        <w:p w:rsidR="001529BB" w:rsidRDefault="001529BB">
          <w:pPr>
            <w:pStyle w:val="23"/>
            <w:tabs>
              <w:tab w:val="right" w:leader="dot" w:pos="8296"/>
            </w:tabs>
            <w:rPr>
              <w:rFonts w:eastAsiaTheme="minorEastAsia"/>
              <w:noProof/>
              <w:szCs w:val="22"/>
            </w:rPr>
          </w:pPr>
          <w:hyperlink w:anchor="_Toc149568190" w:history="1">
            <w:r w:rsidRPr="00947D25">
              <w:rPr>
                <w:rStyle w:val="a9"/>
                <w:rFonts w:ascii="楷体" w:eastAsia="楷体" w:hAnsi="楷体"/>
                <w:b/>
                <w:noProof/>
              </w:rPr>
              <w:t>铝：铝市价格仍有较强支撑，建议关注逢低做多机会</w:t>
            </w:r>
          </w:hyperlink>
        </w:p>
        <w:p w:rsidR="001529BB" w:rsidRDefault="001529BB">
          <w:pPr>
            <w:pStyle w:val="23"/>
            <w:tabs>
              <w:tab w:val="right" w:leader="dot" w:pos="8296"/>
            </w:tabs>
            <w:rPr>
              <w:rFonts w:eastAsiaTheme="minorEastAsia"/>
              <w:noProof/>
              <w:szCs w:val="22"/>
            </w:rPr>
          </w:pPr>
          <w:hyperlink w:anchor="_Toc149568191" w:history="1">
            <w:r w:rsidRPr="00947D25">
              <w:rPr>
                <w:rStyle w:val="a9"/>
                <w:rFonts w:ascii="楷体" w:eastAsia="楷体" w:hAnsi="楷体"/>
                <w:b/>
                <w:noProof/>
              </w:rPr>
              <w:t>锌：锌价仍有趋弱可能</w:t>
            </w:r>
          </w:hyperlink>
        </w:p>
        <w:p w:rsidR="001529BB" w:rsidRDefault="001529BB">
          <w:pPr>
            <w:pStyle w:val="23"/>
            <w:tabs>
              <w:tab w:val="right" w:leader="dot" w:pos="8296"/>
            </w:tabs>
            <w:rPr>
              <w:rFonts w:eastAsiaTheme="minorEastAsia"/>
              <w:noProof/>
              <w:szCs w:val="22"/>
            </w:rPr>
          </w:pPr>
          <w:hyperlink w:anchor="_Toc149568192" w:history="1">
            <w:r w:rsidRPr="00947D25">
              <w:rPr>
                <w:rStyle w:val="a9"/>
                <w:rFonts w:ascii="楷体" w:eastAsia="楷体" w:hAnsi="楷体"/>
                <w:b/>
                <w:noProof/>
              </w:rPr>
              <w:t>镍：供增需弱格局延续，短期震荡偏弱为主</w:t>
            </w:r>
          </w:hyperlink>
        </w:p>
        <w:p w:rsidR="001529BB" w:rsidRDefault="001529BB">
          <w:pPr>
            <w:pStyle w:val="23"/>
            <w:tabs>
              <w:tab w:val="right" w:leader="dot" w:pos="8296"/>
            </w:tabs>
            <w:rPr>
              <w:rFonts w:eastAsiaTheme="minorEastAsia"/>
              <w:noProof/>
              <w:szCs w:val="22"/>
            </w:rPr>
          </w:pPr>
          <w:hyperlink w:anchor="_Toc149568193" w:history="1">
            <w:r w:rsidRPr="00947D25">
              <w:rPr>
                <w:rStyle w:val="a9"/>
                <w:rFonts w:ascii="楷体" w:eastAsia="楷体" w:hAnsi="楷体"/>
                <w:b/>
                <w:noProof/>
              </w:rPr>
              <w:t>铅：铝价上方压力仍存</w:t>
            </w:r>
          </w:hyperlink>
        </w:p>
        <w:p w:rsidR="001529BB" w:rsidRDefault="001529BB">
          <w:pPr>
            <w:pStyle w:val="23"/>
            <w:tabs>
              <w:tab w:val="right" w:leader="dot" w:pos="8296"/>
            </w:tabs>
            <w:rPr>
              <w:rFonts w:eastAsiaTheme="minorEastAsia"/>
              <w:noProof/>
              <w:szCs w:val="22"/>
            </w:rPr>
          </w:pPr>
          <w:hyperlink w:anchor="_Toc149568194" w:history="1">
            <w:r w:rsidRPr="00947D25">
              <w:rPr>
                <w:rStyle w:val="a9"/>
                <w:rFonts w:ascii="楷体" w:eastAsia="楷体" w:hAnsi="楷体"/>
                <w:b/>
                <w:noProof/>
              </w:rPr>
              <w:t>不锈钢：产业负反馈仍持续，等待需求好转信号</w:t>
            </w:r>
          </w:hyperlink>
        </w:p>
        <w:p w:rsidR="001529BB" w:rsidRDefault="001529BB">
          <w:pPr>
            <w:pStyle w:val="23"/>
            <w:tabs>
              <w:tab w:val="right" w:leader="dot" w:pos="8296"/>
            </w:tabs>
            <w:rPr>
              <w:rFonts w:eastAsiaTheme="minorEastAsia"/>
              <w:noProof/>
              <w:szCs w:val="22"/>
            </w:rPr>
          </w:pPr>
          <w:hyperlink w:anchor="_Toc149568195" w:history="1">
            <w:r w:rsidRPr="00947D25">
              <w:rPr>
                <w:rStyle w:val="a9"/>
                <w:rFonts w:ascii="楷体" w:eastAsia="楷体" w:hAnsi="楷体"/>
                <w:b/>
                <w:noProof/>
              </w:rPr>
              <w:t>工业硅：市场情绪转弱，盘面大幅下行</w:t>
            </w:r>
          </w:hyperlink>
        </w:p>
        <w:p w:rsidR="001529BB" w:rsidRDefault="001529BB">
          <w:pPr>
            <w:pStyle w:val="11"/>
            <w:tabs>
              <w:tab w:val="right" w:leader="dot" w:pos="8296"/>
            </w:tabs>
            <w:rPr>
              <w:rFonts w:eastAsiaTheme="minorEastAsia"/>
              <w:noProof/>
              <w:szCs w:val="22"/>
            </w:rPr>
          </w:pPr>
          <w:hyperlink w:anchor="_Toc149568196" w:history="1">
            <w:r w:rsidRPr="00947D25">
              <w:rPr>
                <w:rStyle w:val="a9"/>
                <w:rFonts w:ascii="Times New Roman" w:eastAsia="楷体" w:hAnsi="Times New Roman"/>
                <w:b/>
                <w:noProof/>
              </w:rPr>
              <w:t>[</w:t>
            </w:r>
            <w:r w:rsidRPr="00947D25">
              <w:rPr>
                <w:rStyle w:val="a9"/>
                <w:rFonts w:ascii="Times New Roman" w:eastAsia="楷体" w:hAnsi="Times New Roman"/>
                <w:b/>
                <w:noProof/>
              </w:rPr>
              <w:t>化工</w:t>
            </w:r>
            <w:r w:rsidRPr="00947D25">
              <w:rPr>
                <w:rStyle w:val="a9"/>
                <w:rFonts w:ascii="Times New Roman" w:eastAsia="楷体" w:hAnsi="Times New Roman"/>
                <w:b/>
                <w:noProof/>
              </w:rPr>
              <w:t>]</w:t>
            </w:r>
          </w:hyperlink>
        </w:p>
        <w:p w:rsidR="001529BB" w:rsidRDefault="001529BB">
          <w:pPr>
            <w:pStyle w:val="23"/>
            <w:tabs>
              <w:tab w:val="right" w:leader="dot" w:pos="8296"/>
            </w:tabs>
            <w:rPr>
              <w:rFonts w:eastAsiaTheme="minorEastAsia"/>
              <w:noProof/>
              <w:szCs w:val="22"/>
            </w:rPr>
          </w:pPr>
          <w:hyperlink w:anchor="_Toc149568197" w:history="1">
            <w:r w:rsidRPr="00947D25">
              <w:rPr>
                <w:rStyle w:val="a9"/>
                <w:rFonts w:ascii="Times New Roman" w:eastAsia="楷体" w:hAnsi="Times New Roman"/>
                <w:b/>
                <w:noProof/>
              </w:rPr>
              <w:t>天然橡胶</w:t>
            </w:r>
            <w:r w:rsidRPr="00947D25">
              <w:rPr>
                <w:rStyle w:val="a9"/>
                <w:rFonts w:ascii="Times New Roman" w:eastAsia="楷体" w:hAnsi="Times New Roman"/>
                <w:b/>
                <w:noProof/>
              </w:rPr>
              <w:t>:</w:t>
            </w:r>
            <w:r w:rsidRPr="00947D25">
              <w:rPr>
                <w:rStyle w:val="a9"/>
                <w:rFonts w:ascii="楷体" w:eastAsia="楷体" w:hAnsi="楷体"/>
                <w:b/>
                <w:noProof/>
              </w:rPr>
              <w:t xml:space="preserve"> 东南亚降水缓和，天胶或偏弱震荡为主</w:t>
            </w:r>
          </w:hyperlink>
        </w:p>
        <w:p w:rsidR="001529BB" w:rsidRDefault="001529BB">
          <w:pPr>
            <w:pStyle w:val="23"/>
            <w:tabs>
              <w:tab w:val="right" w:leader="dot" w:pos="8296"/>
            </w:tabs>
            <w:rPr>
              <w:rFonts w:eastAsiaTheme="minorEastAsia"/>
              <w:noProof/>
              <w:szCs w:val="22"/>
            </w:rPr>
          </w:pPr>
          <w:hyperlink w:anchor="_Toc149568198" w:history="1">
            <w:r w:rsidRPr="00947D25">
              <w:rPr>
                <w:rStyle w:val="a9"/>
                <w:rFonts w:ascii="楷体" w:eastAsia="楷体" w:hAnsi="楷体"/>
                <w:b/>
                <w:noProof/>
              </w:rPr>
              <w:t>PTA：</w:t>
            </w:r>
            <w:r w:rsidRPr="00947D25">
              <w:rPr>
                <w:rStyle w:val="a9"/>
                <w:rFonts w:ascii="Calibri" w:eastAsia="楷体" w:hAnsi="Calibri" w:cs="Calibri"/>
                <w:b/>
                <w:noProof/>
              </w:rPr>
              <w:t>供需矛盾暂时缓解</w:t>
            </w:r>
            <w:r w:rsidRPr="00947D25">
              <w:rPr>
                <w:rStyle w:val="a9"/>
                <w:rFonts w:ascii="Calibri" w:eastAsia="楷体" w:hAnsi="Calibri" w:cs="Calibri"/>
                <w:b/>
                <w:noProof/>
              </w:rPr>
              <w:t xml:space="preserve"> </w:t>
            </w:r>
            <w:r w:rsidRPr="00947D25">
              <w:rPr>
                <w:rStyle w:val="a9"/>
                <w:rFonts w:ascii="Calibri" w:eastAsia="楷体" w:hAnsi="Calibri" w:cs="Calibri"/>
                <w:b/>
                <w:noProof/>
              </w:rPr>
              <w:t>但向上驱动仍不足</w:t>
            </w:r>
          </w:hyperlink>
        </w:p>
        <w:p w:rsidR="001529BB" w:rsidRDefault="001529BB">
          <w:pPr>
            <w:pStyle w:val="23"/>
            <w:tabs>
              <w:tab w:val="right" w:leader="dot" w:pos="8296"/>
            </w:tabs>
            <w:rPr>
              <w:rFonts w:eastAsiaTheme="minorEastAsia"/>
              <w:noProof/>
              <w:szCs w:val="22"/>
            </w:rPr>
          </w:pPr>
          <w:hyperlink w:anchor="_Toc149568199" w:history="1">
            <w:r w:rsidRPr="00947D25">
              <w:rPr>
                <w:rStyle w:val="a9"/>
                <w:rFonts w:ascii="楷体" w:eastAsia="楷体" w:hAnsi="楷体"/>
                <w:b/>
                <w:noProof/>
              </w:rPr>
              <w:t>聚烯烃：传统旺季尾声 聚烯烃偏弱整理为主</w:t>
            </w:r>
          </w:hyperlink>
        </w:p>
        <w:p w:rsidR="001529BB" w:rsidRDefault="001529BB">
          <w:pPr>
            <w:pStyle w:val="23"/>
            <w:tabs>
              <w:tab w:val="right" w:leader="dot" w:pos="8296"/>
            </w:tabs>
            <w:rPr>
              <w:rFonts w:eastAsiaTheme="minorEastAsia"/>
              <w:noProof/>
              <w:szCs w:val="22"/>
            </w:rPr>
          </w:pPr>
          <w:hyperlink w:anchor="_Toc149568200" w:history="1">
            <w:r w:rsidRPr="00947D25">
              <w:rPr>
                <w:rStyle w:val="a9"/>
                <w:rFonts w:ascii="楷体" w:eastAsia="楷体" w:hAnsi="楷体"/>
                <w:b/>
                <w:noProof/>
              </w:rPr>
              <w:t>MEG：到港增加 反弹空间受限</w:t>
            </w:r>
          </w:hyperlink>
        </w:p>
        <w:p w:rsidR="001529BB" w:rsidRDefault="001529BB">
          <w:pPr>
            <w:pStyle w:val="23"/>
            <w:tabs>
              <w:tab w:val="right" w:leader="dot" w:pos="8296"/>
            </w:tabs>
            <w:rPr>
              <w:rFonts w:eastAsiaTheme="minorEastAsia"/>
              <w:noProof/>
              <w:szCs w:val="22"/>
            </w:rPr>
          </w:pPr>
          <w:hyperlink w:anchor="_Toc149568201" w:history="1">
            <w:r w:rsidRPr="00947D25">
              <w:rPr>
                <w:rStyle w:val="a9"/>
                <w:rFonts w:ascii="楷体" w:eastAsia="楷体" w:hAnsi="楷体"/>
                <w:b/>
                <w:noProof/>
              </w:rPr>
              <w:t>玻璃：供需弱平衡，震荡行情</w:t>
            </w:r>
          </w:hyperlink>
        </w:p>
        <w:p w:rsidR="001529BB" w:rsidRDefault="001529BB">
          <w:pPr>
            <w:pStyle w:val="23"/>
            <w:tabs>
              <w:tab w:val="right" w:leader="dot" w:pos="8296"/>
            </w:tabs>
            <w:rPr>
              <w:rFonts w:eastAsiaTheme="minorEastAsia"/>
              <w:noProof/>
              <w:szCs w:val="22"/>
            </w:rPr>
          </w:pPr>
          <w:hyperlink w:anchor="_Toc149568202" w:history="1">
            <w:r w:rsidRPr="00947D25">
              <w:rPr>
                <w:rStyle w:val="a9"/>
                <w:rFonts w:ascii="楷体" w:eastAsia="楷体" w:hAnsi="楷体"/>
                <w:b/>
                <w:noProof/>
              </w:rPr>
              <w:t>纯碱：累库兑现，反弹逢高沽空</w:t>
            </w:r>
          </w:hyperlink>
        </w:p>
        <w:p w:rsidR="001529BB" w:rsidRDefault="001529BB">
          <w:pPr>
            <w:pStyle w:val="11"/>
            <w:tabs>
              <w:tab w:val="right" w:leader="dot" w:pos="8296"/>
            </w:tabs>
            <w:rPr>
              <w:rFonts w:eastAsiaTheme="minorEastAsia"/>
              <w:noProof/>
              <w:szCs w:val="22"/>
            </w:rPr>
          </w:pPr>
          <w:hyperlink w:anchor="_Toc149568203" w:history="1">
            <w:r w:rsidRPr="00947D25">
              <w:rPr>
                <w:rStyle w:val="a9"/>
                <w:rFonts w:ascii="Times New Roman" w:eastAsia="楷体" w:hAnsi="Times New Roman"/>
                <w:b/>
                <w:noProof/>
              </w:rPr>
              <w:t>[</w:t>
            </w:r>
            <w:r w:rsidRPr="00947D25">
              <w:rPr>
                <w:rStyle w:val="a9"/>
                <w:rFonts w:ascii="Times New Roman" w:eastAsia="楷体" w:hAnsi="Times New Roman"/>
                <w:b/>
                <w:noProof/>
              </w:rPr>
              <w:t>农产品</w:t>
            </w:r>
            <w:r w:rsidRPr="00947D25">
              <w:rPr>
                <w:rStyle w:val="a9"/>
                <w:rFonts w:ascii="Times New Roman" w:eastAsia="楷体" w:hAnsi="Times New Roman"/>
                <w:b/>
                <w:noProof/>
              </w:rPr>
              <w:t>]</w:t>
            </w:r>
          </w:hyperlink>
        </w:p>
        <w:p w:rsidR="001529BB" w:rsidRDefault="001529BB">
          <w:pPr>
            <w:pStyle w:val="23"/>
            <w:tabs>
              <w:tab w:val="right" w:leader="dot" w:pos="8296"/>
            </w:tabs>
            <w:rPr>
              <w:rFonts w:eastAsiaTheme="minorEastAsia"/>
              <w:noProof/>
              <w:szCs w:val="22"/>
            </w:rPr>
          </w:pPr>
          <w:hyperlink w:anchor="_Toc149568204" w:history="1">
            <w:r w:rsidRPr="00947D25">
              <w:rPr>
                <w:rStyle w:val="a9"/>
                <w:rFonts w:ascii="楷体" w:eastAsia="楷体" w:hAnsi="楷体"/>
                <w:b/>
                <w:noProof/>
              </w:rPr>
              <w:t>豆粕/菜粕：短期成本端提振，但远月存供应宽松预期</w:t>
            </w:r>
          </w:hyperlink>
        </w:p>
        <w:p w:rsidR="001529BB" w:rsidRDefault="001529BB">
          <w:pPr>
            <w:pStyle w:val="23"/>
            <w:tabs>
              <w:tab w:val="right" w:leader="dot" w:pos="8296"/>
            </w:tabs>
            <w:rPr>
              <w:rFonts w:eastAsiaTheme="minorEastAsia"/>
              <w:noProof/>
              <w:szCs w:val="22"/>
            </w:rPr>
          </w:pPr>
          <w:hyperlink w:anchor="_Toc149568205" w:history="1">
            <w:r w:rsidRPr="00947D25">
              <w:rPr>
                <w:rStyle w:val="a9"/>
                <w:rFonts w:ascii="楷体" w:eastAsia="楷体" w:hAnsi="楷体"/>
                <w:b/>
                <w:noProof/>
              </w:rPr>
              <w:t>油脂：供过于求格局未变，短期缺乏上行驱动</w:t>
            </w:r>
          </w:hyperlink>
        </w:p>
        <w:p w:rsidR="001529BB" w:rsidRDefault="001529BB">
          <w:pPr>
            <w:pStyle w:val="23"/>
            <w:tabs>
              <w:tab w:val="right" w:leader="dot" w:pos="8296"/>
            </w:tabs>
            <w:rPr>
              <w:rFonts w:eastAsiaTheme="minorEastAsia"/>
              <w:noProof/>
              <w:szCs w:val="22"/>
            </w:rPr>
          </w:pPr>
          <w:hyperlink w:anchor="_Toc149568206" w:history="1">
            <w:r w:rsidRPr="00947D25">
              <w:rPr>
                <w:rStyle w:val="a9"/>
                <w:rFonts w:ascii="楷体" w:eastAsia="楷体" w:hAnsi="楷体"/>
                <w:b/>
                <w:bCs/>
                <w:noProof/>
              </w:rPr>
              <w:t>玉米与淀粉：</w:t>
            </w:r>
            <w:r w:rsidRPr="00947D25">
              <w:rPr>
                <w:rStyle w:val="a9"/>
                <w:rFonts w:ascii="楷体" w:eastAsia="楷体" w:hAnsi="楷体"/>
                <w:b/>
                <w:noProof/>
              </w:rPr>
              <w:t>新作压力或临近尾声</w:t>
            </w:r>
          </w:hyperlink>
        </w:p>
        <w:p w:rsidR="001529BB" w:rsidRDefault="001529BB">
          <w:pPr>
            <w:pStyle w:val="23"/>
            <w:tabs>
              <w:tab w:val="right" w:leader="dot" w:pos="8296"/>
            </w:tabs>
            <w:rPr>
              <w:rFonts w:eastAsiaTheme="minorEastAsia"/>
              <w:noProof/>
              <w:szCs w:val="22"/>
            </w:rPr>
          </w:pPr>
          <w:hyperlink w:anchor="_Toc149568207" w:history="1">
            <w:r w:rsidRPr="00947D25">
              <w:rPr>
                <w:rStyle w:val="a9"/>
                <w:rFonts w:ascii="楷体" w:eastAsia="楷体" w:hAnsi="楷体"/>
                <w:b/>
                <w:bCs/>
                <w:noProof/>
              </w:rPr>
              <w:t>畜禽养殖：生猪期价分化加剧</w:t>
            </w:r>
          </w:hyperlink>
        </w:p>
        <w:p w:rsidR="001529BB" w:rsidRDefault="001529BB">
          <w:pPr>
            <w:pStyle w:val="23"/>
            <w:tabs>
              <w:tab w:val="right" w:leader="dot" w:pos="8296"/>
            </w:tabs>
            <w:rPr>
              <w:rFonts w:eastAsiaTheme="minorEastAsia"/>
              <w:noProof/>
              <w:szCs w:val="22"/>
            </w:rPr>
          </w:pPr>
          <w:hyperlink w:anchor="_Toc149568208" w:history="1">
            <w:r w:rsidRPr="00947D25">
              <w:rPr>
                <w:rStyle w:val="a9"/>
                <w:rFonts w:ascii="楷体" w:eastAsia="楷体" w:hAnsi="楷体"/>
                <w:b/>
                <w:noProof/>
              </w:rPr>
              <w:t>郑棉：预计郑棉1.59—1.63区间温和震荡，谨慎观望</w:t>
            </w:r>
          </w:hyperlink>
        </w:p>
        <w:p w:rsidR="001529BB" w:rsidRDefault="001529BB">
          <w:pPr>
            <w:pStyle w:val="23"/>
            <w:tabs>
              <w:tab w:val="right" w:leader="dot" w:pos="8296"/>
            </w:tabs>
            <w:rPr>
              <w:rFonts w:eastAsiaTheme="minorEastAsia"/>
              <w:noProof/>
              <w:szCs w:val="22"/>
            </w:rPr>
          </w:pPr>
          <w:hyperlink w:anchor="_Toc149568209" w:history="1">
            <w:r w:rsidRPr="00947D25">
              <w:rPr>
                <w:rStyle w:val="a9"/>
                <w:rFonts w:ascii="楷体" w:eastAsia="楷体" w:hAnsi="楷体"/>
                <w:b/>
                <w:noProof/>
              </w:rPr>
              <w:t>白糖：空单持有</w:t>
            </w:r>
          </w:hyperlink>
        </w:p>
        <w:p w:rsidR="001529BB" w:rsidRDefault="001529BB">
          <w:pPr>
            <w:pStyle w:val="11"/>
            <w:tabs>
              <w:tab w:val="right" w:leader="dot" w:pos="8296"/>
            </w:tabs>
            <w:rPr>
              <w:rFonts w:eastAsiaTheme="minorEastAsia"/>
              <w:noProof/>
              <w:szCs w:val="22"/>
            </w:rPr>
          </w:pPr>
          <w:hyperlink w:anchor="_Toc149568210" w:history="1">
            <w:r w:rsidRPr="00947D25">
              <w:rPr>
                <w:rStyle w:val="a9"/>
                <w:rFonts w:ascii="Times New Roman" w:eastAsia="楷体" w:hAnsi="Times New Roman"/>
                <w:b/>
                <w:noProof/>
              </w:rPr>
              <w:t>[</w:t>
            </w:r>
            <w:r w:rsidRPr="00947D25">
              <w:rPr>
                <w:rStyle w:val="a9"/>
                <w:rFonts w:ascii="Times New Roman" w:eastAsia="楷体" w:hAnsi="Times New Roman"/>
                <w:b/>
                <w:noProof/>
              </w:rPr>
              <w:t>指数</w:t>
            </w:r>
            <w:r w:rsidRPr="00947D25">
              <w:rPr>
                <w:rStyle w:val="a9"/>
                <w:rFonts w:ascii="Times New Roman" w:eastAsia="楷体" w:hAnsi="Times New Roman"/>
                <w:b/>
                <w:noProof/>
              </w:rPr>
              <w:t>]</w:t>
            </w:r>
          </w:hyperlink>
        </w:p>
        <w:p w:rsidR="001529BB" w:rsidRDefault="001529BB">
          <w:pPr>
            <w:pStyle w:val="23"/>
            <w:tabs>
              <w:tab w:val="right" w:leader="dot" w:pos="8296"/>
            </w:tabs>
            <w:rPr>
              <w:rFonts w:eastAsiaTheme="minorEastAsia"/>
              <w:noProof/>
              <w:szCs w:val="22"/>
            </w:rPr>
          </w:pPr>
          <w:hyperlink w:anchor="_Toc149568211" w:history="1">
            <w:r w:rsidRPr="00947D25">
              <w:rPr>
                <w:rStyle w:val="a9"/>
                <w:rFonts w:ascii="Times New Roman" w:eastAsia="楷体" w:hAnsi="Times New Roman"/>
                <w:b/>
                <w:noProof/>
              </w:rPr>
              <w:t>集运指数（欧线）：挺价计划兑现支撑即期</w:t>
            </w:r>
          </w:hyperlink>
        </w:p>
        <w:p w:rsidR="003F56A5" w:rsidRPr="00152664" w:rsidRDefault="00CC3FFA" w:rsidP="00152664">
          <w:pPr>
            <w:pStyle w:val="11"/>
            <w:tabs>
              <w:tab w:val="right" w:leader="dot" w:pos="8296"/>
            </w:tabs>
            <w:rPr>
              <w:rFonts w:eastAsiaTheme="minorEastAsia"/>
              <w:noProof/>
              <w:szCs w:val="22"/>
            </w:rPr>
          </w:pPr>
          <w:r>
            <w:rPr>
              <w:bCs/>
            </w:rPr>
            <w:fldChar w:fldCharType="end"/>
          </w:r>
          <w:r w:rsidR="00152664">
            <w:rPr>
              <w:rFonts w:eastAsiaTheme="minorEastAsia"/>
              <w:noProof/>
              <w:szCs w:val="22"/>
            </w:rPr>
            <w:t xml:space="preserve"> </w:t>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956818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9568181"/>
      <w:bookmarkEnd w:id="4"/>
      <w:r>
        <w:rPr>
          <w:rFonts w:ascii="Times New Roman" w:eastAsia="楷体" w:hAnsi="Times New Roman" w:hint="eastAsia"/>
          <w:b/>
          <w:color w:val="000000" w:themeColor="text1"/>
          <w:sz w:val="24"/>
          <w:szCs w:val="24"/>
        </w:rPr>
        <w:t>股指：</w:t>
      </w:r>
      <w:bookmarkEnd w:id="6"/>
      <w:bookmarkEnd w:id="7"/>
      <w:r w:rsidR="001529BB" w:rsidRPr="001529BB">
        <w:rPr>
          <w:rFonts w:ascii="Times New Roman" w:eastAsia="楷体" w:hAnsi="Times New Roman" w:hint="eastAsia"/>
          <w:b/>
          <w:color w:val="000000" w:themeColor="text1"/>
          <w:sz w:val="24"/>
          <w:szCs w:val="24"/>
        </w:rPr>
        <w:t>分批低多思路为主</w:t>
      </w:r>
      <w:bookmarkEnd w:id="8"/>
    </w:p>
    <w:p w:rsidR="003F56A5" w:rsidRDefault="001529BB" w:rsidP="00D14B3E">
      <w:pPr>
        <w:ind w:leftChars="300" w:left="630"/>
        <w:rPr>
          <w:rFonts w:ascii="Times New Roman" w:eastAsia="楷体" w:hAnsi="Times New Roman"/>
          <w:color w:val="000000" w:themeColor="text1"/>
          <w:sz w:val="24"/>
          <w:szCs w:val="24"/>
        </w:rPr>
      </w:pPr>
      <w:r w:rsidRPr="001529BB">
        <w:rPr>
          <w:rFonts w:ascii="Times New Roman" w:eastAsia="楷体" w:hAnsi="Times New Roman" w:hint="eastAsia"/>
          <w:color w:val="000000" w:themeColor="text1"/>
          <w:sz w:val="24"/>
          <w:szCs w:val="24"/>
        </w:rPr>
        <w:t>上周上证指数周线在跌破</w:t>
      </w:r>
      <w:r w:rsidRPr="001529BB">
        <w:rPr>
          <w:rFonts w:ascii="Times New Roman" w:eastAsia="楷体" w:hAnsi="Times New Roman" w:hint="eastAsia"/>
          <w:color w:val="000000" w:themeColor="text1"/>
          <w:sz w:val="24"/>
          <w:szCs w:val="24"/>
        </w:rPr>
        <w:t>850</w:t>
      </w:r>
      <w:r w:rsidRPr="001529BB">
        <w:rPr>
          <w:rFonts w:ascii="Times New Roman" w:eastAsia="楷体" w:hAnsi="Times New Roman" w:hint="eastAsia"/>
          <w:color w:val="000000" w:themeColor="text1"/>
          <w:sz w:val="24"/>
          <w:szCs w:val="24"/>
        </w:rPr>
        <w:t>均线这一长期趋势线后，多方政策集中出击，</w:t>
      </w:r>
      <w:r w:rsidRPr="001529BB">
        <w:rPr>
          <w:rFonts w:ascii="Times New Roman" w:eastAsia="楷体" w:hAnsi="Times New Roman" w:hint="eastAsia"/>
          <w:color w:val="000000" w:themeColor="text1"/>
          <w:sz w:val="24"/>
          <w:szCs w:val="24"/>
        </w:rPr>
        <w:t>A</w:t>
      </w:r>
      <w:r w:rsidRPr="001529BB">
        <w:rPr>
          <w:rFonts w:ascii="Times New Roman" w:eastAsia="楷体" w:hAnsi="Times New Roman" w:hint="eastAsia"/>
          <w:color w:val="000000" w:themeColor="text1"/>
          <w:sz w:val="24"/>
          <w:szCs w:val="24"/>
        </w:rPr>
        <w:t>股市场探底回升，市场情绪逐步回稳，大概率确立“市场底”，但前期市场的快速下探，跌破指数震荡区间，对短期走势造成一定损伤。而下半周中美关系缓和迹象继续推进，是助力市场风险偏好回升的关键因素之一，本周国内金融工作会议及美联储</w:t>
      </w:r>
      <w:r w:rsidRPr="001529BB">
        <w:rPr>
          <w:rFonts w:ascii="Times New Roman" w:eastAsia="楷体" w:hAnsi="Times New Roman" w:hint="eastAsia"/>
          <w:color w:val="000000" w:themeColor="text1"/>
          <w:sz w:val="24"/>
          <w:szCs w:val="24"/>
        </w:rPr>
        <w:t>11</w:t>
      </w:r>
      <w:r w:rsidRPr="001529BB">
        <w:rPr>
          <w:rFonts w:ascii="Times New Roman" w:eastAsia="楷体" w:hAnsi="Times New Roman" w:hint="eastAsia"/>
          <w:color w:val="000000" w:themeColor="text1"/>
          <w:sz w:val="24"/>
          <w:szCs w:val="24"/>
        </w:rPr>
        <w:t>月议息会议的中期定调或继续给市场带来新的线索，预计市场在反弹回升之后或循序渐进构造底部区间</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956818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9568183"/>
      <w:r>
        <w:rPr>
          <w:rFonts w:ascii="Times New Roman" w:eastAsia="楷体" w:hAnsi="Times New Roman" w:hint="eastAsia"/>
          <w:b/>
          <w:color w:val="000000" w:themeColor="text1"/>
          <w:sz w:val="24"/>
          <w:szCs w:val="24"/>
        </w:rPr>
        <w:t>贵金属：</w:t>
      </w:r>
      <w:r w:rsidR="001529BB" w:rsidRPr="001529BB">
        <w:rPr>
          <w:rFonts w:ascii="Times New Roman" w:eastAsia="楷体" w:hAnsi="Times New Roman" w:hint="eastAsia"/>
          <w:b/>
          <w:color w:val="000000" w:themeColor="text1"/>
          <w:sz w:val="24"/>
          <w:szCs w:val="24"/>
        </w:rPr>
        <w:t>美国季度经济增速超预期，贵金属价格上涨</w:t>
      </w:r>
      <w:bookmarkEnd w:id="10"/>
    </w:p>
    <w:p w:rsidR="003F56A5" w:rsidRDefault="001529BB">
      <w:pPr>
        <w:ind w:leftChars="300" w:left="630"/>
        <w:rPr>
          <w:rFonts w:ascii="Times New Roman" w:eastAsia="楷体" w:hAnsi="Times New Roman"/>
          <w:sz w:val="24"/>
          <w:szCs w:val="24"/>
        </w:rPr>
      </w:pPr>
      <w:r w:rsidRPr="001529BB">
        <w:rPr>
          <w:rFonts w:ascii="Times New Roman" w:eastAsia="楷体" w:hAnsi="Times New Roman" w:hint="eastAsia"/>
          <w:color w:val="000000" w:themeColor="text1"/>
          <w:sz w:val="24"/>
          <w:szCs w:val="24"/>
        </w:rPr>
        <w:t>美国</w:t>
      </w:r>
      <w:r w:rsidRPr="001529BB">
        <w:rPr>
          <w:rFonts w:ascii="Times New Roman" w:eastAsia="楷体" w:hAnsi="Times New Roman" w:hint="eastAsia"/>
          <w:color w:val="000000" w:themeColor="text1"/>
          <w:sz w:val="24"/>
          <w:szCs w:val="24"/>
        </w:rPr>
        <w:t>9</w:t>
      </w:r>
      <w:r w:rsidRPr="001529BB">
        <w:rPr>
          <w:rFonts w:ascii="Times New Roman" w:eastAsia="楷体" w:hAnsi="Times New Roman" w:hint="eastAsia"/>
          <w:color w:val="000000" w:themeColor="text1"/>
          <w:sz w:val="24"/>
          <w:szCs w:val="24"/>
        </w:rPr>
        <w:t>月</w:t>
      </w:r>
      <w:r w:rsidRPr="001529BB">
        <w:rPr>
          <w:rFonts w:ascii="Times New Roman" w:eastAsia="楷体" w:hAnsi="Times New Roman" w:hint="eastAsia"/>
          <w:color w:val="000000" w:themeColor="text1"/>
          <w:sz w:val="24"/>
          <w:szCs w:val="24"/>
        </w:rPr>
        <w:t>PCE</w:t>
      </w:r>
      <w:r w:rsidRPr="001529BB">
        <w:rPr>
          <w:rFonts w:ascii="Times New Roman" w:eastAsia="楷体" w:hAnsi="Times New Roman" w:hint="eastAsia"/>
          <w:color w:val="000000" w:themeColor="text1"/>
          <w:sz w:val="24"/>
          <w:szCs w:val="24"/>
        </w:rPr>
        <w:t>同比增</w:t>
      </w:r>
      <w:r w:rsidRPr="001529BB">
        <w:rPr>
          <w:rFonts w:ascii="Times New Roman" w:eastAsia="楷体" w:hAnsi="Times New Roman" w:hint="eastAsia"/>
          <w:color w:val="000000" w:themeColor="text1"/>
          <w:sz w:val="24"/>
          <w:szCs w:val="24"/>
        </w:rPr>
        <w:t>3.4%</w:t>
      </w:r>
      <w:r w:rsidRPr="001529BB">
        <w:rPr>
          <w:rFonts w:ascii="Times New Roman" w:eastAsia="楷体" w:hAnsi="Times New Roman" w:hint="eastAsia"/>
          <w:color w:val="000000" w:themeColor="text1"/>
          <w:sz w:val="24"/>
          <w:szCs w:val="24"/>
        </w:rPr>
        <w:t>，环比增</w:t>
      </w:r>
      <w:r w:rsidRPr="001529BB">
        <w:rPr>
          <w:rFonts w:ascii="Times New Roman" w:eastAsia="楷体" w:hAnsi="Times New Roman" w:hint="eastAsia"/>
          <w:color w:val="000000" w:themeColor="text1"/>
          <w:sz w:val="24"/>
          <w:szCs w:val="24"/>
        </w:rPr>
        <w:t>0.4%</w:t>
      </w:r>
      <w:r w:rsidRPr="001529BB">
        <w:rPr>
          <w:rFonts w:ascii="Times New Roman" w:eastAsia="楷体" w:hAnsi="Times New Roman" w:hint="eastAsia"/>
          <w:color w:val="000000" w:themeColor="text1"/>
          <w:sz w:val="24"/>
          <w:szCs w:val="24"/>
        </w:rPr>
        <w:t>，持平上月前值；美国</w:t>
      </w:r>
      <w:r w:rsidRPr="001529BB">
        <w:rPr>
          <w:rFonts w:ascii="Times New Roman" w:eastAsia="楷体" w:hAnsi="Times New Roman" w:hint="eastAsia"/>
          <w:color w:val="000000" w:themeColor="text1"/>
          <w:sz w:val="24"/>
          <w:szCs w:val="24"/>
        </w:rPr>
        <w:t>9</w:t>
      </w:r>
      <w:r w:rsidRPr="001529BB">
        <w:rPr>
          <w:rFonts w:ascii="Times New Roman" w:eastAsia="楷体" w:hAnsi="Times New Roman" w:hint="eastAsia"/>
          <w:color w:val="000000" w:themeColor="text1"/>
          <w:sz w:val="24"/>
          <w:szCs w:val="24"/>
        </w:rPr>
        <w:t>月核心</w:t>
      </w:r>
      <w:r w:rsidRPr="001529BB">
        <w:rPr>
          <w:rFonts w:ascii="Times New Roman" w:eastAsia="楷体" w:hAnsi="Times New Roman" w:hint="eastAsia"/>
          <w:color w:val="000000" w:themeColor="text1"/>
          <w:sz w:val="24"/>
          <w:szCs w:val="24"/>
        </w:rPr>
        <w:t>PCE</w:t>
      </w:r>
      <w:r w:rsidRPr="001529BB">
        <w:rPr>
          <w:rFonts w:ascii="Times New Roman" w:eastAsia="楷体" w:hAnsi="Times New Roman" w:hint="eastAsia"/>
          <w:color w:val="000000" w:themeColor="text1"/>
          <w:sz w:val="24"/>
          <w:szCs w:val="24"/>
        </w:rPr>
        <w:t>同比增</w:t>
      </w:r>
      <w:r w:rsidRPr="001529BB">
        <w:rPr>
          <w:rFonts w:ascii="Times New Roman" w:eastAsia="楷体" w:hAnsi="Times New Roman" w:hint="eastAsia"/>
          <w:color w:val="000000" w:themeColor="text1"/>
          <w:sz w:val="24"/>
          <w:szCs w:val="24"/>
        </w:rPr>
        <w:t>3.7%</w:t>
      </w:r>
      <w:r w:rsidRPr="001529BB">
        <w:rPr>
          <w:rFonts w:ascii="Times New Roman" w:eastAsia="楷体" w:hAnsi="Times New Roman" w:hint="eastAsia"/>
          <w:color w:val="000000" w:themeColor="text1"/>
          <w:sz w:val="24"/>
          <w:szCs w:val="24"/>
        </w:rPr>
        <w:t>，核心</w:t>
      </w:r>
      <w:r w:rsidRPr="001529BB">
        <w:rPr>
          <w:rFonts w:ascii="Times New Roman" w:eastAsia="楷体" w:hAnsi="Times New Roman" w:hint="eastAsia"/>
          <w:color w:val="000000" w:themeColor="text1"/>
          <w:sz w:val="24"/>
          <w:szCs w:val="24"/>
        </w:rPr>
        <w:t>PCE</w:t>
      </w:r>
      <w:r w:rsidRPr="001529BB">
        <w:rPr>
          <w:rFonts w:ascii="Times New Roman" w:eastAsia="楷体" w:hAnsi="Times New Roman" w:hint="eastAsia"/>
          <w:color w:val="000000" w:themeColor="text1"/>
          <w:sz w:val="24"/>
          <w:szCs w:val="24"/>
        </w:rPr>
        <w:t>环比增</w:t>
      </w:r>
      <w:r w:rsidRPr="001529BB">
        <w:rPr>
          <w:rFonts w:ascii="Times New Roman" w:eastAsia="楷体" w:hAnsi="Times New Roman" w:hint="eastAsia"/>
          <w:color w:val="000000" w:themeColor="text1"/>
          <w:sz w:val="24"/>
          <w:szCs w:val="24"/>
        </w:rPr>
        <w:t>0.3%</w:t>
      </w:r>
      <w:r w:rsidRPr="001529BB">
        <w:rPr>
          <w:rFonts w:ascii="Times New Roman" w:eastAsia="楷体" w:hAnsi="Times New Roman" w:hint="eastAsia"/>
          <w:color w:val="000000" w:themeColor="text1"/>
          <w:sz w:val="24"/>
          <w:szCs w:val="24"/>
        </w:rPr>
        <w:t>，符合预期。欧央行声明表示，通胀预计仍将在太长时间内居高不下，价格压力依然强劲。与此同时，</w:t>
      </w:r>
      <w:r w:rsidRPr="001529BB">
        <w:rPr>
          <w:rFonts w:ascii="Times New Roman" w:eastAsia="楷体" w:hAnsi="Times New Roman" w:hint="eastAsia"/>
          <w:color w:val="000000" w:themeColor="text1"/>
          <w:sz w:val="24"/>
          <w:szCs w:val="24"/>
        </w:rPr>
        <w:t>9</w:t>
      </w:r>
      <w:r w:rsidRPr="001529BB">
        <w:rPr>
          <w:rFonts w:ascii="Times New Roman" w:eastAsia="楷体" w:hAnsi="Times New Roman" w:hint="eastAsia"/>
          <w:color w:val="000000" w:themeColor="text1"/>
          <w:sz w:val="24"/>
          <w:szCs w:val="24"/>
        </w:rPr>
        <w:t>月份通胀明显下降，包括由于强劲的基数效应，大多数潜在通胀指标继续缓解。截至</w:t>
      </w:r>
      <w:r w:rsidRPr="001529BB">
        <w:rPr>
          <w:rFonts w:ascii="Times New Roman" w:eastAsia="楷体" w:hAnsi="Times New Roman" w:hint="eastAsia"/>
          <w:color w:val="000000" w:themeColor="text1"/>
          <w:sz w:val="24"/>
          <w:szCs w:val="24"/>
        </w:rPr>
        <w:t>10</w:t>
      </w:r>
      <w:r w:rsidRPr="001529BB">
        <w:rPr>
          <w:rFonts w:ascii="Times New Roman" w:eastAsia="楷体" w:hAnsi="Times New Roman" w:hint="eastAsia"/>
          <w:color w:val="000000" w:themeColor="text1"/>
          <w:sz w:val="24"/>
          <w:szCs w:val="24"/>
        </w:rPr>
        <w:t>月</w:t>
      </w:r>
      <w:r w:rsidRPr="001529BB">
        <w:rPr>
          <w:rFonts w:ascii="Times New Roman" w:eastAsia="楷体" w:hAnsi="Times New Roman" w:hint="eastAsia"/>
          <w:color w:val="000000" w:themeColor="text1"/>
          <w:sz w:val="24"/>
          <w:szCs w:val="24"/>
        </w:rPr>
        <w:t>24</w:t>
      </w:r>
      <w:r w:rsidRPr="001529BB">
        <w:rPr>
          <w:rFonts w:ascii="Times New Roman" w:eastAsia="楷体" w:hAnsi="Times New Roman" w:hint="eastAsia"/>
          <w:color w:val="000000" w:themeColor="text1"/>
          <w:sz w:val="24"/>
          <w:szCs w:val="24"/>
        </w:rPr>
        <w:t>日当周，</w:t>
      </w:r>
      <w:r w:rsidRPr="001529BB">
        <w:rPr>
          <w:rFonts w:ascii="Times New Roman" w:eastAsia="楷体" w:hAnsi="Times New Roman" w:hint="eastAsia"/>
          <w:color w:val="000000" w:themeColor="text1"/>
          <w:sz w:val="24"/>
          <w:szCs w:val="24"/>
        </w:rPr>
        <w:t>COMEX</w:t>
      </w:r>
      <w:r w:rsidRPr="001529BB">
        <w:rPr>
          <w:rFonts w:ascii="Times New Roman" w:eastAsia="楷体" w:hAnsi="Times New Roman" w:hint="eastAsia"/>
          <w:color w:val="000000" w:themeColor="text1"/>
          <w:sz w:val="24"/>
          <w:szCs w:val="24"/>
        </w:rPr>
        <w:t>黄金期货管理基金净多持仓增加</w:t>
      </w:r>
      <w:r w:rsidRPr="001529BB">
        <w:rPr>
          <w:rFonts w:ascii="Times New Roman" w:eastAsia="楷体" w:hAnsi="Times New Roman" w:hint="eastAsia"/>
          <w:color w:val="000000" w:themeColor="text1"/>
          <w:sz w:val="24"/>
          <w:szCs w:val="24"/>
        </w:rPr>
        <w:t>40645</w:t>
      </w:r>
      <w:r w:rsidRPr="001529BB">
        <w:rPr>
          <w:rFonts w:ascii="Times New Roman" w:eastAsia="楷体" w:hAnsi="Times New Roman" w:hint="eastAsia"/>
          <w:color w:val="000000" w:themeColor="text1"/>
          <w:sz w:val="24"/>
          <w:szCs w:val="24"/>
        </w:rPr>
        <w:t>手至</w:t>
      </w:r>
      <w:r w:rsidRPr="001529BB">
        <w:rPr>
          <w:rFonts w:ascii="Times New Roman" w:eastAsia="楷体" w:hAnsi="Times New Roman" w:hint="eastAsia"/>
          <w:color w:val="000000" w:themeColor="text1"/>
          <w:sz w:val="24"/>
          <w:szCs w:val="24"/>
        </w:rPr>
        <w:t>55748</w:t>
      </w:r>
      <w:r w:rsidRPr="001529BB">
        <w:rPr>
          <w:rFonts w:ascii="Times New Roman" w:eastAsia="楷体" w:hAnsi="Times New Roman" w:hint="eastAsia"/>
          <w:color w:val="000000" w:themeColor="text1"/>
          <w:sz w:val="24"/>
          <w:szCs w:val="24"/>
        </w:rPr>
        <w:t>手，</w:t>
      </w:r>
      <w:r w:rsidRPr="001529BB">
        <w:rPr>
          <w:rFonts w:ascii="Times New Roman" w:eastAsia="楷体" w:hAnsi="Times New Roman" w:hint="eastAsia"/>
          <w:color w:val="000000" w:themeColor="text1"/>
          <w:sz w:val="24"/>
          <w:szCs w:val="24"/>
        </w:rPr>
        <w:t>COMEX</w:t>
      </w:r>
      <w:r w:rsidRPr="001529BB">
        <w:rPr>
          <w:rFonts w:ascii="Times New Roman" w:eastAsia="楷体" w:hAnsi="Times New Roman" w:hint="eastAsia"/>
          <w:color w:val="000000" w:themeColor="text1"/>
          <w:sz w:val="24"/>
          <w:szCs w:val="24"/>
        </w:rPr>
        <w:t>白银期货管理基金净多持仓增加</w:t>
      </w:r>
      <w:r w:rsidRPr="001529BB">
        <w:rPr>
          <w:rFonts w:ascii="Times New Roman" w:eastAsia="楷体" w:hAnsi="Times New Roman" w:hint="eastAsia"/>
          <w:color w:val="000000" w:themeColor="text1"/>
          <w:sz w:val="24"/>
          <w:szCs w:val="24"/>
        </w:rPr>
        <w:t>3918</w:t>
      </w:r>
      <w:r w:rsidRPr="001529BB">
        <w:rPr>
          <w:rFonts w:ascii="Times New Roman" w:eastAsia="楷体" w:hAnsi="Times New Roman" w:hint="eastAsia"/>
          <w:color w:val="000000" w:themeColor="text1"/>
          <w:sz w:val="24"/>
          <w:szCs w:val="24"/>
        </w:rPr>
        <w:t>手至</w:t>
      </w:r>
      <w:r w:rsidRPr="001529BB">
        <w:rPr>
          <w:rFonts w:ascii="Times New Roman" w:eastAsia="楷体" w:hAnsi="Times New Roman" w:hint="eastAsia"/>
          <w:color w:val="000000" w:themeColor="text1"/>
          <w:sz w:val="24"/>
          <w:szCs w:val="24"/>
        </w:rPr>
        <w:t>7244</w:t>
      </w:r>
      <w:r w:rsidRPr="001529BB">
        <w:rPr>
          <w:rFonts w:ascii="Times New Roman" w:eastAsia="楷体" w:hAnsi="Times New Roman" w:hint="eastAsia"/>
          <w:color w:val="000000" w:themeColor="text1"/>
          <w:sz w:val="24"/>
          <w:szCs w:val="24"/>
        </w:rPr>
        <w:t>手。截至</w:t>
      </w:r>
      <w:r w:rsidRPr="001529BB">
        <w:rPr>
          <w:rFonts w:ascii="Times New Roman" w:eastAsia="楷体" w:hAnsi="Times New Roman" w:hint="eastAsia"/>
          <w:color w:val="000000" w:themeColor="text1"/>
          <w:sz w:val="24"/>
          <w:szCs w:val="24"/>
        </w:rPr>
        <w:t>10</w:t>
      </w:r>
      <w:r w:rsidRPr="001529BB">
        <w:rPr>
          <w:rFonts w:ascii="Times New Roman" w:eastAsia="楷体" w:hAnsi="Times New Roman" w:hint="eastAsia"/>
          <w:color w:val="000000" w:themeColor="text1"/>
          <w:sz w:val="24"/>
          <w:szCs w:val="24"/>
        </w:rPr>
        <w:t>月</w:t>
      </w:r>
      <w:r w:rsidRPr="001529BB">
        <w:rPr>
          <w:rFonts w:ascii="Times New Roman" w:eastAsia="楷体" w:hAnsi="Times New Roman" w:hint="eastAsia"/>
          <w:color w:val="000000" w:themeColor="text1"/>
          <w:sz w:val="24"/>
          <w:szCs w:val="24"/>
        </w:rPr>
        <w:t>27</w:t>
      </w:r>
      <w:r w:rsidRPr="001529BB">
        <w:rPr>
          <w:rFonts w:ascii="Times New Roman" w:eastAsia="楷体" w:hAnsi="Times New Roman" w:hint="eastAsia"/>
          <w:color w:val="000000" w:themeColor="text1"/>
          <w:sz w:val="24"/>
          <w:szCs w:val="24"/>
        </w:rPr>
        <w:t>日，</w:t>
      </w:r>
      <w:r w:rsidRPr="001529BB">
        <w:rPr>
          <w:rFonts w:ascii="Times New Roman" w:eastAsia="楷体" w:hAnsi="Times New Roman" w:hint="eastAsia"/>
          <w:color w:val="000000" w:themeColor="text1"/>
          <w:sz w:val="24"/>
          <w:szCs w:val="24"/>
        </w:rPr>
        <w:t>SPDR</w:t>
      </w:r>
      <w:r w:rsidRPr="001529BB">
        <w:rPr>
          <w:rFonts w:ascii="Times New Roman" w:eastAsia="楷体" w:hAnsi="Times New Roman" w:hint="eastAsia"/>
          <w:color w:val="000000" w:themeColor="text1"/>
          <w:sz w:val="24"/>
          <w:szCs w:val="24"/>
        </w:rPr>
        <w:t>黄金</w:t>
      </w:r>
      <w:r w:rsidRPr="001529BB">
        <w:rPr>
          <w:rFonts w:ascii="Times New Roman" w:eastAsia="楷体" w:hAnsi="Times New Roman" w:hint="eastAsia"/>
          <w:color w:val="000000" w:themeColor="text1"/>
          <w:sz w:val="24"/>
          <w:szCs w:val="24"/>
        </w:rPr>
        <w:t>ETF</w:t>
      </w:r>
      <w:r w:rsidRPr="001529BB">
        <w:rPr>
          <w:rFonts w:ascii="Times New Roman" w:eastAsia="楷体" w:hAnsi="Times New Roman" w:hint="eastAsia"/>
          <w:color w:val="000000" w:themeColor="text1"/>
          <w:sz w:val="24"/>
          <w:szCs w:val="24"/>
        </w:rPr>
        <w:t>持仓</w:t>
      </w:r>
      <w:r w:rsidRPr="001529BB">
        <w:rPr>
          <w:rFonts w:ascii="Times New Roman" w:eastAsia="楷体" w:hAnsi="Times New Roman" w:hint="eastAsia"/>
          <w:color w:val="000000" w:themeColor="text1"/>
          <w:sz w:val="24"/>
          <w:szCs w:val="24"/>
        </w:rPr>
        <w:t>861.8</w:t>
      </w:r>
      <w:r w:rsidRPr="001529BB">
        <w:rPr>
          <w:rFonts w:ascii="Times New Roman" w:eastAsia="楷体" w:hAnsi="Times New Roman" w:hint="eastAsia"/>
          <w:color w:val="000000" w:themeColor="text1"/>
          <w:sz w:val="24"/>
          <w:szCs w:val="24"/>
        </w:rPr>
        <w:t>吨，周内流出</w:t>
      </w:r>
      <w:r w:rsidRPr="001529BB">
        <w:rPr>
          <w:rFonts w:ascii="Times New Roman" w:eastAsia="楷体" w:hAnsi="Times New Roman" w:hint="eastAsia"/>
          <w:color w:val="000000" w:themeColor="text1"/>
          <w:sz w:val="24"/>
          <w:szCs w:val="24"/>
        </w:rPr>
        <w:t>1.44</w:t>
      </w:r>
      <w:r w:rsidRPr="001529BB">
        <w:rPr>
          <w:rFonts w:ascii="Times New Roman" w:eastAsia="楷体" w:hAnsi="Times New Roman" w:hint="eastAsia"/>
          <w:color w:val="000000" w:themeColor="text1"/>
          <w:sz w:val="24"/>
          <w:szCs w:val="24"/>
        </w:rPr>
        <w:t>吨；</w:t>
      </w:r>
      <w:r w:rsidRPr="001529BB">
        <w:rPr>
          <w:rFonts w:ascii="Times New Roman" w:eastAsia="楷体" w:hAnsi="Times New Roman" w:hint="eastAsia"/>
          <w:color w:val="000000" w:themeColor="text1"/>
          <w:sz w:val="24"/>
          <w:szCs w:val="24"/>
        </w:rPr>
        <w:t>SLV</w:t>
      </w:r>
      <w:r w:rsidRPr="001529BB">
        <w:rPr>
          <w:rFonts w:ascii="Times New Roman" w:eastAsia="楷体" w:hAnsi="Times New Roman" w:hint="eastAsia"/>
          <w:color w:val="000000" w:themeColor="text1"/>
          <w:sz w:val="24"/>
          <w:szCs w:val="24"/>
        </w:rPr>
        <w:t>白银</w:t>
      </w:r>
      <w:r w:rsidRPr="001529BB">
        <w:rPr>
          <w:rFonts w:ascii="Times New Roman" w:eastAsia="楷体" w:hAnsi="Times New Roman" w:hint="eastAsia"/>
          <w:color w:val="000000" w:themeColor="text1"/>
          <w:sz w:val="24"/>
          <w:szCs w:val="24"/>
        </w:rPr>
        <w:t>ETF</w:t>
      </w:r>
      <w:r w:rsidRPr="001529BB">
        <w:rPr>
          <w:rFonts w:ascii="Times New Roman" w:eastAsia="楷体" w:hAnsi="Times New Roman" w:hint="eastAsia"/>
          <w:color w:val="000000" w:themeColor="text1"/>
          <w:sz w:val="24"/>
          <w:szCs w:val="24"/>
        </w:rPr>
        <w:t>持仓</w:t>
      </w:r>
      <w:r w:rsidRPr="001529BB">
        <w:rPr>
          <w:rFonts w:ascii="Times New Roman" w:eastAsia="楷体" w:hAnsi="Times New Roman" w:hint="eastAsia"/>
          <w:color w:val="000000" w:themeColor="text1"/>
          <w:sz w:val="24"/>
          <w:szCs w:val="24"/>
        </w:rPr>
        <w:t>13802.18</w:t>
      </w:r>
      <w:r w:rsidRPr="001529BB">
        <w:rPr>
          <w:rFonts w:ascii="Times New Roman" w:eastAsia="楷体" w:hAnsi="Times New Roman" w:hint="eastAsia"/>
          <w:color w:val="000000" w:themeColor="text1"/>
          <w:sz w:val="24"/>
          <w:szCs w:val="24"/>
        </w:rPr>
        <w:t>吨，周内流入</w:t>
      </w:r>
      <w:r w:rsidRPr="001529BB">
        <w:rPr>
          <w:rFonts w:ascii="Times New Roman" w:eastAsia="楷体" w:hAnsi="Times New Roman" w:hint="eastAsia"/>
          <w:color w:val="000000" w:themeColor="text1"/>
          <w:sz w:val="24"/>
          <w:szCs w:val="24"/>
        </w:rPr>
        <w:t>58.44</w:t>
      </w:r>
      <w:r w:rsidRPr="001529BB">
        <w:rPr>
          <w:rFonts w:ascii="Times New Roman" w:eastAsia="楷体" w:hAnsi="Times New Roman" w:hint="eastAsia"/>
          <w:color w:val="000000" w:themeColor="text1"/>
          <w:sz w:val="24"/>
          <w:szCs w:val="24"/>
        </w:rPr>
        <w:t>吨。沪金、沪银持续上涨，海外地缘政治因素对避险情绪的提振效果近期或有所减弱，留意下周美国</w:t>
      </w:r>
      <w:r w:rsidRPr="001529BB">
        <w:rPr>
          <w:rFonts w:ascii="Times New Roman" w:eastAsia="楷体" w:hAnsi="Times New Roman" w:hint="eastAsia"/>
          <w:color w:val="000000" w:themeColor="text1"/>
          <w:sz w:val="24"/>
          <w:szCs w:val="24"/>
        </w:rPr>
        <w:t>ISM</w:t>
      </w:r>
      <w:r w:rsidRPr="001529BB">
        <w:rPr>
          <w:rFonts w:ascii="Times New Roman" w:eastAsia="楷体" w:hAnsi="Times New Roman" w:hint="eastAsia"/>
          <w:color w:val="000000" w:themeColor="text1"/>
          <w:sz w:val="24"/>
          <w:szCs w:val="24"/>
        </w:rPr>
        <w:t>经济景气度数据及美联储</w:t>
      </w:r>
      <w:r w:rsidRPr="001529BB">
        <w:rPr>
          <w:rFonts w:ascii="Times New Roman" w:eastAsia="楷体" w:hAnsi="Times New Roman" w:hint="eastAsia"/>
          <w:color w:val="000000" w:themeColor="text1"/>
          <w:sz w:val="24"/>
          <w:szCs w:val="24"/>
        </w:rPr>
        <w:t>11</w:t>
      </w:r>
      <w:r w:rsidRPr="001529BB">
        <w:rPr>
          <w:rFonts w:ascii="Times New Roman" w:eastAsia="楷体" w:hAnsi="Times New Roman" w:hint="eastAsia"/>
          <w:color w:val="000000" w:themeColor="text1"/>
          <w:sz w:val="24"/>
          <w:szCs w:val="24"/>
        </w:rPr>
        <w:t>月议息决议，市场预期本次会议联储或“鹰派暂停”，建议沪金、沪银逢低试多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956818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9568185"/>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1529BB" w:rsidRPr="001529BB">
        <w:rPr>
          <w:rFonts w:ascii="楷体" w:eastAsia="楷体" w:hAnsi="楷体" w:hint="eastAsia"/>
          <w:b/>
          <w:color w:val="000000" w:themeColor="text1"/>
          <w:sz w:val="24"/>
          <w:szCs w:val="24"/>
        </w:rPr>
        <w:t>报告显示矿产储量增长，尾盘主力期价反弹</w:t>
      </w:r>
      <w:bookmarkEnd w:id="18"/>
    </w:p>
    <w:p w:rsidR="00F50569" w:rsidRDefault="001529BB" w:rsidP="00F50569">
      <w:pPr>
        <w:ind w:leftChars="300" w:left="630"/>
        <w:rPr>
          <w:rFonts w:ascii="楷体" w:eastAsia="楷体" w:hAnsi="楷体"/>
          <w:color w:val="000000" w:themeColor="text1"/>
          <w:sz w:val="24"/>
          <w:szCs w:val="24"/>
        </w:rPr>
      </w:pPr>
      <w:r w:rsidRPr="001529BB">
        <w:rPr>
          <w:rFonts w:ascii="楷体" w:eastAsia="楷体" w:hAnsi="楷体" w:hint="eastAsia"/>
          <w:color w:val="000000" w:themeColor="text1"/>
          <w:sz w:val="24"/>
          <w:szCs w:val="24"/>
        </w:rPr>
        <w:t>上周周中锂价冲高回落，一度因消息面偏空因素影响而下跌至接近前低水平，尾盘近月合约随锂矿概念股反弹而大幅上行，主力01合约周五收涨2.53%至154050元/吨。现货价格微跌，下游以长协采购为主，市场维持偏空情绪。SQM宣布，拟16.3亿澳元收购澳洲矿企Azure Mineral全部股份。自然资源部《中国矿产资源报告(2023)》显示，2022年，中国近四成矿产储量上升，铜、铅、锌、镍、钴、锂等多种矿产储量大幅增长，新发现矿产地132处。近期个别盐湖锂企表示，通过技改为吸附塔加温可提高冬天提锂生产效率，季节性因素减产幅度或相较往年更小。近期基差在期价小幅上涨过程中有收敛的趋势，锂价或维持区间震荡</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9568186"/>
      <w:r>
        <w:rPr>
          <w:rFonts w:ascii="楷体" w:eastAsia="楷体" w:hAnsi="楷体" w:hint="eastAsia"/>
          <w:b/>
          <w:color w:val="000000" w:themeColor="text1"/>
          <w:sz w:val="24"/>
          <w:szCs w:val="24"/>
        </w:rPr>
        <w:t>螺纹钢：</w:t>
      </w:r>
      <w:bookmarkEnd w:id="16"/>
      <w:bookmarkEnd w:id="17"/>
      <w:r w:rsidR="001529BB" w:rsidRPr="001529BB">
        <w:rPr>
          <w:rFonts w:ascii="楷体" w:eastAsia="楷体" w:hAnsi="楷体" w:hint="eastAsia"/>
          <w:b/>
          <w:color w:val="000000" w:themeColor="text1"/>
          <w:sz w:val="24"/>
          <w:szCs w:val="24"/>
        </w:rPr>
        <w:t>事件推动估值修复，预计价格震荡偏强运行</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1529BB" w:rsidP="00201944">
      <w:pPr>
        <w:ind w:leftChars="300" w:left="630"/>
        <w:rPr>
          <w:rFonts w:ascii="楷体" w:eastAsia="楷体" w:hAnsi="楷体"/>
          <w:color w:val="000000" w:themeColor="text1"/>
          <w:sz w:val="24"/>
          <w:szCs w:val="24"/>
        </w:rPr>
      </w:pPr>
      <w:r w:rsidRPr="001529BB">
        <w:rPr>
          <w:rFonts w:ascii="楷体" w:eastAsia="楷体" w:hAnsi="楷体" w:hint="eastAsia"/>
          <w:color w:val="000000" w:themeColor="text1"/>
          <w:sz w:val="24"/>
          <w:szCs w:val="24"/>
        </w:rPr>
        <w:t>近期宏观利好刺激市场情绪，推动钢材价格向上修复，短期成材仍处于亏损中，估值相对较低，预计价格或震荡偏强运行。进一步突破或需现实进</w:t>
      </w:r>
      <w:r w:rsidRPr="001529BB">
        <w:rPr>
          <w:rFonts w:ascii="楷体" w:eastAsia="楷体" w:hAnsi="楷体" w:hint="eastAsia"/>
          <w:color w:val="000000" w:themeColor="text1"/>
          <w:sz w:val="24"/>
          <w:szCs w:val="24"/>
        </w:rPr>
        <w:lastRenderedPageBreak/>
        <w:t>一步走强，关注近期全国金融工作会议情况</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9568187"/>
      <w:r>
        <w:rPr>
          <w:rFonts w:ascii="楷体" w:eastAsia="楷体" w:hAnsi="楷体" w:hint="eastAsia"/>
          <w:b/>
          <w:color w:val="000000" w:themeColor="text1"/>
          <w:sz w:val="24"/>
          <w:szCs w:val="24"/>
        </w:rPr>
        <w:t>焦炭：</w:t>
      </w:r>
      <w:bookmarkEnd w:id="20"/>
      <w:bookmarkEnd w:id="21"/>
      <w:r w:rsidR="001529BB" w:rsidRPr="001529BB">
        <w:rPr>
          <w:rFonts w:ascii="楷体" w:eastAsia="楷体" w:hAnsi="楷体" w:hint="eastAsia"/>
          <w:b/>
          <w:color w:val="000000" w:themeColor="text1"/>
          <w:sz w:val="24"/>
          <w:szCs w:val="24"/>
        </w:rPr>
        <w:t>供需紧平衡，高位下震荡运行</w:t>
      </w:r>
      <w:bookmarkEnd w:id="22"/>
    </w:p>
    <w:p w:rsidR="003F56A5" w:rsidRDefault="001529BB" w:rsidP="00572E35">
      <w:pPr>
        <w:ind w:leftChars="300" w:left="630"/>
        <w:rPr>
          <w:rFonts w:ascii="楷体" w:eastAsia="楷体" w:hAnsi="楷体"/>
          <w:color w:val="000000" w:themeColor="text1"/>
          <w:sz w:val="24"/>
          <w:szCs w:val="24"/>
        </w:rPr>
      </w:pPr>
      <w:r w:rsidRPr="001529BB">
        <w:rPr>
          <w:rFonts w:ascii="楷体" w:eastAsia="楷体" w:hAnsi="楷体" w:hint="eastAsia"/>
          <w:color w:val="000000" w:themeColor="text1"/>
          <w:sz w:val="24"/>
          <w:szCs w:val="24"/>
        </w:rPr>
        <w:t>铁水缓慢减产，成材利润矛盾突出情况下，焦炭供需缺口收敛，下游采购意愿减弱。成材目前价格压制原料上涨，短期高位下震荡运行</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9568188"/>
      <w:r>
        <w:rPr>
          <w:rFonts w:ascii="楷体" w:eastAsia="楷体" w:hAnsi="楷体" w:hint="eastAsia"/>
          <w:b/>
          <w:color w:val="000000" w:themeColor="text1"/>
          <w:sz w:val="24"/>
          <w:szCs w:val="24"/>
        </w:rPr>
        <w:t>焦煤：</w:t>
      </w:r>
      <w:r w:rsidR="001529BB" w:rsidRPr="001529BB">
        <w:rPr>
          <w:rFonts w:ascii="楷体" w:eastAsia="楷体" w:hAnsi="楷体" w:hint="eastAsia"/>
          <w:b/>
          <w:sz w:val="24"/>
          <w:szCs w:val="24"/>
        </w:rPr>
        <w:t>供需紧平衡，高位下震荡运行</w:t>
      </w:r>
      <w:bookmarkEnd w:id="23"/>
    </w:p>
    <w:p w:rsidR="003F56A5" w:rsidRDefault="001529BB">
      <w:pPr>
        <w:ind w:leftChars="300" w:left="630"/>
        <w:rPr>
          <w:rFonts w:ascii="楷体" w:eastAsia="楷体" w:hAnsi="楷体"/>
          <w:bCs/>
          <w:sz w:val="24"/>
          <w:szCs w:val="24"/>
        </w:rPr>
      </w:pPr>
      <w:r w:rsidRPr="001529BB">
        <w:rPr>
          <w:rFonts w:ascii="楷体" w:eastAsia="楷体" w:hAnsi="楷体" w:hint="eastAsia"/>
          <w:sz w:val="24"/>
          <w:szCs w:val="24"/>
        </w:rPr>
        <w:t>下游采购意愿偏弱，煤矿产量小幅度回升，现货价格过高下，成材利润较差压制补库驱动，焦煤高位下震荡运行</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9568189"/>
      <w:r>
        <w:rPr>
          <w:rFonts w:ascii="楷体" w:eastAsia="楷体" w:hAnsi="楷体" w:hint="eastAsia"/>
          <w:b/>
          <w:color w:val="000000" w:themeColor="text1"/>
          <w:sz w:val="24"/>
          <w:szCs w:val="24"/>
        </w:rPr>
        <w:t>铜：</w:t>
      </w:r>
      <w:bookmarkEnd w:id="24"/>
      <w:bookmarkEnd w:id="25"/>
      <w:r w:rsidR="001529BB" w:rsidRPr="001529BB">
        <w:rPr>
          <w:rFonts w:ascii="楷体" w:eastAsia="楷体" w:hAnsi="楷体" w:hint="eastAsia"/>
          <w:b/>
          <w:color w:val="000000" w:themeColor="text1"/>
          <w:sz w:val="24"/>
          <w:szCs w:val="24"/>
        </w:rPr>
        <w:t>国内库存大幅去化，支撑铜价低位反弹</w:t>
      </w:r>
      <w:bookmarkEnd w:id="26"/>
    </w:p>
    <w:p w:rsidR="001529BB" w:rsidRPr="001529BB" w:rsidRDefault="001529BB" w:rsidP="001529BB">
      <w:pPr>
        <w:ind w:leftChars="300" w:left="630"/>
        <w:rPr>
          <w:rFonts w:ascii="楷体" w:eastAsia="楷体" w:hAnsi="楷体" w:hint="eastAsia"/>
          <w:color w:val="000000" w:themeColor="text1"/>
          <w:sz w:val="24"/>
          <w:szCs w:val="24"/>
        </w:rPr>
      </w:pPr>
      <w:r w:rsidRPr="001529BB">
        <w:rPr>
          <w:rFonts w:ascii="楷体" w:eastAsia="楷体" w:hAnsi="楷体" w:hint="eastAsia"/>
          <w:color w:val="000000" w:themeColor="text1"/>
          <w:sz w:val="24"/>
          <w:szCs w:val="24"/>
        </w:rPr>
        <w:t>(1)库存：10月27日，SHFE周库存36408吨，较上周五减21815吨；LME仓单库存180600吨，较上周五减11325吨。</w:t>
      </w:r>
    </w:p>
    <w:p w:rsidR="001529BB" w:rsidRPr="001529BB" w:rsidRDefault="001529BB" w:rsidP="001529BB">
      <w:pPr>
        <w:ind w:leftChars="300" w:left="630"/>
        <w:rPr>
          <w:rFonts w:ascii="楷体" w:eastAsia="楷体" w:hAnsi="楷体" w:hint="eastAsia"/>
          <w:color w:val="000000" w:themeColor="text1"/>
          <w:sz w:val="24"/>
          <w:szCs w:val="24"/>
        </w:rPr>
      </w:pPr>
      <w:r w:rsidRPr="001529BB">
        <w:rPr>
          <w:rFonts w:ascii="楷体" w:eastAsia="楷体" w:hAnsi="楷体" w:hint="eastAsia"/>
          <w:color w:val="000000" w:themeColor="text1"/>
          <w:sz w:val="24"/>
          <w:szCs w:val="24"/>
        </w:rPr>
        <w:t>(2)精废价差：10月27日，Mysteel精废价差1018，收窄60。目前价差在合理价差1370之下。</w:t>
      </w:r>
    </w:p>
    <w:p w:rsidR="001529BB" w:rsidRPr="001529BB" w:rsidRDefault="001529BB" w:rsidP="001529BB">
      <w:pPr>
        <w:ind w:leftChars="300" w:left="630"/>
        <w:rPr>
          <w:rFonts w:ascii="楷体" w:eastAsia="楷体" w:hAnsi="楷体"/>
          <w:color w:val="000000" w:themeColor="text1"/>
          <w:sz w:val="24"/>
          <w:szCs w:val="24"/>
        </w:rPr>
      </w:pPr>
    </w:p>
    <w:p w:rsidR="00127803" w:rsidRPr="00127803" w:rsidRDefault="001529BB" w:rsidP="001529BB">
      <w:pPr>
        <w:ind w:leftChars="300" w:left="630"/>
        <w:rPr>
          <w:rFonts w:ascii="楷体" w:eastAsia="楷体" w:hAnsi="楷体"/>
          <w:color w:val="000000" w:themeColor="text1"/>
          <w:sz w:val="24"/>
          <w:szCs w:val="24"/>
        </w:rPr>
      </w:pPr>
      <w:r w:rsidRPr="001529BB">
        <w:rPr>
          <w:rFonts w:ascii="楷体" w:eastAsia="楷体" w:hAnsi="楷体" w:hint="eastAsia"/>
          <w:color w:val="000000" w:themeColor="text1"/>
          <w:sz w:val="24"/>
          <w:szCs w:val="24"/>
        </w:rPr>
        <w:t>综述：当前而言，短期宏观面利空消化，市场交易重心向基本面偏移，国内库存大幅去化，虚实盘比偏高，支撑价格反弹，预计短期价格震荡偏多运行。周内沪铜2312合约波动区间参考66500-67800元/吨。关注国内库存及当月持仓量变化</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9568190"/>
      <w:r>
        <w:rPr>
          <w:rFonts w:ascii="楷体" w:eastAsia="楷体" w:hAnsi="楷体" w:hint="eastAsia"/>
          <w:b/>
          <w:color w:val="000000" w:themeColor="text1"/>
          <w:sz w:val="24"/>
          <w:szCs w:val="24"/>
        </w:rPr>
        <w:t>铝：</w:t>
      </w:r>
      <w:bookmarkEnd w:id="27"/>
      <w:bookmarkEnd w:id="28"/>
      <w:r w:rsidR="001529BB" w:rsidRPr="001529BB">
        <w:rPr>
          <w:rFonts w:ascii="楷体" w:eastAsia="楷体" w:hAnsi="楷体" w:hint="eastAsia"/>
          <w:b/>
          <w:color w:val="000000" w:themeColor="text1"/>
          <w:sz w:val="24"/>
          <w:szCs w:val="24"/>
        </w:rPr>
        <w:t>铝市价格仍有较强支撑，建议关注逢低做多机会</w:t>
      </w:r>
      <w:bookmarkEnd w:id="29"/>
    </w:p>
    <w:p w:rsidR="003F56A5" w:rsidRDefault="001529BB" w:rsidP="00127803">
      <w:pPr>
        <w:ind w:leftChars="300" w:left="630"/>
        <w:rPr>
          <w:rFonts w:ascii="楷体" w:eastAsia="楷体" w:hAnsi="楷体"/>
          <w:color w:val="000000" w:themeColor="text1"/>
          <w:sz w:val="24"/>
          <w:szCs w:val="24"/>
        </w:rPr>
      </w:pPr>
      <w:r w:rsidRPr="001529BB">
        <w:rPr>
          <w:rFonts w:ascii="楷体" w:eastAsia="楷体" w:hAnsi="楷体" w:hint="eastAsia"/>
          <w:color w:val="000000" w:themeColor="text1"/>
          <w:sz w:val="24"/>
          <w:szCs w:val="24"/>
        </w:rPr>
        <w:t>地缘政治冲突范围扩大，多国卷入战争序列，全球经济进入动荡期，美国三季度GDP超预期表现，美债利率高位维持，美元指数强势运行。中美关系短暂缓和，国内利多政策持续释放保障经济稳中向好。矿端供应趋紧，氧化铝供应紧平衡，冶炼生产成本抬升，电解铝运行产能高位，据消息云南地区进入枯水期，水电供应受限，预期产能收缩15-20%，国内产量已有所压减，进口盈利窗口持续打开，铝锭进口源源不断，整体供应偏松看待。进入旺季下游需求有所改善但无明显改善，地产需求低迷，光伏、新能源消费维持高增速，未锻造铝材出口量走弱，目前铝市库存维持绝对低库存去库。整体上看，宏观扰动多变，基本面供强需弱修复，绝对低库存叠加生产成本支撑下方价格，云南限产进一步收缩供应，铝价预期偏强震荡</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9568191"/>
      <w:r>
        <w:rPr>
          <w:rFonts w:ascii="楷体" w:eastAsia="楷体" w:hAnsi="楷体" w:hint="eastAsia"/>
          <w:b/>
          <w:color w:val="000000" w:themeColor="text1"/>
          <w:sz w:val="24"/>
          <w:szCs w:val="24"/>
        </w:rPr>
        <w:t>锌：</w:t>
      </w:r>
      <w:r w:rsidR="001529BB" w:rsidRPr="001529BB">
        <w:rPr>
          <w:rFonts w:ascii="楷体" w:eastAsia="楷体" w:hAnsi="楷体" w:hint="eastAsia"/>
          <w:b/>
          <w:color w:val="000000" w:themeColor="text1"/>
          <w:sz w:val="24"/>
          <w:szCs w:val="24"/>
        </w:rPr>
        <w:t>锌价仍有趋弱可能</w:t>
      </w:r>
      <w:bookmarkEnd w:id="30"/>
    </w:p>
    <w:p w:rsidR="003F56A5" w:rsidRDefault="001529BB" w:rsidP="000B0648">
      <w:pPr>
        <w:ind w:leftChars="300" w:left="630"/>
        <w:rPr>
          <w:rFonts w:ascii="楷体" w:eastAsia="楷体" w:hAnsi="楷体"/>
          <w:color w:val="000000" w:themeColor="text1"/>
          <w:sz w:val="24"/>
          <w:szCs w:val="24"/>
        </w:rPr>
      </w:pPr>
      <w:r w:rsidRPr="001529BB">
        <w:rPr>
          <w:rFonts w:ascii="楷体" w:eastAsia="楷体" w:hAnsi="楷体" w:hint="eastAsia"/>
          <w:color w:val="000000" w:themeColor="text1"/>
          <w:sz w:val="24"/>
          <w:szCs w:val="24"/>
        </w:rPr>
        <w:t>美国GDP增速超预期，美元指数强势，中美关系有所缓和，地缘政治中冲突频发，宏观多空扰动，全球精炼锌仍维持过剩，主因需求回落导致，海外经济疲软导致需求偏弱，国内需求保持韧性，依靠基建、汽车、家电等支撑消费。前期检修产能的炼厂基本恢复产能，产出将升至高位，同时因进口盈利窗打开，进口锌加量流入，需求端韧性延续，但旺季效应偏弱，市场上现货供应偏宽松，在基本面供强需偏弱前提下，锌价仍有趋弱可能</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9568192"/>
      <w:r>
        <w:rPr>
          <w:rFonts w:ascii="楷体" w:eastAsia="楷体" w:hAnsi="楷体" w:hint="eastAsia"/>
          <w:b/>
          <w:color w:val="000000" w:themeColor="text1"/>
          <w:sz w:val="24"/>
          <w:szCs w:val="24"/>
        </w:rPr>
        <w:t>镍：</w:t>
      </w:r>
      <w:r w:rsidR="001529BB" w:rsidRPr="001529BB">
        <w:rPr>
          <w:rFonts w:ascii="楷体" w:eastAsia="楷体" w:hAnsi="楷体" w:hint="eastAsia"/>
          <w:b/>
          <w:color w:val="000000" w:themeColor="text1"/>
          <w:sz w:val="24"/>
          <w:szCs w:val="24"/>
        </w:rPr>
        <w:t>供增需弱格局延续，短期震荡偏弱为主</w:t>
      </w:r>
      <w:bookmarkEnd w:id="31"/>
    </w:p>
    <w:p w:rsidR="003F56A5" w:rsidRDefault="001529BB">
      <w:pPr>
        <w:ind w:leftChars="300" w:left="630"/>
        <w:rPr>
          <w:rFonts w:ascii="楷体" w:eastAsia="楷体" w:hAnsi="楷体"/>
          <w:color w:val="000000" w:themeColor="text1"/>
          <w:sz w:val="24"/>
          <w:szCs w:val="24"/>
        </w:rPr>
      </w:pPr>
      <w:r w:rsidRPr="001529BB">
        <w:rPr>
          <w:rFonts w:ascii="楷体" w:eastAsia="楷体" w:hAnsi="楷体" w:hint="eastAsia"/>
          <w:color w:val="000000" w:themeColor="text1"/>
          <w:sz w:val="24"/>
          <w:szCs w:val="24"/>
        </w:rPr>
        <w:t>宏观面，海外宏观维持偏空，国内宏观利好消息提振有限。美国第三季度实际GDP为4.9%，创2021年四季度以来新高，反映美国经济仍具有韧性，</w:t>
      </w:r>
      <w:r w:rsidRPr="001529BB">
        <w:rPr>
          <w:rFonts w:ascii="楷体" w:eastAsia="楷体" w:hAnsi="楷体" w:hint="eastAsia"/>
          <w:color w:val="000000" w:themeColor="text1"/>
          <w:sz w:val="24"/>
          <w:szCs w:val="24"/>
        </w:rPr>
        <w:lastRenderedPageBreak/>
        <w:t>且美债收益率仍处于高位附近，美元指数强势运行，叠加巴以冲突持续加剧，使有色金属价格承压。国内，中央汇金买入ETF并将在未来继续增持，央行将增发一亿元国债，对市场情绪的提振作用较短暂，政策效果仍有待观察。原料端，短期内中间品供应仍偏紧，因此中间品价格较坚挺，硫酸镍也在成本支撑下降幅有限，但随着印尼中间品产能逐步兑现，中间品和硫酸镍仍有下跌空间。需求端，近期镍的需求转弱，不锈钢厂陆续减产，对镍的需求持续减少；新能源汽车在电池方面的去库压力较大，对镍的消费维持疲软；合金和电镀对镍维持一定程度的刚性需求。供应端，外采原料来生产精炼镍的工艺为亏损状态，但生产精炼镍的主流工艺仍有利润，精炼镍产量仍在逐步释放，镍中长期显著过剩预期较明晰。库存端，本周镍社会库存继续累积，全球精炼镍显性库存也维持累库趋势，供应压力凸显。综合来看，在镍供应逐步走向全面过剩的态势下，对镍价中长期维持偏空思路。但短期来看，沪镍在近两个月连续下跌后估值偏低，显性库存仍处于绝对历史低位，且电积镍成本带来一定的支撑作用，镍价短期继续下跌的动能不足，预计以偏弱震荡运行为主，在143000成本线附近有支撑。操作上不建议继续追空，观望为主</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9568193"/>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DB4E25" w:rsidRPr="00DB4E25">
        <w:rPr>
          <w:rFonts w:ascii="楷体" w:eastAsia="楷体" w:hAnsi="楷体" w:hint="eastAsia"/>
          <w:b/>
          <w:color w:val="000000" w:themeColor="text1"/>
          <w:sz w:val="24"/>
          <w:szCs w:val="24"/>
        </w:rPr>
        <w:t>铝价上方压力仍存</w:t>
      </w:r>
      <w:bookmarkEnd w:id="32"/>
    </w:p>
    <w:p w:rsidR="008B13D2" w:rsidRPr="008B13D2" w:rsidRDefault="00DB4E25" w:rsidP="008B13D2">
      <w:pPr>
        <w:ind w:leftChars="300" w:left="630"/>
        <w:rPr>
          <w:rFonts w:ascii="楷体" w:eastAsia="楷体" w:hAnsi="楷体"/>
          <w:color w:val="000000" w:themeColor="text1"/>
          <w:sz w:val="24"/>
          <w:szCs w:val="24"/>
        </w:rPr>
      </w:pPr>
      <w:r w:rsidRPr="00DB4E25">
        <w:rPr>
          <w:rFonts w:ascii="楷体" w:eastAsia="楷体" w:hAnsi="楷体" w:hint="eastAsia"/>
          <w:color w:val="000000" w:themeColor="text1"/>
          <w:sz w:val="24"/>
          <w:szCs w:val="24"/>
        </w:rPr>
        <w:t>巴以冲突加剧，原油价格暴涨，市场对联储加息预期走强，带动大宗整体情绪偏弱。国内电解铝运行产能高位，但复产产能多为铝水，铝棒加工费持续下行，铝棒库存被动去库，反映出铝合金下游需求偏弱。LME铝锭库存假期间出现累库迹象，国内铝市交易所库存及社库较大幅度累库，铝锭市场供应偏紧，近期铝锭进口利润窗口打开，国内原铝进口同比增长。“金九银十”旺季之下，旺季消费效应不显，订单增幅不及预期，铝价高位抑制下游采购意愿，下游企业开工率略有修复但不及预期。整体上看，国内铝锭市场供应偏紧但有进口增量补充，目前电解铝生产产能高位，铝水转化率或因铸锭量偏少的情况作出下调动作，需求维持弱修复，铝价在强供应、弱消费的现实之下，价格上行驱动有限，节日前多次尝试突破箱体运行区间上沿无果，假期海外市场情绪偏弱，预计铝价节后将重回震荡区间中枢附近，约计在18500-19000之间</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9568194"/>
      <w:r>
        <w:rPr>
          <w:rFonts w:ascii="楷体" w:eastAsia="楷体" w:hAnsi="楷体" w:hint="eastAsia"/>
          <w:b/>
          <w:color w:val="000000" w:themeColor="text1"/>
          <w:sz w:val="24"/>
          <w:szCs w:val="24"/>
        </w:rPr>
        <w:t>不锈钢：</w:t>
      </w:r>
      <w:r w:rsidR="001529BB" w:rsidRPr="001529BB">
        <w:rPr>
          <w:rFonts w:ascii="楷体" w:eastAsia="楷体" w:hAnsi="楷体" w:hint="eastAsia"/>
          <w:b/>
          <w:color w:val="000000" w:themeColor="text1"/>
          <w:sz w:val="24"/>
          <w:szCs w:val="24"/>
        </w:rPr>
        <w:t>产业负反馈仍持续，等待需求好转信号</w:t>
      </w:r>
      <w:bookmarkEnd w:id="33"/>
    </w:p>
    <w:p w:rsidR="001529BB" w:rsidRPr="001529BB" w:rsidRDefault="001529BB" w:rsidP="001529BB">
      <w:pPr>
        <w:ind w:leftChars="300" w:left="630"/>
        <w:rPr>
          <w:rFonts w:ascii="楷体" w:eastAsia="楷体" w:hAnsi="楷体" w:hint="eastAsia"/>
          <w:color w:val="000000" w:themeColor="text1"/>
          <w:sz w:val="24"/>
          <w:szCs w:val="24"/>
        </w:rPr>
      </w:pPr>
      <w:r w:rsidRPr="001529BB">
        <w:rPr>
          <w:rFonts w:ascii="楷体" w:eastAsia="楷体" w:hAnsi="楷体" w:hint="eastAsia"/>
          <w:color w:val="000000" w:themeColor="text1"/>
          <w:sz w:val="24"/>
          <w:szCs w:val="24"/>
        </w:rPr>
        <w:t>需求端，国内地产市场10月数据仍偏弱，海外对不锈钢需求也维持疲弱，且多国实行不锈钢反倾销政策也对不锈钢出口带来抑制作用。供应端，由于不锈钢九月传统旺季预期落空，且冶炼成本被印尼RKAB政策扰动抬高，钢厂冶炼利润不断收窄，因此陆续开始减产，预计减产将持续到11月。成本端，钢厂减产的负反馈由下往上传导至镍铁，叠加印尼回流压力，国内镍铁价格偏弱运行，但镍铁已明显亏损，继续下行空间有限。镍矿也在产业压力和FOB价格下调的影响下弱势运行，但周内港口镍矿库存减少24.6万湿吨，菲律宾主矿区雨季来临，镍矿已进入去库周期，继续让利的空间也有限。库存方面，由于下游交投氛围冷清，不锈钢社库由去库转为窄幅累库，周环比上升0.09%。</w:t>
      </w:r>
    </w:p>
    <w:p w:rsidR="003F56A5" w:rsidRDefault="001529BB" w:rsidP="001529BB">
      <w:pPr>
        <w:ind w:leftChars="300" w:left="630"/>
        <w:rPr>
          <w:rFonts w:ascii="楷体" w:eastAsia="楷体" w:hAnsi="楷体"/>
          <w:color w:val="000000" w:themeColor="text1"/>
          <w:sz w:val="24"/>
          <w:szCs w:val="24"/>
        </w:rPr>
      </w:pPr>
      <w:r w:rsidRPr="001529BB">
        <w:rPr>
          <w:rFonts w:ascii="楷体" w:eastAsia="楷体" w:hAnsi="楷体" w:hint="eastAsia"/>
          <w:color w:val="000000" w:themeColor="text1"/>
          <w:sz w:val="24"/>
          <w:szCs w:val="24"/>
        </w:rPr>
        <w:t>综合来看，需求不振因素给不锈钢价带来明显压制，但减产因素及生产成本给不锈钢价带来支撑，不锈钢上下空间皆有限，短期预计震荡偏弱为主。</w:t>
      </w:r>
      <w:r w:rsidRPr="001529BB">
        <w:rPr>
          <w:rFonts w:ascii="楷体" w:eastAsia="楷体" w:hAnsi="楷体" w:hint="eastAsia"/>
          <w:color w:val="000000" w:themeColor="text1"/>
          <w:sz w:val="24"/>
          <w:szCs w:val="24"/>
        </w:rPr>
        <w:lastRenderedPageBreak/>
        <w:t>若后续减产幅度进一步扩大，需求在政策推动下转暖，不锈钢价有望反弹修复</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9568195"/>
      <w:r>
        <w:rPr>
          <w:rFonts w:ascii="楷体" w:eastAsia="楷体" w:hAnsi="楷体" w:hint="eastAsia"/>
          <w:b/>
          <w:color w:val="000000" w:themeColor="text1"/>
          <w:sz w:val="24"/>
          <w:szCs w:val="24"/>
        </w:rPr>
        <w:t>工业硅：</w:t>
      </w:r>
      <w:r w:rsidR="001529BB" w:rsidRPr="001529BB">
        <w:rPr>
          <w:rFonts w:ascii="楷体" w:eastAsia="楷体" w:hAnsi="楷体" w:hint="eastAsia"/>
          <w:b/>
          <w:sz w:val="24"/>
          <w:szCs w:val="24"/>
        </w:rPr>
        <w:t>市场情绪转弱，盘面大幅下行</w:t>
      </w:r>
      <w:bookmarkEnd w:id="34"/>
    </w:p>
    <w:p w:rsidR="003F56A5" w:rsidRDefault="001529BB" w:rsidP="00827E8A">
      <w:pPr>
        <w:ind w:leftChars="300" w:left="630"/>
        <w:rPr>
          <w:rFonts w:ascii="楷体" w:eastAsia="楷体" w:hAnsi="楷体"/>
          <w:sz w:val="24"/>
          <w:szCs w:val="24"/>
        </w:rPr>
      </w:pPr>
      <w:r w:rsidRPr="001529BB">
        <w:rPr>
          <w:rFonts w:ascii="楷体" w:eastAsia="楷体" w:hAnsi="楷体" w:hint="eastAsia"/>
          <w:sz w:val="24"/>
          <w:szCs w:val="24"/>
        </w:rPr>
        <w:t>10月27日，Si2312主力合约延续下行走势，收盘价13995元/吨，较上一收盘价涨跌幅-1.10%。近期，盘面价格大幅下跌，仓单性价比有所提高，使得仓单有所注销流向现货市场，但总量依旧处于高位。仓单压力依旧是当下市场的主要矛盾，短期盘面或仍将承压运行。策略上，谨慎资金可暂时观望，激进资金可以尝试逢高做空机会</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4956819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024C21" w:rsidRDefault="00CC3FFA" w:rsidP="00024C21">
      <w:pPr>
        <w:ind w:firstLineChars="200" w:firstLine="482"/>
        <w:outlineLvl w:val="1"/>
        <w:rPr>
          <w:rFonts w:ascii="楷体" w:eastAsia="楷体" w:hAnsi="楷体"/>
          <w:b/>
          <w:sz w:val="24"/>
          <w:szCs w:val="24"/>
        </w:rPr>
      </w:pPr>
      <w:bookmarkStart w:id="37" w:name="_Toc149568197"/>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1529BB" w:rsidRPr="001529BB">
        <w:rPr>
          <w:rFonts w:ascii="楷体" w:eastAsia="楷体" w:hAnsi="楷体" w:hint="eastAsia"/>
          <w:b/>
          <w:sz w:val="24"/>
          <w:szCs w:val="24"/>
        </w:rPr>
        <w:t>东南亚降水缓和，天胶或偏弱震荡为主</w:t>
      </w:r>
      <w:bookmarkEnd w:id="37"/>
    </w:p>
    <w:p w:rsidR="003F56A5" w:rsidRDefault="001529BB">
      <w:pPr>
        <w:ind w:leftChars="300" w:left="630"/>
        <w:rPr>
          <w:rFonts w:ascii="楷体" w:eastAsia="楷体" w:hAnsi="楷体"/>
          <w:sz w:val="24"/>
          <w:szCs w:val="24"/>
        </w:rPr>
      </w:pPr>
      <w:r w:rsidRPr="001529BB">
        <w:rPr>
          <w:rFonts w:ascii="楷体" w:eastAsia="楷体" w:hAnsi="楷体" w:hint="eastAsia"/>
          <w:sz w:val="24"/>
          <w:szCs w:val="24"/>
        </w:rPr>
        <w:t>点评：近期天然橡胶大幅回调，但市场做多情绪依旧不强。供应方面，东南亚主产区降雨天气缓解，原料产出持续上量，原料收购价格存下降预期，供应端利好削弱。库存方面，国内天然橡胶库存虽仍在去库，但去库幅度偏缓，下游工厂对原材料高价抵触心理。需求端来看，下游轮胎企业开工率高位维持，假期放假天数较去年明显缩减。半钢胎略好于全钢胎，国内稳经济政策将有利于轮胎替换及配套需求的改善。节后工厂开工处于恢复提升状态，对原材料补库积极性提高，提振天胶市场。终端汽车方面，9月数据同环比继续走强，创过去十年同期历史新高，十月汽车消费旺季再度来临下汽车市场景气度高。整体看，近期基本面转好幅度有所减弱，在新的利好支撑出现前，橡胶或偏弱震荡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9568198"/>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1529BB" w:rsidRPr="001529BB">
        <w:rPr>
          <w:rFonts w:ascii="Calibri" w:eastAsia="楷体" w:hAnsi="Calibri" w:cs="Calibri" w:hint="eastAsia"/>
          <w:b/>
          <w:color w:val="000000" w:themeColor="text1"/>
          <w:sz w:val="24"/>
          <w:szCs w:val="24"/>
        </w:rPr>
        <w:t>供需矛盾暂时缓解</w:t>
      </w:r>
      <w:r w:rsidR="001529BB" w:rsidRPr="001529BB">
        <w:rPr>
          <w:rFonts w:ascii="Calibri" w:eastAsia="楷体" w:hAnsi="Calibri" w:cs="Calibri" w:hint="eastAsia"/>
          <w:b/>
          <w:color w:val="000000" w:themeColor="text1"/>
          <w:sz w:val="24"/>
          <w:szCs w:val="24"/>
        </w:rPr>
        <w:t xml:space="preserve"> </w:t>
      </w:r>
      <w:r w:rsidR="001529BB" w:rsidRPr="001529BB">
        <w:rPr>
          <w:rFonts w:ascii="Calibri" w:eastAsia="楷体" w:hAnsi="Calibri" w:cs="Calibri" w:hint="eastAsia"/>
          <w:b/>
          <w:color w:val="000000" w:themeColor="text1"/>
          <w:sz w:val="24"/>
          <w:szCs w:val="24"/>
        </w:rPr>
        <w:t>但向上驱动仍不足</w:t>
      </w:r>
      <w:bookmarkEnd w:id="38"/>
      <w:r w:rsidR="00DF164D" w:rsidRPr="00DF164D">
        <w:rPr>
          <w:rFonts w:ascii="楷体" w:eastAsia="楷体" w:hAnsi="楷体" w:hint="eastAsia"/>
          <w:b/>
          <w:color w:val="000000" w:themeColor="text1"/>
          <w:sz w:val="24"/>
          <w:szCs w:val="24"/>
        </w:rPr>
        <w:t xml:space="preserve"> </w:t>
      </w:r>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1529BB" w:rsidP="002C73FE">
      <w:pPr>
        <w:ind w:leftChars="300" w:left="630"/>
        <w:rPr>
          <w:rFonts w:ascii="楷体" w:eastAsia="楷体" w:hAnsi="楷体"/>
          <w:color w:val="000000" w:themeColor="text1"/>
          <w:sz w:val="24"/>
          <w:szCs w:val="24"/>
        </w:rPr>
      </w:pPr>
      <w:r w:rsidRPr="001529BB">
        <w:rPr>
          <w:rFonts w:ascii="楷体" w:eastAsia="楷体" w:hAnsi="楷体" w:hint="eastAsia"/>
          <w:color w:val="000000" w:themeColor="text1"/>
          <w:sz w:val="24"/>
          <w:szCs w:val="24"/>
        </w:rPr>
        <w:t>原油方面，盘面驱动逻辑在地缘风险及基本面博弈。PX方面，盛虹石化400万吨及广东石化260万吨装置预计近日提负，海外10-11月装置重启较多，PX供应充足卖盘旺盛。随着调油需求走弱，歧化装置开工率有望进一步提升，近期PX N仍将偏弱运行。PTA供应方面，本周逸盛新材料装置负荷较上周提升，其他个别装置负荷窄幅调整，至10.26 PTA负荷调整至78.8%（+1.8%）。本周聚酯装置大体稳定运行，个别略有小幅调整。截至10.26 初步核算国内大陆地区聚酯负荷在90.7%，环比小幅提升。终端开工率尚可但涤纶长丝库存节后累库节奏较快，随着聚酯原料价格走低，工厂出货意愿较大。综合来看，10月PTA装置检修计划较多且前期检修装置推迟重启。据悉有供应商缩减合约货提振市场，供需矛盾暂时缓解，PTA或会企稳但不看太高。仅供参考</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DF164D" w:rsidRDefault="00CC3FFA" w:rsidP="00DF164D">
      <w:pPr>
        <w:ind w:leftChars="200" w:left="420"/>
        <w:outlineLvl w:val="1"/>
        <w:rPr>
          <w:rFonts w:ascii="楷体" w:eastAsia="楷体" w:hAnsi="楷体"/>
          <w:b/>
          <w:color w:val="000000" w:themeColor="text1"/>
          <w:sz w:val="24"/>
          <w:szCs w:val="24"/>
        </w:rPr>
      </w:pPr>
      <w:bookmarkStart w:id="39" w:name="_Toc149568199"/>
      <w:r>
        <w:rPr>
          <w:rFonts w:ascii="楷体" w:eastAsia="楷体" w:hAnsi="楷体" w:hint="eastAsia"/>
          <w:b/>
          <w:color w:val="000000" w:themeColor="text1"/>
          <w:sz w:val="24"/>
          <w:szCs w:val="24"/>
        </w:rPr>
        <w:t>聚烯烃：</w:t>
      </w:r>
      <w:r w:rsidR="001529BB" w:rsidRPr="001529BB">
        <w:rPr>
          <w:rFonts w:ascii="楷体" w:eastAsia="楷体" w:hAnsi="楷体" w:hint="eastAsia"/>
          <w:b/>
          <w:color w:val="000000" w:themeColor="text1"/>
          <w:sz w:val="24"/>
          <w:szCs w:val="24"/>
        </w:rPr>
        <w:t>传统旺季尾声 聚烯烃偏弱整理为主</w:t>
      </w:r>
      <w:bookmarkEnd w:id="39"/>
    </w:p>
    <w:p w:rsidR="003F56A5" w:rsidRDefault="001529BB">
      <w:pPr>
        <w:ind w:leftChars="300" w:left="630"/>
        <w:rPr>
          <w:rFonts w:ascii="楷体" w:eastAsia="楷体" w:hAnsi="楷体"/>
          <w:bCs/>
          <w:sz w:val="24"/>
          <w:szCs w:val="24"/>
        </w:rPr>
      </w:pPr>
      <w:r w:rsidRPr="001529BB">
        <w:rPr>
          <w:rFonts w:ascii="楷体" w:eastAsia="楷体" w:hAnsi="楷体" w:hint="eastAsia"/>
          <w:color w:val="000000" w:themeColor="text1"/>
          <w:sz w:val="24"/>
          <w:szCs w:val="24"/>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市场担心以色列和加沙的紧张局势可能蔓延至更大范围的冲突，</w:t>
      </w:r>
      <w:r w:rsidRPr="001529BB">
        <w:rPr>
          <w:rFonts w:ascii="楷体" w:eastAsia="楷体" w:hAnsi="楷体" w:hint="eastAsia"/>
          <w:color w:val="000000" w:themeColor="text1"/>
          <w:sz w:val="24"/>
          <w:szCs w:val="24"/>
        </w:rPr>
        <w:lastRenderedPageBreak/>
        <w:t>从而扰乱全球原油供应，国际油价飙升近3%。需求方面，PE下游方面，农膜整体需求平平，工厂生产清淡。棚膜工厂多停机检修；PP下游方面，BOPP市场成交刚需有量，整体量较上一交易日增加，BOPP企业未交付订单多数在一周以内，个别可至八月中。综合来看，PE方面，短期来看，进口套利窗口多数关闭的前提下，加之石化装置停车较多，国内整体供应压力减小，但临近传统需求旺季尾声，工厂多按需采购，市场仍维持低价成交。预计今日PE价格维持窄幅震荡。PP方面，叠加近期检修影响量偏低，供应压力较大。市场虽然依旧处在银十旺季，但订单以及需求呈现缩水态势，利空影响逐渐渗透。短期看，市场月底积极去库持续进行中，但市场缺乏价格向上驱动下，大概率会向下调整</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0" w:name="_Toc149568200"/>
      <w:r>
        <w:rPr>
          <w:rFonts w:ascii="楷体" w:eastAsia="楷体" w:hAnsi="楷体" w:hint="eastAsia"/>
          <w:b/>
          <w:color w:val="000000" w:themeColor="text1"/>
          <w:sz w:val="24"/>
          <w:szCs w:val="24"/>
        </w:rPr>
        <w:t>MEG：</w:t>
      </w:r>
      <w:r w:rsidR="001529BB" w:rsidRPr="001529BB">
        <w:rPr>
          <w:rFonts w:ascii="楷体" w:eastAsia="楷体" w:hAnsi="楷体" w:hint="eastAsia"/>
          <w:b/>
          <w:color w:val="000000" w:themeColor="text1"/>
          <w:sz w:val="24"/>
          <w:szCs w:val="24"/>
        </w:rPr>
        <w:t>到港增加 反弹空间受限</w:t>
      </w:r>
      <w:bookmarkEnd w:id="40"/>
    </w:p>
    <w:p w:rsidR="003F56A5" w:rsidRDefault="001529BB" w:rsidP="00152664">
      <w:pPr>
        <w:ind w:leftChars="300" w:left="630"/>
        <w:rPr>
          <w:rFonts w:ascii="楷体" w:eastAsia="楷体" w:hAnsi="楷体"/>
          <w:color w:val="000000" w:themeColor="text1"/>
          <w:sz w:val="24"/>
          <w:szCs w:val="24"/>
        </w:rPr>
      </w:pPr>
      <w:r w:rsidRPr="001529BB">
        <w:rPr>
          <w:rFonts w:ascii="楷体" w:eastAsia="楷体" w:hAnsi="楷体" w:hint="eastAsia"/>
          <w:color w:val="000000" w:themeColor="text1"/>
          <w:sz w:val="24"/>
          <w:szCs w:val="24"/>
        </w:rPr>
        <w:t>供需情况，10.24华东主港地区MEG港口库存约115.9万吨附近，环比上期去库2.6万吨。截至10月26日，中国大陆地区乙二醇整体开工负荷在58.83%（+0.65%），其中煤制乙二醇开工负荷在64.69%（+3.71%）。镇海炼化（65）预计停车2周左右、古雷石化（70）7-8成运行、中海壳牌（40）停车计划2个月、三江石化（100）临时停车。截至10月26日，国内大陆地区聚酯负荷在90.7%，环比小幅提升。终端来看，节后江浙加弹综合开工已回升至86%（+2%），江浙织机综合开工提升至80%，江浙印染综合开工小幅下滑至82%，随着原料价格走弱及节后库存累积，涤纶近期出货意愿较强。综合来看，成本端煤价走高，低估值下乙二醇期价重心抬升。部分装置落实检修，近期供给端开工率开工低位。四季度新投产装置推迟，后续存量供应收缩及聚酯开工回升，或维持动态平衡的节奏，暂维持4000-4250区间操作思路。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49568201"/>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1529BB" w:rsidRPr="001529BB">
        <w:rPr>
          <w:rFonts w:ascii="楷体" w:eastAsia="楷体" w:hAnsi="楷体" w:hint="eastAsia"/>
          <w:b/>
          <w:color w:val="000000" w:themeColor="text1"/>
          <w:sz w:val="24"/>
          <w:szCs w:val="24"/>
        </w:rPr>
        <w:t>供需弱平衡，震荡行情</w:t>
      </w:r>
      <w:bookmarkEnd w:id="41"/>
    </w:p>
    <w:p w:rsidR="00A71A7E" w:rsidRDefault="001529BB" w:rsidP="001F79C6">
      <w:pPr>
        <w:ind w:leftChars="300" w:left="630"/>
        <w:rPr>
          <w:rFonts w:ascii="楷体" w:eastAsia="楷体" w:hAnsi="楷体"/>
          <w:color w:val="000000" w:themeColor="text1"/>
          <w:sz w:val="24"/>
          <w:szCs w:val="24"/>
        </w:rPr>
      </w:pPr>
      <w:r w:rsidRPr="001529BB">
        <w:rPr>
          <w:rFonts w:ascii="楷体" w:eastAsia="楷体" w:hAnsi="楷体" w:hint="eastAsia"/>
          <w:color w:val="000000" w:themeColor="text1"/>
          <w:sz w:val="24"/>
          <w:szCs w:val="24"/>
        </w:rPr>
        <w:t>玻璃月底供需弱平衡，库存变动不大。供给端，前期点火产线出成品，周产量提升。需求上不温不火，多地区企业主动降价清库，贸易商适量补货，深加工厂由于资金回款问题拿货谨慎。成本端，受纯碱价格继续下行影响，玻璃成本回落，利润上升。盘面短期受宏观利好情绪延续震荡，区间震荡（1580，1750），但中长线来看，随着年终进入淡季，需求逐渐走弱，供给高企下，远月累库预期较强，期现价格存在进一步向下空间，重点关注1.成本端煤价和纯碱价格回落速度，2.年底保交楼需求进度</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9568202"/>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1529BB" w:rsidRPr="001529BB">
        <w:rPr>
          <w:rFonts w:ascii="楷体" w:eastAsia="楷体" w:hAnsi="楷体" w:hint="eastAsia"/>
          <w:b/>
          <w:color w:val="000000" w:themeColor="text1"/>
          <w:sz w:val="24"/>
          <w:szCs w:val="24"/>
        </w:rPr>
        <w:t>累库兑现，反弹逢高沽空</w:t>
      </w:r>
      <w:bookmarkEnd w:id="42"/>
    </w:p>
    <w:p w:rsidR="00A71A7E" w:rsidRDefault="001529BB" w:rsidP="00F51139">
      <w:pPr>
        <w:ind w:leftChars="300" w:left="630"/>
        <w:rPr>
          <w:rFonts w:ascii="楷体" w:eastAsia="楷体" w:hAnsi="楷体"/>
          <w:bCs/>
          <w:sz w:val="24"/>
          <w:szCs w:val="24"/>
        </w:rPr>
      </w:pPr>
      <w:r w:rsidRPr="001529BB">
        <w:rPr>
          <w:rFonts w:ascii="楷体" w:eastAsia="楷体" w:hAnsi="楷体" w:hint="eastAsia"/>
          <w:color w:val="000000" w:themeColor="text1"/>
          <w:sz w:val="24"/>
          <w:szCs w:val="24"/>
        </w:rPr>
        <w:t>当前纯碱处于高产量，现货下跌，累库加速的过程中。10月供给上，远兴一、二线接近满产，三线投料后调试中，金山五期产量提升至3000吨/天，安徽德邦检修恢复，总产量维持在69-70万吨左右高位水平。需求上，下游终端玻璃厂部分8-9月预订的进口纯碱到港，现货价格加速下行，下游买涨不买跌心态下，刚需拿货为主，部分企业小幅补充安全库存。盘面上近月11月合约走交割逻辑跟随现货波动。远月01合约由于供给到年底宽松较为确定，高基差与过剩预期博弈，短期现货跌至氨碱法成本附近有支撑，目前尚在去利润阶段，后续若库存加速累库至高位，不排除远月合约击破氨碱法成本情况出现，等待负反馈逻辑验证，故远月仍以反弹高空为</w:t>
      </w:r>
      <w:r w:rsidRPr="001529BB">
        <w:rPr>
          <w:rFonts w:ascii="楷体" w:eastAsia="楷体" w:hAnsi="楷体" w:hint="eastAsia"/>
          <w:color w:val="000000" w:themeColor="text1"/>
          <w:sz w:val="24"/>
          <w:szCs w:val="24"/>
        </w:rPr>
        <w:lastRenderedPageBreak/>
        <w:t>主，建议沿（1600，1750）震荡区间上沿布局空单</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3" w:name="_Toc14956820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3"/>
    </w:p>
    <w:p w:rsidR="003F56A5" w:rsidRDefault="00147B03">
      <w:pPr>
        <w:ind w:leftChars="200" w:left="420"/>
        <w:outlineLvl w:val="1"/>
        <w:rPr>
          <w:rFonts w:ascii="楷体" w:eastAsia="楷体" w:hAnsi="楷体"/>
          <w:b/>
          <w:sz w:val="24"/>
          <w:szCs w:val="24"/>
        </w:rPr>
      </w:pPr>
      <w:bookmarkStart w:id="44" w:name="_Toc149568204"/>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1529BB" w:rsidRPr="001529BB">
        <w:rPr>
          <w:rFonts w:ascii="楷体" w:eastAsia="楷体" w:hAnsi="楷体" w:hint="eastAsia"/>
          <w:b/>
          <w:sz w:val="24"/>
          <w:szCs w:val="24"/>
        </w:rPr>
        <w:t>短期成本端提振，但远月存供应宽松预期</w:t>
      </w:r>
      <w:bookmarkEnd w:id="44"/>
    </w:p>
    <w:p w:rsidR="003F56A5" w:rsidRDefault="001529BB">
      <w:pPr>
        <w:ind w:leftChars="300" w:left="630"/>
        <w:rPr>
          <w:rFonts w:ascii="楷体" w:eastAsia="楷体" w:hAnsi="楷体"/>
          <w:sz w:val="24"/>
          <w:szCs w:val="24"/>
        </w:rPr>
      </w:pPr>
      <w:r w:rsidRPr="001529BB">
        <w:rPr>
          <w:rFonts w:ascii="楷体" w:eastAsia="楷体" w:hAnsi="楷体" w:hint="eastAsia"/>
          <w:sz w:val="24"/>
          <w:szCs w:val="24"/>
        </w:rPr>
        <w:t>美豆边际需求好转，同时在阿根廷旧作大幅减产影响豆粕供应下，提振美豆粕出口需求，CBOT大豆因此企稳反弹。虽美豆新季平衡表偏紧，但现阶段对盘面影响有限，美豆当前出口及国内压榨改善，四季度仍面临着巴西大豆的出口竞争，当前收割快速推进阶段性卖压仍存，CBOT大豆价格预计上方空间有限。后续关注巴西大豆播种情况及美豆出口，南美当前仍维持丰产预期。国内现货基差继续承压运行，近一周远月成交放量。供应端在9-10月份大豆阶段性到港减少下，油厂大豆库存维持偏低水平，随着油厂开机恢复，豆粕产出缓增，但部分油厂存断豆停机情况，豆粕库存高于去年同期值为74.09万吨，当前沿海主流油厂豆粕现货报价小幅下调至4060-4230元/吨。9月份进口大豆到港量为715万吨，环比减23.6%，11-12月预计会增至月均950万吨的到港，但对美豆新作整体买船偏慢，仍要关注后续大豆是否会有延迟到港情况。需求，下游生猪养殖利润不佳，但在能繁存栏高位下，下游维持刚需补库，保持安全库存，现货成交略有好转。菜粕存供需改善预期，随着6月份后菜籽到港减少，油厂压榨也在逐步下滑，但四季度随着菜籽进口增加，菜粕供应预计转宽。而需求方面，随着水产消费旺季的结束，菜粕刚需减少，主要关注豆菜粕价差较大下带来的替代需求。策略方面，远月压力仍存，短期跟随外盘波动，短线建议逢高沽空为主</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5" w:name="_Toc149568205"/>
      <w:r>
        <w:rPr>
          <w:rFonts w:ascii="楷体" w:eastAsia="楷体" w:hAnsi="楷体" w:hint="eastAsia"/>
          <w:b/>
          <w:color w:val="000000" w:themeColor="text1"/>
          <w:sz w:val="24"/>
          <w:szCs w:val="24"/>
        </w:rPr>
        <w:t>油脂：</w:t>
      </w:r>
      <w:r w:rsidR="001529BB" w:rsidRPr="001529BB">
        <w:rPr>
          <w:rFonts w:ascii="楷体" w:eastAsia="楷体" w:hAnsi="楷体" w:hint="eastAsia"/>
          <w:b/>
          <w:sz w:val="24"/>
          <w:szCs w:val="24"/>
        </w:rPr>
        <w:t>供过于求格局未变，短期缺乏上行驱动</w:t>
      </w:r>
      <w:bookmarkEnd w:id="45"/>
    </w:p>
    <w:p w:rsidR="003F56A5" w:rsidRDefault="001529BB" w:rsidP="00792D31">
      <w:pPr>
        <w:ind w:leftChars="300" w:left="630"/>
        <w:rPr>
          <w:rFonts w:ascii="楷体" w:eastAsia="楷体" w:hAnsi="楷体"/>
          <w:sz w:val="24"/>
          <w:szCs w:val="24"/>
        </w:rPr>
      </w:pPr>
      <w:r w:rsidRPr="001529BB">
        <w:rPr>
          <w:rFonts w:ascii="楷体" w:eastAsia="楷体" w:hAnsi="楷体" w:hint="eastAsia"/>
          <w:sz w:val="24"/>
          <w:szCs w:val="24"/>
        </w:rPr>
        <w:t>外盘原油及油脂价格回落，且三大油脂供过于求格局尚未改变，在库存相对高位压制下，仍缺乏上行驱动。棕榈油，产地季节性增产周期下10月存继续累库预期，印尼棕榈油7月份因产量增幅不及需求增幅，库存继续下降。而马棕9月库存增至新高，基本符合市场预期。马棕10月前25日出口环比减少，因此在产量延续增势下，预计10月仍将保持累库趋势；但11月将进入产地季节性减产阶段，关注厄尔尼诺对产量的影响，为中长期潜在利多因素。国内棕榈油7-8月份进口到港维持高位，在买船积极下，供应端稳增，最新商业库存为80.91万吨。需求端，随着各地气温下降，棕榈油逐步进入消费淡季，掺混需求预计减少。豆油库存去化仍需看需求增量。国内受9-10月大豆到港减少大豆库存偏低影响，虽油厂开机陆续恢复，但整体压榨水平偏低，豆油供应缓增。需求端，终端存在一定补库需求，且四季度为豆油消费旺季，部分掺混需求预计转向豆油，但当前价格优势并不明显，限制替代需求，近期成交未见增量，库存维持中性偏低水平。菜油短期供应压力减轻，但四季度存供应宽松预期。当前主产地菜籽新作产量不确定性仍存，但当前加籽收割基本结束，集中上市压力也抑制期价走势。虽8-9月份进口加籽到港量减少，菜籽开机及压榨水平偏低，9月菜籽进口32万吨，环比减18.9%，四季度菜籽进口预期宽松。需求方面，与豆油价差持续收窄，库存去化仍需看到替代需求出现。短期油脂维</w:t>
      </w:r>
      <w:r w:rsidRPr="001529BB">
        <w:rPr>
          <w:rFonts w:ascii="楷体" w:eastAsia="楷体" w:hAnsi="楷体" w:hint="eastAsia"/>
          <w:sz w:val="24"/>
          <w:szCs w:val="24"/>
        </w:rPr>
        <w:lastRenderedPageBreak/>
        <w:t>持宽幅震荡，上行驱动不足，建议短线波段操作，高抛低吸或关注豆棕套利低多机会；后续关注天气及需求表现，中长期维持谨慎看多观点</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6" w:name="_Toc149568206"/>
      <w:r>
        <w:rPr>
          <w:rFonts w:ascii="楷体" w:eastAsia="楷体" w:hAnsi="楷体" w:hint="eastAsia"/>
          <w:b/>
          <w:bCs/>
          <w:color w:val="000000" w:themeColor="text1"/>
        </w:rPr>
        <w:t>玉米与淀粉：</w:t>
      </w:r>
      <w:r w:rsidR="001529BB" w:rsidRPr="001529BB">
        <w:rPr>
          <w:rFonts w:ascii="楷体" w:eastAsia="楷体" w:hAnsi="楷体" w:hint="eastAsia"/>
          <w:b/>
        </w:rPr>
        <w:t>新作压力或临近尾声</w:t>
      </w:r>
      <w:bookmarkEnd w:id="46"/>
    </w:p>
    <w:p w:rsidR="001529BB" w:rsidRPr="001529BB" w:rsidRDefault="001529BB" w:rsidP="001529BB">
      <w:pPr>
        <w:pStyle w:val="paragraph"/>
        <w:spacing w:before="60" w:after="60"/>
        <w:ind w:leftChars="300" w:left="630"/>
        <w:rPr>
          <w:rFonts w:ascii="楷体" w:eastAsia="楷体" w:hAnsi="楷体" w:hint="eastAsia"/>
        </w:rPr>
      </w:pPr>
      <w:r w:rsidRPr="001529BB">
        <w:rPr>
          <w:rFonts w:ascii="楷体" w:eastAsia="楷体" w:hAnsi="楷体" w:hint="eastAsia"/>
        </w:rPr>
        <w:t>对于玉米而言，基于之前的逻辑，市场更多等待新作压力的释放，考虑到现货价格已经持续回落，盘面11月与1月合约接近平水，或表明新作上市压力临近尾声，而中下游库存相对偏低，且国产玉米性价比在持续回落之后有显著提升，目前已优于小麦和陈稻，仅次于进口玉米，后期市场或逐步基于年度产需缺口而进入补库阶段，这有望带动现货止跌回升。综上所述，我们维持谨慎看多观点，建议谨慎投资者观望，激进投资者择机做多，或持有前期多单。</w:t>
      </w:r>
    </w:p>
    <w:p w:rsidR="003F56A5" w:rsidRDefault="001529BB" w:rsidP="001529BB">
      <w:pPr>
        <w:pStyle w:val="paragraph"/>
        <w:spacing w:before="60" w:beforeAutospacing="0" w:after="60" w:afterAutospacing="0"/>
        <w:ind w:leftChars="300" w:left="630"/>
        <w:rPr>
          <w:rFonts w:ascii="楷体" w:eastAsia="楷体" w:hAnsi="楷体"/>
        </w:rPr>
      </w:pPr>
      <w:r w:rsidRPr="001529BB">
        <w:rPr>
          <w:rFonts w:ascii="楷体" w:eastAsia="楷体" w:hAnsi="楷体" w:hint="eastAsia"/>
        </w:rPr>
        <w:t>对于淀粉而言，近期淀粉-玉米价差整体小幅走扩，主要源于行业供需端和副产品端相对利多，特别是副产品价格持续下跌影响相对较大，主要逻辑有二，其一是通过现货生产利润影响行业开机率，即通过供应端影响行业供需；其二是通过现货生产利润影响现货价格，继而通过基差影响盘面期价，因当前基差处于历史同期高位。在这种情况下，考虑到副产品、行业供需和现货基差三个方面因素，结合前面对玉米原料端的分析，我们倾向于后期淀粉-玉米价差有望继续走扩</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7" w:name="_Toc149568207"/>
      <w:r>
        <w:rPr>
          <w:rFonts w:ascii="楷体" w:eastAsia="楷体" w:hAnsi="楷体" w:hint="eastAsia"/>
          <w:b/>
          <w:bCs/>
          <w:color w:val="000000" w:themeColor="text1"/>
        </w:rPr>
        <w:t>畜禽养殖：</w:t>
      </w:r>
      <w:r w:rsidR="001529BB" w:rsidRPr="001529BB">
        <w:rPr>
          <w:rFonts w:ascii="楷体" w:eastAsia="楷体" w:hAnsi="楷体" w:hint="eastAsia"/>
          <w:b/>
          <w:bCs/>
          <w:color w:val="000000" w:themeColor="text1"/>
        </w:rPr>
        <w:t>生猪期价分化加剧</w:t>
      </w:r>
      <w:bookmarkEnd w:id="47"/>
    </w:p>
    <w:p w:rsidR="001529BB" w:rsidRPr="001529BB" w:rsidRDefault="001529BB" w:rsidP="001529BB">
      <w:pPr>
        <w:pStyle w:val="paragraph"/>
        <w:spacing w:before="60" w:after="60"/>
        <w:ind w:leftChars="300" w:left="630"/>
        <w:rPr>
          <w:rFonts w:ascii="楷体" w:eastAsia="楷体" w:hAnsi="楷体" w:hint="eastAsia"/>
        </w:rPr>
      </w:pPr>
      <w:r w:rsidRPr="001529BB">
        <w:rPr>
          <w:rFonts w:ascii="楷体" w:eastAsia="楷体" w:hAnsi="楷体" w:hint="eastAsia"/>
        </w:rPr>
        <w:t>对于生猪而言，在前期报告中我们指出，考虑到参考农业农村部的数据，下半年总体供需环比上半年趋于改善，下半年现货价格波动区间较上半年有望抬高。当然，7月底现货价格反弹之后，由于市场整体供应依然充足，其上方空间亦有限。接下来期价波动或更多取决于节奏，节奏主要是指市场通过压栏、二次育肥和冷冻库存来影响市场的供应变化，再结合需求的季节性变动，来影响期现货的波动节奏。考虑到8月以来猪价持续震荡回落，近期叠加疫情影响加速下跌，在一定程度上带动供应的消化，并抑制养殖户的压栏和二次育肥，这会缓解后面生猪供应压力，后期在季节性需求旺季的带动之下，市场供需有望逐步改善，期现货价格或出现反弹。当然，需要留意的是疫情的走向，这可以重点关注接下来的现货走势。在这种情况下，暂维持中性观点，后期疫情影响趋弱带动现货企稳则转向谨慎看多。建议投资者观望为宜，谨慎投资者可以参与正套操作（买1月抛3月或5月合约），激进投资者可以在现货企稳后轻仓买入2401合约。</w:t>
      </w:r>
    </w:p>
    <w:p w:rsidR="003F56A5" w:rsidRDefault="001529BB" w:rsidP="001529BB">
      <w:pPr>
        <w:pStyle w:val="paragraph"/>
        <w:spacing w:before="60" w:beforeAutospacing="0" w:after="60" w:afterAutospacing="0"/>
        <w:ind w:leftChars="300" w:left="630"/>
        <w:rPr>
          <w:rFonts w:ascii="楷体" w:eastAsia="楷体" w:hAnsi="楷体"/>
        </w:rPr>
      </w:pPr>
      <w:r w:rsidRPr="001529BB">
        <w:rPr>
          <w:rFonts w:ascii="楷体" w:eastAsia="楷体" w:hAnsi="楷体" w:hint="eastAsia"/>
        </w:rPr>
        <w:t>对于鸡蛋而言，9月期间期价特别是近月表现强于市场之前预期，主要源于今年现货季节性高点出现时间晚于往年，这使得市场担心前期悲观预期可能落空，甚至出现类似于去年10月现货再创新高的情况。但在我们看来，9月上半月现货表现强于预期或更多源于两个方面的原因，其一是今年春节后现货相对高位，鸡蛋进入冷库形成库存量相对较低，其二是市场对后期价格悲观，渠道库存偏低。而从供需角度看，卓创资讯数据</w:t>
      </w:r>
      <w:r w:rsidRPr="001529BB">
        <w:rPr>
          <w:rFonts w:ascii="楷体" w:eastAsia="楷体" w:hAnsi="楷体" w:hint="eastAsia"/>
        </w:rPr>
        <w:lastRenderedPageBreak/>
        <w:t>显示，在产蛋鸡存栏连续三个月环比增加，考虑到今年节后以来蛋鸡苗销量均同比增加，而蛋鸡淘汰量持续处于历史低位水平，蛋鸡淘汰日龄则持续位于历史同期高位，由此可以看出，后期鸡蛋供需有望趋于改善。考虑到近期现货下跌幅度符合季节性回落预期，后期需要担心叠加春节后补栏带来的供应增量，现货表现或弱于预期，在这种情况下，我们维持谨慎看空观点</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8" w:name="_Toc149568208"/>
      <w:r>
        <w:rPr>
          <w:rFonts w:ascii="楷体" w:eastAsia="楷体" w:hAnsi="楷体" w:hint="eastAsia"/>
          <w:b/>
          <w:sz w:val="24"/>
          <w:szCs w:val="24"/>
        </w:rPr>
        <w:t>郑棉：</w:t>
      </w:r>
      <w:r w:rsidR="001529BB" w:rsidRPr="001529BB">
        <w:rPr>
          <w:rFonts w:ascii="楷体" w:eastAsia="楷体" w:hAnsi="楷体" w:hint="eastAsia"/>
          <w:b/>
          <w:sz w:val="24"/>
          <w:szCs w:val="24"/>
        </w:rPr>
        <w:t>预计郑棉1.59—1.63区间温和震荡，谨慎观望</w:t>
      </w:r>
      <w:bookmarkEnd w:id="48"/>
    </w:p>
    <w:p w:rsidR="003F56A5" w:rsidRDefault="001529BB" w:rsidP="007B3290">
      <w:pPr>
        <w:ind w:leftChars="300" w:left="630"/>
        <w:rPr>
          <w:rFonts w:ascii="楷体" w:eastAsia="楷体" w:hAnsi="楷体"/>
          <w:sz w:val="24"/>
          <w:szCs w:val="24"/>
        </w:rPr>
      </w:pPr>
      <w:r w:rsidRPr="001529BB">
        <w:rPr>
          <w:rFonts w:ascii="楷体" w:eastAsia="楷体" w:hAnsi="楷体" w:hint="eastAsia"/>
          <w:sz w:val="24"/>
          <w:szCs w:val="24"/>
        </w:rPr>
        <w:t>美棉出口数据较好，助力ICE期棉继续反弹。国内新棉上市叠加进口增加，供应紧张格局缓解。下游旺季不旺，库存高企。供强需弱格局下，新棉的成本支撑表现不强，棉农惜售心理也大幅减弱。不过，郑棉价格从1.78下跌至1.58后已反映了多数利空，期现基差升至高位，而成本倒挂和高基差情况下仓单数量同比锐减半数以上，为01合约提供了一定支撑</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49" w:name="_Toc149568209"/>
      <w:r>
        <w:rPr>
          <w:rFonts w:ascii="楷体" w:eastAsia="楷体" w:hAnsi="楷体" w:hint="eastAsia"/>
          <w:b/>
          <w:sz w:val="24"/>
          <w:szCs w:val="24"/>
        </w:rPr>
        <w:t>白糖：</w:t>
      </w:r>
      <w:r w:rsidR="001529BB" w:rsidRPr="001529BB">
        <w:rPr>
          <w:rFonts w:ascii="楷体" w:eastAsia="楷体" w:hAnsi="楷体" w:hint="eastAsia"/>
          <w:b/>
          <w:sz w:val="24"/>
          <w:szCs w:val="24"/>
        </w:rPr>
        <w:t>空单持有</w:t>
      </w:r>
      <w:bookmarkEnd w:id="49"/>
    </w:p>
    <w:p w:rsidR="00296325" w:rsidRDefault="001529BB" w:rsidP="00296325">
      <w:pPr>
        <w:ind w:leftChars="300" w:left="630"/>
        <w:rPr>
          <w:rFonts w:ascii="楷体" w:eastAsia="楷体" w:hAnsi="楷体"/>
          <w:sz w:val="24"/>
          <w:szCs w:val="24"/>
        </w:rPr>
      </w:pPr>
      <w:r w:rsidRPr="001529BB">
        <w:rPr>
          <w:rFonts w:ascii="楷体" w:eastAsia="楷体" w:hAnsi="楷体" w:hint="eastAsia"/>
          <w:sz w:val="24"/>
          <w:szCs w:val="24"/>
        </w:rPr>
        <w:t>巴西甘蔗行业协会( Unica ）周三公布的数据显示，巴西中南部地区10月上半月的糖产量同比增长22%，达到225万吨。Unica 在一份报告中称，10月上半月甘蔗压榨量为3277万吨，较上年同期增长17.6%。但巴西主要港口的拥堵使其对国际的输出受限。此外，厄尔尼诺天气影响下，市场对新季白糖的供应依然感到担忧，ICE原糖上涨。主要产糖大国印度的乙醇燃料计划使其甘蔗使用量大增，另新季减产概率较大。泰国的产糖前景也不乐观。对于国内糖价来说，传闻10月交割的原糖大部分将运往中国，新榨季也已开始，供应紧张局面短期内有所缓解。不过，国家统计局10月19日公布的数据显示，中国9月成品糖产量为26.2万吨，同比下滑31.1%。产量能否达到预期仍有待观察。2401主力合约预计区间6700-6900震荡</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152664" w:rsidRDefault="00152664" w:rsidP="00152664">
      <w:pPr>
        <w:pBdr>
          <w:top w:val="single" w:sz="4" w:space="0" w:color="auto"/>
        </w:pBdr>
        <w:outlineLvl w:val="0"/>
        <w:rPr>
          <w:rFonts w:ascii="Times New Roman" w:eastAsia="楷体" w:hAnsi="Times New Roman"/>
          <w:b/>
          <w:color w:val="823C0B"/>
        </w:rPr>
      </w:pPr>
      <w:bookmarkStart w:id="50" w:name="_Toc149568210"/>
      <w:r>
        <w:rPr>
          <w:rFonts w:ascii="Times New Roman" w:eastAsia="楷体" w:hAnsi="Times New Roman" w:hint="eastAsia"/>
          <w:b/>
          <w:color w:val="823C0B"/>
          <w:sz w:val="30"/>
          <w:szCs w:val="30"/>
        </w:rPr>
        <w:t>[</w:t>
      </w:r>
      <w:r w:rsidRPr="00152664">
        <w:rPr>
          <w:rFonts w:ascii="Times New Roman" w:eastAsia="楷体" w:hAnsi="Times New Roman" w:hint="eastAsia"/>
          <w:b/>
          <w:color w:val="823C0B"/>
          <w:sz w:val="30"/>
          <w:szCs w:val="30"/>
        </w:rPr>
        <w:t>指数</w:t>
      </w:r>
      <w:r>
        <w:rPr>
          <w:rFonts w:ascii="Times New Roman" w:eastAsia="楷体" w:hAnsi="Times New Roman" w:hint="eastAsia"/>
          <w:b/>
          <w:color w:val="823C0B"/>
          <w:sz w:val="30"/>
          <w:szCs w:val="30"/>
        </w:rPr>
        <w:t>]</w:t>
      </w:r>
      <w:bookmarkEnd w:id="50"/>
    </w:p>
    <w:p w:rsidR="00152664" w:rsidRDefault="00152664" w:rsidP="00152664">
      <w:pPr>
        <w:ind w:leftChars="200" w:left="420"/>
        <w:outlineLvl w:val="1"/>
        <w:rPr>
          <w:rFonts w:ascii="Times New Roman" w:eastAsia="楷体" w:hAnsi="Times New Roman"/>
          <w:b/>
          <w:color w:val="000000" w:themeColor="text1"/>
          <w:sz w:val="24"/>
          <w:szCs w:val="24"/>
        </w:rPr>
      </w:pPr>
      <w:bookmarkStart w:id="51" w:name="_Toc149568211"/>
      <w:r w:rsidRPr="00152664">
        <w:rPr>
          <w:rFonts w:ascii="Times New Roman" w:eastAsia="楷体" w:hAnsi="Times New Roman" w:hint="eastAsia"/>
          <w:b/>
          <w:color w:val="000000" w:themeColor="text1"/>
          <w:sz w:val="24"/>
          <w:szCs w:val="24"/>
        </w:rPr>
        <w:t>集运指数（欧线）</w:t>
      </w:r>
      <w:r>
        <w:rPr>
          <w:rFonts w:ascii="Times New Roman" w:eastAsia="楷体" w:hAnsi="Times New Roman" w:hint="eastAsia"/>
          <w:b/>
          <w:color w:val="000000" w:themeColor="text1"/>
          <w:sz w:val="24"/>
          <w:szCs w:val="24"/>
        </w:rPr>
        <w:t>：</w:t>
      </w:r>
      <w:r w:rsidR="001529BB" w:rsidRPr="001529BB">
        <w:rPr>
          <w:rFonts w:ascii="Times New Roman" w:eastAsia="楷体" w:hAnsi="Times New Roman" w:hint="eastAsia"/>
          <w:b/>
          <w:color w:val="000000" w:themeColor="text1"/>
          <w:sz w:val="24"/>
          <w:szCs w:val="24"/>
        </w:rPr>
        <w:t>挺价计划兑现支撑即期</w:t>
      </w:r>
      <w:bookmarkEnd w:id="51"/>
    </w:p>
    <w:p w:rsidR="001529BB" w:rsidRPr="001529BB" w:rsidRDefault="001529BB" w:rsidP="001529BB">
      <w:pPr>
        <w:ind w:leftChars="300" w:left="630"/>
        <w:rPr>
          <w:rFonts w:ascii="Times New Roman" w:eastAsia="楷体" w:hAnsi="Times New Roman" w:hint="eastAsia"/>
          <w:color w:val="000000" w:themeColor="text1"/>
          <w:sz w:val="24"/>
          <w:szCs w:val="24"/>
        </w:rPr>
      </w:pPr>
      <w:r w:rsidRPr="001529BB">
        <w:rPr>
          <w:rFonts w:ascii="Times New Roman" w:eastAsia="楷体" w:hAnsi="Times New Roman" w:hint="eastAsia"/>
          <w:color w:val="000000" w:themeColor="text1"/>
          <w:sz w:val="24"/>
          <w:szCs w:val="24"/>
        </w:rPr>
        <w:t>运价上涨，关注期货价格反弹压力</w:t>
      </w:r>
    </w:p>
    <w:p w:rsidR="001529BB" w:rsidRPr="001529BB" w:rsidRDefault="001529BB" w:rsidP="001529BB">
      <w:pPr>
        <w:ind w:leftChars="300" w:left="630"/>
        <w:rPr>
          <w:rFonts w:ascii="Times New Roman" w:eastAsia="楷体" w:hAnsi="Times New Roman" w:hint="eastAsia"/>
          <w:color w:val="000000" w:themeColor="text1"/>
          <w:sz w:val="24"/>
          <w:szCs w:val="24"/>
        </w:rPr>
      </w:pPr>
      <w:r w:rsidRPr="001529BB">
        <w:rPr>
          <w:rFonts w:ascii="Times New Roman" w:eastAsia="楷体" w:hAnsi="Times New Roman" w:hint="eastAsia"/>
          <w:color w:val="000000" w:themeColor="text1"/>
          <w:sz w:val="24"/>
          <w:szCs w:val="24"/>
        </w:rPr>
        <w:t>10</w:t>
      </w:r>
      <w:r w:rsidRPr="001529BB">
        <w:rPr>
          <w:rFonts w:ascii="Times New Roman" w:eastAsia="楷体" w:hAnsi="Times New Roman" w:hint="eastAsia"/>
          <w:color w:val="000000" w:themeColor="text1"/>
          <w:sz w:val="24"/>
          <w:szCs w:val="24"/>
        </w:rPr>
        <w:t>月</w:t>
      </w:r>
      <w:r w:rsidRPr="001529BB">
        <w:rPr>
          <w:rFonts w:ascii="Times New Roman" w:eastAsia="楷体" w:hAnsi="Times New Roman" w:hint="eastAsia"/>
          <w:color w:val="000000" w:themeColor="text1"/>
          <w:sz w:val="24"/>
          <w:szCs w:val="24"/>
        </w:rPr>
        <w:t>27</w:t>
      </w:r>
      <w:r w:rsidRPr="001529BB">
        <w:rPr>
          <w:rFonts w:ascii="Times New Roman" w:eastAsia="楷体" w:hAnsi="Times New Roman" w:hint="eastAsia"/>
          <w:color w:val="000000" w:themeColor="text1"/>
          <w:sz w:val="24"/>
          <w:szCs w:val="24"/>
        </w:rPr>
        <w:t>日公布</w:t>
      </w:r>
      <w:r w:rsidRPr="001529BB">
        <w:rPr>
          <w:rFonts w:ascii="Times New Roman" w:eastAsia="楷体" w:hAnsi="Times New Roman" w:hint="eastAsia"/>
          <w:color w:val="000000" w:themeColor="text1"/>
          <w:sz w:val="24"/>
          <w:szCs w:val="24"/>
        </w:rPr>
        <w:t>SCFI</w:t>
      </w:r>
      <w:r w:rsidRPr="001529BB">
        <w:rPr>
          <w:rFonts w:ascii="Times New Roman" w:eastAsia="楷体" w:hAnsi="Times New Roman" w:hint="eastAsia"/>
          <w:color w:val="000000" w:themeColor="text1"/>
          <w:sz w:val="24"/>
          <w:szCs w:val="24"/>
        </w:rPr>
        <w:t>欧线指数上涨</w:t>
      </w:r>
      <w:r w:rsidRPr="001529BB">
        <w:rPr>
          <w:rFonts w:ascii="Times New Roman" w:eastAsia="楷体" w:hAnsi="Times New Roman" w:hint="eastAsia"/>
          <w:color w:val="000000" w:themeColor="text1"/>
          <w:sz w:val="24"/>
          <w:szCs w:val="24"/>
        </w:rPr>
        <w:t>32%</w:t>
      </w:r>
      <w:r w:rsidRPr="001529BB">
        <w:rPr>
          <w:rFonts w:ascii="Times New Roman" w:eastAsia="楷体" w:hAnsi="Times New Roman" w:hint="eastAsia"/>
          <w:color w:val="000000" w:themeColor="text1"/>
          <w:sz w:val="24"/>
          <w:szCs w:val="24"/>
        </w:rPr>
        <w:t>。供应端，三大船东（达飞、赫伯罗特、马士基）</w:t>
      </w:r>
      <w:r w:rsidRPr="001529BB">
        <w:rPr>
          <w:rFonts w:ascii="Times New Roman" w:eastAsia="楷体" w:hAnsi="Times New Roman" w:hint="eastAsia"/>
          <w:color w:val="000000" w:themeColor="text1"/>
          <w:sz w:val="24"/>
          <w:szCs w:val="24"/>
        </w:rPr>
        <w:t>11</w:t>
      </w:r>
      <w:r w:rsidRPr="001529BB">
        <w:rPr>
          <w:rFonts w:ascii="Times New Roman" w:eastAsia="楷体" w:hAnsi="Times New Roman" w:hint="eastAsia"/>
          <w:color w:val="000000" w:themeColor="text1"/>
          <w:sz w:val="24"/>
          <w:szCs w:val="24"/>
        </w:rPr>
        <w:t>月初的涨价计划开始兑现，由于即将进入签约季，船东开始控制运力投放并实施上调运价的计划，导致市场运价大幅上涨。外需方面，欧洲</w:t>
      </w:r>
      <w:r w:rsidRPr="001529BB">
        <w:rPr>
          <w:rFonts w:ascii="Times New Roman" w:eastAsia="楷体" w:hAnsi="Times New Roman" w:hint="eastAsia"/>
          <w:color w:val="000000" w:themeColor="text1"/>
          <w:sz w:val="24"/>
          <w:szCs w:val="24"/>
        </w:rPr>
        <w:t>10</w:t>
      </w:r>
      <w:r w:rsidRPr="001529BB">
        <w:rPr>
          <w:rFonts w:ascii="Times New Roman" w:eastAsia="楷体" w:hAnsi="Times New Roman" w:hint="eastAsia"/>
          <w:color w:val="000000" w:themeColor="text1"/>
          <w:sz w:val="24"/>
          <w:szCs w:val="24"/>
        </w:rPr>
        <w:t>月制造业</w:t>
      </w:r>
      <w:r w:rsidRPr="001529BB">
        <w:rPr>
          <w:rFonts w:ascii="Times New Roman" w:eastAsia="楷体" w:hAnsi="Times New Roman" w:hint="eastAsia"/>
          <w:color w:val="000000" w:themeColor="text1"/>
          <w:sz w:val="24"/>
          <w:szCs w:val="24"/>
        </w:rPr>
        <w:t>PMI</w:t>
      </w:r>
      <w:r w:rsidRPr="001529BB">
        <w:rPr>
          <w:rFonts w:ascii="Times New Roman" w:eastAsia="楷体" w:hAnsi="Times New Roman" w:hint="eastAsia"/>
          <w:color w:val="000000" w:themeColor="text1"/>
          <w:sz w:val="24"/>
          <w:szCs w:val="24"/>
        </w:rPr>
        <w:t>数据为</w:t>
      </w:r>
      <w:r w:rsidRPr="001529BB">
        <w:rPr>
          <w:rFonts w:ascii="Times New Roman" w:eastAsia="楷体" w:hAnsi="Times New Roman" w:hint="eastAsia"/>
          <w:color w:val="000000" w:themeColor="text1"/>
          <w:sz w:val="24"/>
          <w:szCs w:val="24"/>
        </w:rPr>
        <w:t>43</w:t>
      </w:r>
      <w:r w:rsidRPr="001529BB">
        <w:rPr>
          <w:rFonts w:ascii="Times New Roman" w:eastAsia="楷体" w:hAnsi="Times New Roman" w:hint="eastAsia"/>
          <w:color w:val="000000" w:themeColor="text1"/>
          <w:sz w:val="24"/>
          <w:szCs w:val="24"/>
        </w:rPr>
        <w:t>，低于预期，并连续</w:t>
      </w:r>
      <w:r w:rsidRPr="001529BB">
        <w:rPr>
          <w:rFonts w:ascii="Times New Roman" w:eastAsia="楷体" w:hAnsi="Times New Roman" w:hint="eastAsia"/>
          <w:color w:val="000000" w:themeColor="text1"/>
          <w:sz w:val="24"/>
          <w:szCs w:val="24"/>
        </w:rPr>
        <w:t>16</w:t>
      </w:r>
      <w:r w:rsidRPr="001529BB">
        <w:rPr>
          <w:rFonts w:ascii="Times New Roman" w:eastAsia="楷体" w:hAnsi="Times New Roman" w:hint="eastAsia"/>
          <w:color w:val="000000" w:themeColor="text1"/>
          <w:sz w:val="24"/>
          <w:szCs w:val="24"/>
        </w:rPr>
        <w:t>个月处于荣枯线以下，欧洲经济疲软将延续，从而对欧洲需求产生抑制，四季度欧洲需求难以出现改善。</w:t>
      </w:r>
    </w:p>
    <w:p w:rsidR="00152664" w:rsidRDefault="001529BB" w:rsidP="001529BB">
      <w:pPr>
        <w:ind w:leftChars="300" w:left="630"/>
        <w:rPr>
          <w:rFonts w:ascii="Times New Roman" w:eastAsia="楷体" w:hAnsi="Times New Roman"/>
          <w:color w:val="000000" w:themeColor="text1"/>
          <w:sz w:val="24"/>
          <w:szCs w:val="24"/>
        </w:rPr>
      </w:pPr>
      <w:r w:rsidRPr="001529BB">
        <w:rPr>
          <w:rFonts w:ascii="Times New Roman" w:eastAsia="楷体" w:hAnsi="Times New Roman" w:hint="eastAsia"/>
          <w:color w:val="000000" w:themeColor="text1"/>
          <w:sz w:val="24"/>
          <w:szCs w:val="24"/>
        </w:rPr>
        <w:t>本周由于挺价计划开始兑现，</w:t>
      </w:r>
      <w:r w:rsidRPr="001529BB">
        <w:rPr>
          <w:rFonts w:ascii="Times New Roman" w:eastAsia="楷体" w:hAnsi="Times New Roman" w:hint="eastAsia"/>
          <w:color w:val="000000" w:themeColor="text1"/>
          <w:sz w:val="24"/>
          <w:szCs w:val="24"/>
        </w:rPr>
        <w:t>SCFI</w:t>
      </w:r>
      <w:r w:rsidRPr="001529BB">
        <w:rPr>
          <w:rFonts w:ascii="Times New Roman" w:eastAsia="楷体" w:hAnsi="Times New Roman" w:hint="eastAsia"/>
          <w:color w:val="000000" w:themeColor="text1"/>
          <w:sz w:val="24"/>
          <w:szCs w:val="24"/>
        </w:rPr>
        <w:t>数据有所反弹，但长期格局依然供强需弱，关注反弹力度以及上方压力情况。建议操作上以区间交易为主</w:t>
      </w:r>
      <w:r w:rsidR="00152664">
        <w:rPr>
          <w:rFonts w:ascii="Times New Roman" w:eastAsia="楷体" w:hAnsi="Times New Roman" w:hint="eastAsia"/>
          <w:color w:val="000000" w:themeColor="text1"/>
          <w:sz w:val="24"/>
          <w:szCs w:val="24"/>
        </w:rPr>
        <w:t>。</w:t>
      </w: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2" w:name="_Toc71212556"/>
      <w:bookmarkStart w:id="53" w:name="_Toc19667"/>
      <w:bookmarkStart w:id="54" w:name="_Toc98426751"/>
      <w:bookmarkStart w:id="55" w:name="_Toc12779"/>
      <w:bookmarkStart w:id="56" w:name="_Toc72481108"/>
      <w:r>
        <w:rPr>
          <w:rFonts w:ascii="Times New Roman" w:eastAsia="楷体" w:hAnsi="Times New Roman"/>
          <w:b/>
          <w:color w:val="411D05"/>
          <w:sz w:val="30"/>
          <w:szCs w:val="30"/>
        </w:rPr>
        <w:lastRenderedPageBreak/>
        <w:t>免责声明</w:t>
      </w:r>
      <w:bookmarkEnd w:id="52"/>
      <w:bookmarkEnd w:id="53"/>
      <w:bookmarkEnd w:id="54"/>
      <w:bookmarkEnd w:id="55"/>
      <w:bookmarkEnd w:id="56"/>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A98" w:rsidRDefault="00DB1A98">
      <w:r>
        <w:separator/>
      </w:r>
    </w:p>
  </w:endnote>
  <w:endnote w:type="continuationSeparator" w:id="0">
    <w:p w:rsidR="00DB1A98" w:rsidRDefault="00DB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660F4595" wp14:editId="72ED5D63">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1529BB">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1529BB">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A98" w:rsidRDefault="00DB1A98">
      <w:r>
        <w:separator/>
      </w:r>
    </w:p>
  </w:footnote>
  <w:footnote w:type="continuationSeparator" w:id="0">
    <w:p w:rsidR="00DB1A98" w:rsidRDefault="00DB1A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359329A8" wp14:editId="69B1D397">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17248D43" wp14:editId="704C0533">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1529BB">
      <w:rPr>
        <w:rFonts w:ascii="Times New Roman" w:eastAsia="楷体" w:hAnsi="Times New Roman" w:hint="eastAsia"/>
        <w:b/>
        <w:bCs/>
        <w:noProof/>
        <w:color w:val="833C0B"/>
        <w:sz w:val="21"/>
      </w:rPr>
      <w:t>2023</w:t>
    </w:r>
    <w:r w:rsidR="001529BB">
      <w:rPr>
        <w:rFonts w:ascii="Times New Roman" w:eastAsia="楷体" w:hAnsi="Times New Roman" w:hint="eastAsia"/>
        <w:b/>
        <w:bCs/>
        <w:noProof/>
        <w:color w:val="833C0B"/>
        <w:sz w:val="21"/>
      </w:rPr>
      <w:t>年</w:t>
    </w:r>
    <w:r w:rsidR="001529BB">
      <w:rPr>
        <w:rFonts w:ascii="Times New Roman" w:eastAsia="楷体" w:hAnsi="Times New Roman" w:hint="eastAsia"/>
        <w:b/>
        <w:bCs/>
        <w:noProof/>
        <w:color w:val="833C0B"/>
        <w:sz w:val="21"/>
      </w:rPr>
      <w:t>10</w:t>
    </w:r>
    <w:r w:rsidR="001529BB">
      <w:rPr>
        <w:rFonts w:ascii="Times New Roman" w:eastAsia="楷体" w:hAnsi="Times New Roman" w:hint="eastAsia"/>
        <w:b/>
        <w:bCs/>
        <w:noProof/>
        <w:color w:val="833C0B"/>
        <w:sz w:val="21"/>
      </w:rPr>
      <w:t>月</w:t>
    </w:r>
    <w:r w:rsidR="001529BB">
      <w:rPr>
        <w:rFonts w:ascii="Times New Roman" w:eastAsia="楷体" w:hAnsi="Times New Roman" w:hint="eastAsia"/>
        <w:b/>
        <w:bCs/>
        <w:noProof/>
        <w:color w:val="833C0B"/>
        <w:sz w:val="21"/>
      </w:rPr>
      <w:t>30</w:t>
    </w:r>
    <w:r w:rsidR="001529BB">
      <w:rPr>
        <w:rFonts w:ascii="Times New Roman" w:eastAsia="楷体" w:hAnsi="Times New Roman" w:hint="eastAsia"/>
        <w:b/>
        <w:bCs/>
        <w:noProof/>
        <w:color w:val="833C0B"/>
        <w:sz w:val="21"/>
      </w:rPr>
      <w:t>日星期一</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24902"/>
    <w:rsid w:val="00024C21"/>
    <w:rsid w:val="00032A7A"/>
    <w:rsid w:val="00035EB2"/>
    <w:rsid w:val="000417D7"/>
    <w:rsid w:val="00050B6C"/>
    <w:rsid w:val="0005286B"/>
    <w:rsid w:val="0005726F"/>
    <w:rsid w:val="00057E99"/>
    <w:rsid w:val="00060F08"/>
    <w:rsid w:val="00072EAA"/>
    <w:rsid w:val="00073CEF"/>
    <w:rsid w:val="00076420"/>
    <w:rsid w:val="000820C6"/>
    <w:rsid w:val="00093E40"/>
    <w:rsid w:val="00094BAE"/>
    <w:rsid w:val="00096258"/>
    <w:rsid w:val="000A390A"/>
    <w:rsid w:val="000A413E"/>
    <w:rsid w:val="000B0648"/>
    <w:rsid w:val="000B4E70"/>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75B7"/>
    <w:rsid w:val="00127803"/>
    <w:rsid w:val="00127FF1"/>
    <w:rsid w:val="00147668"/>
    <w:rsid w:val="00147B03"/>
    <w:rsid w:val="0015047B"/>
    <w:rsid w:val="00152664"/>
    <w:rsid w:val="001529BB"/>
    <w:rsid w:val="00155A0F"/>
    <w:rsid w:val="00156FEB"/>
    <w:rsid w:val="001579F3"/>
    <w:rsid w:val="00163984"/>
    <w:rsid w:val="00170E7B"/>
    <w:rsid w:val="00170EDF"/>
    <w:rsid w:val="001801C4"/>
    <w:rsid w:val="0018678E"/>
    <w:rsid w:val="001942CB"/>
    <w:rsid w:val="001945E9"/>
    <w:rsid w:val="001A3E49"/>
    <w:rsid w:val="001A44F9"/>
    <w:rsid w:val="001B0610"/>
    <w:rsid w:val="001B179D"/>
    <w:rsid w:val="001B1904"/>
    <w:rsid w:val="001B25C9"/>
    <w:rsid w:val="001B2D4C"/>
    <w:rsid w:val="001B6043"/>
    <w:rsid w:val="001B6394"/>
    <w:rsid w:val="001B6B7D"/>
    <w:rsid w:val="001C2E87"/>
    <w:rsid w:val="001C77D0"/>
    <w:rsid w:val="001D1F0A"/>
    <w:rsid w:val="001D40EA"/>
    <w:rsid w:val="001D4474"/>
    <w:rsid w:val="001D5419"/>
    <w:rsid w:val="001D7D0A"/>
    <w:rsid w:val="001E1A3C"/>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5297"/>
    <w:rsid w:val="00291461"/>
    <w:rsid w:val="00292AE8"/>
    <w:rsid w:val="002951EB"/>
    <w:rsid w:val="00296325"/>
    <w:rsid w:val="00297A1B"/>
    <w:rsid w:val="002A0670"/>
    <w:rsid w:val="002A6C89"/>
    <w:rsid w:val="002B0F87"/>
    <w:rsid w:val="002B2257"/>
    <w:rsid w:val="002B32AE"/>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54F5"/>
    <w:rsid w:val="003C5F91"/>
    <w:rsid w:val="003D3A9E"/>
    <w:rsid w:val="003F2424"/>
    <w:rsid w:val="003F56A5"/>
    <w:rsid w:val="00404AFE"/>
    <w:rsid w:val="004123EF"/>
    <w:rsid w:val="004177A8"/>
    <w:rsid w:val="004201F5"/>
    <w:rsid w:val="004230AC"/>
    <w:rsid w:val="00426AB5"/>
    <w:rsid w:val="00433C64"/>
    <w:rsid w:val="00440FBE"/>
    <w:rsid w:val="004427D1"/>
    <w:rsid w:val="00452F14"/>
    <w:rsid w:val="004567BD"/>
    <w:rsid w:val="00461147"/>
    <w:rsid w:val="004648E2"/>
    <w:rsid w:val="00484C53"/>
    <w:rsid w:val="00485A3F"/>
    <w:rsid w:val="00486646"/>
    <w:rsid w:val="00487F77"/>
    <w:rsid w:val="00490056"/>
    <w:rsid w:val="00491DD7"/>
    <w:rsid w:val="00495F18"/>
    <w:rsid w:val="004977A9"/>
    <w:rsid w:val="004A1926"/>
    <w:rsid w:val="004A382D"/>
    <w:rsid w:val="004A3F85"/>
    <w:rsid w:val="004A65B5"/>
    <w:rsid w:val="004A78BA"/>
    <w:rsid w:val="004B4D4D"/>
    <w:rsid w:val="004C11A7"/>
    <w:rsid w:val="004C4541"/>
    <w:rsid w:val="004C5F3F"/>
    <w:rsid w:val="004D0484"/>
    <w:rsid w:val="004D1AE5"/>
    <w:rsid w:val="004D6F74"/>
    <w:rsid w:val="004E269E"/>
    <w:rsid w:val="004E2959"/>
    <w:rsid w:val="004E3A10"/>
    <w:rsid w:val="004E58A5"/>
    <w:rsid w:val="004E6093"/>
    <w:rsid w:val="004E6F41"/>
    <w:rsid w:val="004F2492"/>
    <w:rsid w:val="005145ED"/>
    <w:rsid w:val="00521683"/>
    <w:rsid w:val="005245A4"/>
    <w:rsid w:val="00526949"/>
    <w:rsid w:val="00533D1C"/>
    <w:rsid w:val="00535DC9"/>
    <w:rsid w:val="005376B7"/>
    <w:rsid w:val="00540298"/>
    <w:rsid w:val="00541F3F"/>
    <w:rsid w:val="00547DD7"/>
    <w:rsid w:val="00550252"/>
    <w:rsid w:val="00551A8D"/>
    <w:rsid w:val="005523A5"/>
    <w:rsid w:val="00553DEC"/>
    <w:rsid w:val="00554002"/>
    <w:rsid w:val="00572E35"/>
    <w:rsid w:val="00576234"/>
    <w:rsid w:val="005818A8"/>
    <w:rsid w:val="0058734B"/>
    <w:rsid w:val="005903F3"/>
    <w:rsid w:val="00591B89"/>
    <w:rsid w:val="005926B7"/>
    <w:rsid w:val="00593B03"/>
    <w:rsid w:val="00593F40"/>
    <w:rsid w:val="0059697A"/>
    <w:rsid w:val="005A5EEB"/>
    <w:rsid w:val="005B5BDF"/>
    <w:rsid w:val="005B790A"/>
    <w:rsid w:val="005C05F7"/>
    <w:rsid w:val="005C05FA"/>
    <w:rsid w:val="005C49BA"/>
    <w:rsid w:val="005C5B1D"/>
    <w:rsid w:val="005E1CE0"/>
    <w:rsid w:val="005E6164"/>
    <w:rsid w:val="005F28F8"/>
    <w:rsid w:val="005F2CE6"/>
    <w:rsid w:val="005F45A8"/>
    <w:rsid w:val="005F5D8E"/>
    <w:rsid w:val="00605CB4"/>
    <w:rsid w:val="00606E2B"/>
    <w:rsid w:val="00610C41"/>
    <w:rsid w:val="00612D79"/>
    <w:rsid w:val="0061390B"/>
    <w:rsid w:val="00615F78"/>
    <w:rsid w:val="00622C65"/>
    <w:rsid w:val="006353D1"/>
    <w:rsid w:val="00637F19"/>
    <w:rsid w:val="00641752"/>
    <w:rsid w:val="00645DF5"/>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11CD"/>
    <w:rsid w:val="0072164F"/>
    <w:rsid w:val="007253E7"/>
    <w:rsid w:val="0072736C"/>
    <w:rsid w:val="007315D8"/>
    <w:rsid w:val="00740BD1"/>
    <w:rsid w:val="00743CFD"/>
    <w:rsid w:val="007664C1"/>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C1DB9"/>
    <w:rsid w:val="007C2FD2"/>
    <w:rsid w:val="007C6F18"/>
    <w:rsid w:val="007C7B84"/>
    <w:rsid w:val="007D29EC"/>
    <w:rsid w:val="007D4BBD"/>
    <w:rsid w:val="007D67CC"/>
    <w:rsid w:val="007E1660"/>
    <w:rsid w:val="007E1FC2"/>
    <w:rsid w:val="007F09BE"/>
    <w:rsid w:val="007F1327"/>
    <w:rsid w:val="007F140C"/>
    <w:rsid w:val="007F186E"/>
    <w:rsid w:val="007F197B"/>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288D"/>
    <w:rsid w:val="0083605E"/>
    <w:rsid w:val="00840F4E"/>
    <w:rsid w:val="008463FD"/>
    <w:rsid w:val="00853880"/>
    <w:rsid w:val="00856132"/>
    <w:rsid w:val="00861497"/>
    <w:rsid w:val="008649BB"/>
    <w:rsid w:val="008655EA"/>
    <w:rsid w:val="00867CA5"/>
    <w:rsid w:val="00873ECE"/>
    <w:rsid w:val="008740D4"/>
    <w:rsid w:val="00874708"/>
    <w:rsid w:val="00875F9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326A"/>
    <w:rsid w:val="009260D3"/>
    <w:rsid w:val="009316EC"/>
    <w:rsid w:val="009317CD"/>
    <w:rsid w:val="00934728"/>
    <w:rsid w:val="009644D9"/>
    <w:rsid w:val="0097131C"/>
    <w:rsid w:val="00972485"/>
    <w:rsid w:val="00973185"/>
    <w:rsid w:val="00982F5B"/>
    <w:rsid w:val="009870E4"/>
    <w:rsid w:val="00992BCC"/>
    <w:rsid w:val="009A12FA"/>
    <w:rsid w:val="009A564D"/>
    <w:rsid w:val="009B0D7B"/>
    <w:rsid w:val="009B3801"/>
    <w:rsid w:val="009B534D"/>
    <w:rsid w:val="009B591A"/>
    <w:rsid w:val="009C30FE"/>
    <w:rsid w:val="009C3E56"/>
    <w:rsid w:val="009C483C"/>
    <w:rsid w:val="009D2477"/>
    <w:rsid w:val="009D4A74"/>
    <w:rsid w:val="009D5253"/>
    <w:rsid w:val="009D5D79"/>
    <w:rsid w:val="009D64FE"/>
    <w:rsid w:val="009D75BB"/>
    <w:rsid w:val="009E0994"/>
    <w:rsid w:val="009E25E0"/>
    <w:rsid w:val="009E4452"/>
    <w:rsid w:val="009E5993"/>
    <w:rsid w:val="009E7578"/>
    <w:rsid w:val="009E75B7"/>
    <w:rsid w:val="009F5C7B"/>
    <w:rsid w:val="00A031CE"/>
    <w:rsid w:val="00A04421"/>
    <w:rsid w:val="00A11A0D"/>
    <w:rsid w:val="00A22080"/>
    <w:rsid w:val="00A223D3"/>
    <w:rsid w:val="00A32D1B"/>
    <w:rsid w:val="00A42079"/>
    <w:rsid w:val="00A531E8"/>
    <w:rsid w:val="00A573ED"/>
    <w:rsid w:val="00A60F08"/>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52CB"/>
    <w:rsid w:val="00AC5310"/>
    <w:rsid w:val="00AC7794"/>
    <w:rsid w:val="00AC7ECD"/>
    <w:rsid w:val="00AD009F"/>
    <w:rsid w:val="00AE6128"/>
    <w:rsid w:val="00AF54C5"/>
    <w:rsid w:val="00AF56FD"/>
    <w:rsid w:val="00AF5EA0"/>
    <w:rsid w:val="00B066DA"/>
    <w:rsid w:val="00B072C0"/>
    <w:rsid w:val="00B10135"/>
    <w:rsid w:val="00B10769"/>
    <w:rsid w:val="00B118A2"/>
    <w:rsid w:val="00B133D0"/>
    <w:rsid w:val="00B15418"/>
    <w:rsid w:val="00B17165"/>
    <w:rsid w:val="00B1737C"/>
    <w:rsid w:val="00B1758C"/>
    <w:rsid w:val="00B17639"/>
    <w:rsid w:val="00B23E58"/>
    <w:rsid w:val="00B23F73"/>
    <w:rsid w:val="00B33C93"/>
    <w:rsid w:val="00B443CE"/>
    <w:rsid w:val="00B4555A"/>
    <w:rsid w:val="00B51CAF"/>
    <w:rsid w:val="00B53C56"/>
    <w:rsid w:val="00B60464"/>
    <w:rsid w:val="00B606EF"/>
    <w:rsid w:val="00B618F8"/>
    <w:rsid w:val="00B64133"/>
    <w:rsid w:val="00B72E2D"/>
    <w:rsid w:val="00B745CB"/>
    <w:rsid w:val="00B805BD"/>
    <w:rsid w:val="00B80E26"/>
    <w:rsid w:val="00B81DA7"/>
    <w:rsid w:val="00B873E2"/>
    <w:rsid w:val="00B91D3D"/>
    <w:rsid w:val="00B94E7D"/>
    <w:rsid w:val="00B97F08"/>
    <w:rsid w:val="00BA4663"/>
    <w:rsid w:val="00BA696B"/>
    <w:rsid w:val="00BA7212"/>
    <w:rsid w:val="00BC5F45"/>
    <w:rsid w:val="00BC71D6"/>
    <w:rsid w:val="00BD4C85"/>
    <w:rsid w:val="00BE1EFD"/>
    <w:rsid w:val="00BE456E"/>
    <w:rsid w:val="00BF3137"/>
    <w:rsid w:val="00BF4417"/>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E7723"/>
    <w:rsid w:val="00CE7903"/>
    <w:rsid w:val="00CF6C71"/>
    <w:rsid w:val="00CF7A9A"/>
    <w:rsid w:val="00D00D60"/>
    <w:rsid w:val="00D017E5"/>
    <w:rsid w:val="00D01A19"/>
    <w:rsid w:val="00D04FF1"/>
    <w:rsid w:val="00D1367C"/>
    <w:rsid w:val="00D14B3E"/>
    <w:rsid w:val="00D1582A"/>
    <w:rsid w:val="00D17FB1"/>
    <w:rsid w:val="00D21BE4"/>
    <w:rsid w:val="00D25C5A"/>
    <w:rsid w:val="00D309C4"/>
    <w:rsid w:val="00D32D2F"/>
    <w:rsid w:val="00D341CA"/>
    <w:rsid w:val="00D41AF4"/>
    <w:rsid w:val="00D45E53"/>
    <w:rsid w:val="00D47039"/>
    <w:rsid w:val="00D55EAF"/>
    <w:rsid w:val="00D63655"/>
    <w:rsid w:val="00D66257"/>
    <w:rsid w:val="00D673AD"/>
    <w:rsid w:val="00D75630"/>
    <w:rsid w:val="00D762B2"/>
    <w:rsid w:val="00D842AA"/>
    <w:rsid w:val="00D86D76"/>
    <w:rsid w:val="00D87130"/>
    <w:rsid w:val="00D93E0B"/>
    <w:rsid w:val="00DA7546"/>
    <w:rsid w:val="00DB1A98"/>
    <w:rsid w:val="00DB4E25"/>
    <w:rsid w:val="00DB6FBE"/>
    <w:rsid w:val="00DC47C0"/>
    <w:rsid w:val="00DD145E"/>
    <w:rsid w:val="00DD1480"/>
    <w:rsid w:val="00DD29E1"/>
    <w:rsid w:val="00DD334E"/>
    <w:rsid w:val="00DE02C4"/>
    <w:rsid w:val="00DF164D"/>
    <w:rsid w:val="00DF1796"/>
    <w:rsid w:val="00DF270D"/>
    <w:rsid w:val="00DF3137"/>
    <w:rsid w:val="00DF3B28"/>
    <w:rsid w:val="00DF56EC"/>
    <w:rsid w:val="00E020F2"/>
    <w:rsid w:val="00E12059"/>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90537"/>
    <w:rsid w:val="00F91733"/>
    <w:rsid w:val="00F920DB"/>
    <w:rsid w:val="00F95209"/>
    <w:rsid w:val="00F964AD"/>
    <w:rsid w:val="00FB3956"/>
    <w:rsid w:val="00FC0F8B"/>
    <w:rsid w:val="00FC24AF"/>
    <w:rsid w:val="00FD6B0E"/>
    <w:rsid w:val="00FE1B77"/>
    <w:rsid w:val="00FE7219"/>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DD000C-25C4-427E-AA67-A7C287B20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4361</TotalTime>
  <Pages>10</Pages>
  <Words>1742</Words>
  <Characters>9933</Characters>
  <Application>Microsoft Office Word</Application>
  <DocSecurity>0</DocSecurity>
  <Lines>82</Lines>
  <Paragraphs>23</Paragraphs>
  <ScaleCrop>false</ScaleCrop>
  <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120</cp:revision>
  <cp:lastPrinted>2023-06-08T02:23:00Z</cp:lastPrinted>
  <dcterms:created xsi:type="dcterms:W3CDTF">2022-11-15T10:06:00Z</dcterms:created>
  <dcterms:modified xsi:type="dcterms:W3CDTF">2023-10-30T06:22:00Z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