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Pr="00152664" w:rsidRDefault="00CC3FFA" w:rsidP="00152664">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F51139"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F51139" w:rsidRPr="00D31757">
            <w:rPr>
              <w:rStyle w:val="a9"/>
              <w:noProof/>
            </w:rPr>
            <w:fldChar w:fldCharType="begin"/>
          </w:r>
          <w:r w:rsidR="00F51139" w:rsidRPr="00D31757">
            <w:rPr>
              <w:rStyle w:val="a9"/>
              <w:noProof/>
            </w:rPr>
            <w:instrText xml:space="preserve"> </w:instrText>
          </w:r>
          <w:r w:rsidR="00F51139">
            <w:rPr>
              <w:noProof/>
            </w:rPr>
            <w:instrText>HYPERLINK \l "_Toc149294664"</w:instrText>
          </w:r>
          <w:r w:rsidR="00F51139" w:rsidRPr="00D31757">
            <w:rPr>
              <w:rStyle w:val="a9"/>
              <w:noProof/>
            </w:rPr>
            <w:instrText xml:space="preserve"> </w:instrText>
          </w:r>
          <w:r w:rsidR="00F51139" w:rsidRPr="00D31757">
            <w:rPr>
              <w:rStyle w:val="a9"/>
              <w:noProof/>
            </w:rPr>
          </w:r>
          <w:r w:rsidR="00F51139" w:rsidRPr="00D31757">
            <w:rPr>
              <w:rStyle w:val="a9"/>
              <w:noProof/>
            </w:rPr>
            <w:fldChar w:fldCharType="separate"/>
          </w:r>
          <w:r w:rsidR="00F51139" w:rsidRPr="00D31757">
            <w:rPr>
              <w:rStyle w:val="a9"/>
              <w:rFonts w:ascii="Times New Roman" w:eastAsia="楷体" w:hAnsi="Times New Roman"/>
              <w:b/>
              <w:noProof/>
            </w:rPr>
            <w:t>[</w:t>
          </w:r>
          <w:r w:rsidR="00F51139" w:rsidRPr="00D31757">
            <w:rPr>
              <w:rStyle w:val="a9"/>
              <w:rFonts w:ascii="Times New Roman" w:eastAsia="楷体" w:hAnsi="Times New Roman"/>
              <w:b/>
              <w:noProof/>
            </w:rPr>
            <w:t>金融</w:t>
          </w:r>
          <w:r w:rsidR="00F51139" w:rsidRPr="00D31757">
            <w:rPr>
              <w:rStyle w:val="a9"/>
              <w:rFonts w:ascii="Times New Roman" w:eastAsia="楷体" w:hAnsi="Times New Roman"/>
              <w:b/>
              <w:noProof/>
            </w:rPr>
            <w:t>]</w:t>
          </w:r>
          <w:r w:rsidR="00F51139" w:rsidRPr="00D31757">
            <w:rPr>
              <w:rStyle w:val="a9"/>
              <w:noProof/>
            </w:rPr>
            <w:fldChar w:fldCharType="end"/>
          </w:r>
        </w:p>
        <w:p w:rsidR="00F51139" w:rsidRDefault="00F51139">
          <w:pPr>
            <w:pStyle w:val="23"/>
            <w:tabs>
              <w:tab w:val="right" w:leader="dot" w:pos="8296"/>
            </w:tabs>
            <w:rPr>
              <w:rFonts w:eastAsiaTheme="minorEastAsia"/>
              <w:noProof/>
              <w:szCs w:val="22"/>
            </w:rPr>
          </w:pPr>
          <w:hyperlink w:anchor="_Toc149294665" w:history="1">
            <w:r w:rsidRPr="00D31757">
              <w:rPr>
                <w:rStyle w:val="a9"/>
                <w:rFonts w:ascii="Times New Roman" w:eastAsia="楷体" w:hAnsi="Times New Roman"/>
                <w:b/>
                <w:noProof/>
              </w:rPr>
              <w:t>股指：分批低多思路为主</w:t>
            </w:r>
          </w:hyperlink>
        </w:p>
        <w:p w:rsidR="00F51139" w:rsidRDefault="00F51139">
          <w:pPr>
            <w:pStyle w:val="11"/>
            <w:tabs>
              <w:tab w:val="right" w:leader="dot" w:pos="8296"/>
            </w:tabs>
            <w:rPr>
              <w:rFonts w:eastAsiaTheme="minorEastAsia"/>
              <w:noProof/>
              <w:szCs w:val="22"/>
            </w:rPr>
          </w:pPr>
          <w:hyperlink w:anchor="_Toc149294666" w:history="1">
            <w:r w:rsidRPr="00D31757">
              <w:rPr>
                <w:rStyle w:val="a9"/>
                <w:rFonts w:ascii="Times New Roman" w:eastAsia="楷体" w:hAnsi="Times New Roman"/>
                <w:b/>
                <w:noProof/>
              </w:rPr>
              <w:t>[</w:t>
            </w:r>
            <w:r w:rsidRPr="00D31757">
              <w:rPr>
                <w:rStyle w:val="a9"/>
                <w:rFonts w:ascii="Times New Roman" w:eastAsia="楷体" w:hAnsi="Times New Roman"/>
                <w:b/>
                <w:noProof/>
              </w:rPr>
              <w:t>贵金属</w:t>
            </w:r>
            <w:r w:rsidRPr="00D31757">
              <w:rPr>
                <w:rStyle w:val="a9"/>
                <w:rFonts w:ascii="Times New Roman" w:eastAsia="楷体" w:hAnsi="Times New Roman"/>
                <w:b/>
                <w:noProof/>
              </w:rPr>
              <w:t>]</w:t>
            </w:r>
          </w:hyperlink>
        </w:p>
        <w:p w:rsidR="00F51139" w:rsidRDefault="00F51139">
          <w:pPr>
            <w:pStyle w:val="23"/>
            <w:tabs>
              <w:tab w:val="right" w:leader="dot" w:pos="8296"/>
            </w:tabs>
            <w:rPr>
              <w:rFonts w:eastAsiaTheme="minorEastAsia"/>
              <w:noProof/>
              <w:szCs w:val="22"/>
            </w:rPr>
          </w:pPr>
          <w:hyperlink w:anchor="_Toc149294667" w:history="1">
            <w:r w:rsidRPr="00D31757">
              <w:rPr>
                <w:rStyle w:val="a9"/>
                <w:rFonts w:ascii="Times New Roman" w:eastAsia="楷体" w:hAnsi="Times New Roman"/>
                <w:b/>
                <w:noProof/>
              </w:rPr>
              <w:t>贵金属：美国第三季度增速创近两年新高，沪金小幅上涨</w:t>
            </w:r>
          </w:hyperlink>
        </w:p>
        <w:p w:rsidR="00F51139" w:rsidRDefault="00F51139">
          <w:pPr>
            <w:pStyle w:val="11"/>
            <w:tabs>
              <w:tab w:val="right" w:leader="dot" w:pos="8296"/>
            </w:tabs>
            <w:rPr>
              <w:rFonts w:eastAsiaTheme="minorEastAsia"/>
              <w:noProof/>
              <w:szCs w:val="22"/>
            </w:rPr>
          </w:pPr>
          <w:hyperlink w:anchor="_Toc149294668" w:history="1">
            <w:r w:rsidRPr="00D31757">
              <w:rPr>
                <w:rStyle w:val="a9"/>
                <w:rFonts w:ascii="Times New Roman" w:eastAsia="楷体" w:hAnsi="Times New Roman"/>
                <w:b/>
                <w:noProof/>
              </w:rPr>
              <w:t>[</w:t>
            </w:r>
            <w:r w:rsidRPr="00D31757">
              <w:rPr>
                <w:rStyle w:val="a9"/>
                <w:rFonts w:ascii="Times New Roman" w:eastAsia="楷体" w:hAnsi="Times New Roman"/>
                <w:b/>
                <w:noProof/>
              </w:rPr>
              <w:t>金属</w:t>
            </w:r>
            <w:r w:rsidRPr="00D31757">
              <w:rPr>
                <w:rStyle w:val="a9"/>
                <w:rFonts w:ascii="Times New Roman" w:eastAsia="楷体" w:hAnsi="Times New Roman"/>
                <w:b/>
                <w:noProof/>
              </w:rPr>
              <w:t>]</w:t>
            </w:r>
          </w:hyperlink>
        </w:p>
        <w:p w:rsidR="00F51139" w:rsidRDefault="00F51139">
          <w:pPr>
            <w:pStyle w:val="23"/>
            <w:tabs>
              <w:tab w:val="right" w:leader="dot" w:pos="8296"/>
            </w:tabs>
            <w:rPr>
              <w:rFonts w:eastAsiaTheme="minorEastAsia"/>
              <w:noProof/>
              <w:szCs w:val="22"/>
            </w:rPr>
          </w:pPr>
          <w:hyperlink w:anchor="_Toc149294669" w:history="1">
            <w:r w:rsidRPr="00D31757">
              <w:rPr>
                <w:rStyle w:val="a9"/>
                <w:rFonts w:ascii="楷体" w:eastAsia="楷体" w:hAnsi="楷体"/>
                <w:b/>
                <w:noProof/>
              </w:rPr>
              <w:t>碳酸锂：期价接近前低，锂价或偏弱震荡</w:t>
            </w:r>
          </w:hyperlink>
        </w:p>
        <w:p w:rsidR="00F51139" w:rsidRDefault="00F51139">
          <w:pPr>
            <w:pStyle w:val="23"/>
            <w:tabs>
              <w:tab w:val="right" w:leader="dot" w:pos="8296"/>
            </w:tabs>
            <w:rPr>
              <w:rFonts w:eastAsiaTheme="minorEastAsia"/>
              <w:noProof/>
              <w:szCs w:val="22"/>
            </w:rPr>
          </w:pPr>
          <w:hyperlink w:anchor="_Toc149294670" w:history="1">
            <w:r w:rsidRPr="00D31757">
              <w:rPr>
                <w:rStyle w:val="a9"/>
                <w:rFonts w:ascii="楷体" w:eastAsia="楷体" w:hAnsi="楷体"/>
                <w:b/>
                <w:noProof/>
              </w:rPr>
              <w:t>螺纹钢：需求偏稳，预计价格震荡偏强运行</w:t>
            </w:r>
          </w:hyperlink>
        </w:p>
        <w:p w:rsidR="00F51139" w:rsidRDefault="00F51139">
          <w:pPr>
            <w:pStyle w:val="23"/>
            <w:tabs>
              <w:tab w:val="right" w:leader="dot" w:pos="8296"/>
            </w:tabs>
            <w:rPr>
              <w:rFonts w:eastAsiaTheme="minorEastAsia"/>
              <w:noProof/>
              <w:szCs w:val="22"/>
            </w:rPr>
          </w:pPr>
          <w:hyperlink w:anchor="_Toc149294671" w:history="1">
            <w:r w:rsidRPr="00D31757">
              <w:rPr>
                <w:rStyle w:val="a9"/>
                <w:rFonts w:ascii="楷体" w:eastAsia="楷体" w:hAnsi="楷体"/>
                <w:b/>
                <w:noProof/>
              </w:rPr>
              <w:t>焦炭：供需紧平衡，高位下震荡运行</w:t>
            </w:r>
          </w:hyperlink>
        </w:p>
        <w:p w:rsidR="00F51139" w:rsidRDefault="00F51139">
          <w:pPr>
            <w:pStyle w:val="23"/>
            <w:tabs>
              <w:tab w:val="right" w:leader="dot" w:pos="8296"/>
            </w:tabs>
            <w:rPr>
              <w:rFonts w:eastAsiaTheme="minorEastAsia"/>
              <w:noProof/>
              <w:szCs w:val="22"/>
            </w:rPr>
          </w:pPr>
          <w:hyperlink w:anchor="_Toc149294672" w:history="1">
            <w:r w:rsidRPr="00D31757">
              <w:rPr>
                <w:rStyle w:val="a9"/>
                <w:rFonts w:ascii="楷体" w:eastAsia="楷体" w:hAnsi="楷体"/>
                <w:b/>
                <w:noProof/>
              </w:rPr>
              <w:t>焦煤：供需紧平衡，高位下震荡运行</w:t>
            </w:r>
          </w:hyperlink>
        </w:p>
        <w:p w:rsidR="00F51139" w:rsidRDefault="00F51139">
          <w:pPr>
            <w:pStyle w:val="23"/>
            <w:tabs>
              <w:tab w:val="right" w:leader="dot" w:pos="8296"/>
            </w:tabs>
            <w:rPr>
              <w:rFonts w:eastAsiaTheme="minorEastAsia"/>
              <w:noProof/>
              <w:szCs w:val="22"/>
            </w:rPr>
          </w:pPr>
          <w:hyperlink w:anchor="_Toc149294673" w:history="1">
            <w:r w:rsidRPr="00D31757">
              <w:rPr>
                <w:rStyle w:val="a9"/>
                <w:rFonts w:ascii="楷体" w:eastAsia="楷体" w:hAnsi="楷体"/>
                <w:b/>
                <w:noProof/>
              </w:rPr>
              <w:t>铜：美元强势下铜价承压运行</w:t>
            </w:r>
          </w:hyperlink>
        </w:p>
        <w:p w:rsidR="00F51139" w:rsidRDefault="00F51139">
          <w:pPr>
            <w:pStyle w:val="23"/>
            <w:tabs>
              <w:tab w:val="right" w:leader="dot" w:pos="8296"/>
            </w:tabs>
            <w:rPr>
              <w:rFonts w:eastAsiaTheme="minorEastAsia"/>
              <w:noProof/>
              <w:szCs w:val="22"/>
            </w:rPr>
          </w:pPr>
          <w:hyperlink w:anchor="_Toc149294674" w:history="1">
            <w:r w:rsidRPr="00D31757">
              <w:rPr>
                <w:rStyle w:val="a9"/>
                <w:rFonts w:ascii="楷体" w:eastAsia="楷体" w:hAnsi="楷体"/>
                <w:b/>
                <w:noProof/>
              </w:rPr>
              <w:t>铝：铝价下方仍有支撑</w:t>
            </w:r>
          </w:hyperlink>
        </w:p>
        <w:p w:rsidR="00F51139" w:rsidRDefault="00F51139">
          <w:pPr>
            <w:pStyle w:val="23"/>
            <w:tabs>
              <w:tab w:val="right" w:leader="dot" w:pos="8296"/>
            </w:tabs>
            <w:rPr>
              <w:rFonts w:eastAsiaTheme="minorEastAsia"/>
              <w:noProof/>
              <w:szCs w:val="22"/>
            </w:rPr>
          </w:pPr>
          <w:hyperlink w:anchor="_Toc149294675" w:history="1">
            <w:r w:rsidRPr="00D31757">
              <w:rPr>
                <w:rStyle w:val="a9"/>
                <w:rFonts w:ascii="楷体" w:eastAsia="楷体" w:hAnsi="楷体"/>
                <w:b/>
                <w:noProof/>
              </w:rPr>
              <w:t>锌：宏观情绪支撑锌价偏强震荡运行</w:t>
            </w:r>
          </w:hyperlink>
        </w:p>
        <w:p w:rsidR="00F51139" w:rsidRDefault="00F51139">
          <w:pPr>
            <w:pStyle w:val="23"/>
            <w:tabs>
              <w:tab w:val="right" w:leader="dot" w:pos="8296"/>
            </w:tabs>
            <w:rPr>
              <w:rFonts w:eastAsiaTheme="minorEastAsia"/>
              <w:noProof/>
              <w:szCs w:val="22"/>
            </w:rPr>
          </w:pPr>
          <w:hyperlink w:anchor="_Toc149294676" w:history="1">
            <w:r w:rsidRPr="00D31757">
              <w:rPr>
                <w:rStyle w:val="a9"/>
                <w:rFonts w:ascii="楷体" w:eastAsia="楷体" w:hAnsi="楷体"/>
                <w:b/>
                <w:noProof/>
              </w:rPr>
              <w:t>镍：宏观氛围偏空叠加基本面供增需弱，预计镍价维持弱势运行</w:t>
            </w:r>
          </w:hyperlink>
        </w:p>
        <w:p w:rsidR="00F51139" w:rsidRDefault="00F51139">
          <w:pPr>
            <w:pStyle w:val="23"/>
            <w:tabs>
              <w:tab w:val="right" w:leader="dot" w:pos="8296"/>
            </w:tabs>
            <w:rPr>
              <w:rFonts w:eastAsiaTheme="minorEastAsia"/>
              <w:noProof/>
              <w:szCs w:val="22"/>
            </w:rPr>
          </w:pPr>
          <w:hyperlink w:anchor="_Toc149294677" w:history="1">
            <w:r w:rsidRPr="00D31757">
              <w:rPr>
                <w:rStyle w:val="a9"/>
                <w:rFonts w:ascii="楷体" w:eastAsia="楷体" w:hAnsi="楷体"/>
                <w:b/>
                <w:noProof/>
              </w:rPr>
              <w:t>铅：铝价上方压力仍存</w:t>
            </w:r>
          </w:hyperlink>
        </w:p>
        <w:p w:rsidR="00F51139" w:rsidRDefault="00F51139">
          <w:pPr>
            <w:pStyle w:val="23"/>
            <w:tabs>
              <w:tab w:val="right" w:leader="dot" w:pos="8296"/>
            </w:tabs>
            <w:rPr>
              <w:rFonts w:eastAsiaTheme="minorEastAsia"/>
              <w:noProof/>
              <w:szCs w:val="22"/>
            </w:rPr>
          </w:pPr>
          <w:hyperlink w:anchor="_Toc149294678" w:history="1">
            <w:r w:rsidRPr="00D31757">
              <w:rPr>
                <w:rStyle w:val="a9"/>
                <w:rFonts w:ascii="楷体" w:eastAsia="楷体" w:hAnsi="楷体"/>
                <w:b/>
                <w:noProof/>
              </w:rPr>
              <w:t>不锈钢：产业负反馈传导持续，上下空间皆有限</w:t>
            </w:r>
          </w:hyperlink>
        </w:p>
        <w:p w:rsidR="00F51139" w:rsidRDefault="00F51139">
          <w:pPr>
            <w:pStyle w:val="23"/>
            <w:tabs>
              <w:tab w:val="right" w:leader="dot" w:pos="8296"/>
            </w:tabs>
            <w:rPr>
              <w:rFonts w:eastAsiaTheme="minorEastAsia"/>
              <w:noProof/>
              <w:szCs w:val="22"/>
            </w:rPr>
          </w:pPr>
          <w:hyperlink w:anchor="_Toc149294679" w:history="1">
            <w:r w:rsidRPr="00D31757">
              <w:rPr>
                <w:rStyle w:val="a9"/>
                <w:rFonts w:ascii="楷体" w:eastAsia="楷体" w:hAnsi="楷体"/>
                <w:b/>
                <w:noProof/>
              </w:rPr>
              <w:t>工业硅：市场情绪转弱，盘面大幅下行</w:t>
            </w:r>
          </w:hyperlink>
        </w:p>
        <w:p w:rsidR="00F51139" w:rsidRDefault="00F51139">
          <w:pPr>
            <w:pStyle w:val="11"/>
            <w:tabs>
              <w:tab w:val="right" w:leader="dot" w:pos="8296"/>
            </w:tabs>
            <w:rPr>
              <w:rFonts w:eastAsiaTheme="minorEastAsia"/>
              <w:noProof/>
              <w:szCs w:val="22"/>
            </w:rPr>
          </w:pPr>
          <w:hyperlink w:anchor="_Toc149294680" w:history="1">
            <w:r w:rsidRPr="00D31757">
              <w:rPr>
                <w:rStyle w:val="a9"/>
                <w:rFonts w:ascii="Times New Roman" w:eastAsia="楷体" w:hAnsi="Times New Roman"/>
                <w:b/>
                <w:noProof/>
              </w:rPr>
              <w:t>[</w:t>
            </w:r>
            <w:r w:rsidRPr="00D31757">
              <w:rPr>
                <w:rStyle w:val="a9"/>
                <w:rFonts w:ascii="Times New Roman" w:eastAsia="楷体" w:hAnsi="Times New Roman"/>
                <w:b/>
                <w:noProof/>
              </w:rPr>
              <w:t>化工</w:t>
            </w:r>
            <w:r w:rsidRPr="00D31757">
              <w:rPr>
                <w:rStyle w:val="a9"/>
                <w:rFonts w:ascii="Times New Roman" w:eastAsia="楷体" w:hAnsi="Times New Roman"/>
                <w:b/>
                <w:noProof/>
              </w:rPr>
              <w:t>]</w:t>
            </w:r>
          </w:hyperlink>
        </w:p>
        <w:p w:rsidR="00F51139" w:rsidRDefault="00F51139">
          <w:pPr>
            <w:pStyle w:val="23"/>
            <w:tabs>
              <w:tab w:val="right" w:leader="dot" w:pos="8296"/>
            </w:tabs>
            <w:rPr>
              <w:rFonts w:eastAsiaTheme="minorEastAsia"/>
              <w:noProof/>
              <w:szCs w:val="22"/>
            </w:rPr>
          </w:pPr>
          <w:hyperlink w:anchor="_Toc149294681" w:history="1">
            <w:r w:rsidRPr="00D31757">
              <w:rPr>
                <w:rStyle w:val="a9"/>
                <w:rFonts w:ascii="Times New Roman" w:eastAsia="楷体" w:hAnsi="Times New Roman"/>
                <w:b/>
                <w:noProof/>
              </w:rPr>
              <w:t>天然橡胶</w:t>
            </w:r>
            <w:r w:rsidRPr="00D31757">
              <w:rPr>
                <w:rStyle w:val="a9"/>
                <w:rFonts w:ascii="Times New Roman" w:eastAsia="楷体" w:hAnsi="Times New Roman"/>
                <w:b/>
                <w:noProof/>
              </w:rPr>
              <w:t>:</w:t>
            </w:r>
            <w:r w:rsidRPr="00D31757">
              <w:rPr>
                <w:rStyle w:val="a9"/>
                <w:rFonts w:ascii="楷体" w:eastAsia="楷体" w:hAnsi="楷体"/>
                <w:b/>
                <w:noProof/>
              </w:rPr>
              <w:t xml:space="preserve"> 向上驱动力不明显，天胶或震荡整理为主</w:t>
            </w:r>
          </w:hyperlink>
        </w:p>
        <w:p w:rsidR="00F51139" w:rsidRDefault="00F51139">
          <w:pPr>
            <w:pStyle w:val="23"/>
            <w:tabs>
              <w:tab w:val="right" w:leader="dot" w:pos="8296"/>
            </w:tabs>
            <w:rPr>
              <w:rFonts w:eastAsiaTheme="minorEastAsia"/>
              <w:noProof/>
              <w:szCs w:val="22"/>
            </w:rPr>
          </w:pPr>
          <w:hyperlink w:anchor="_Toc149294682" w:history="1">
            <w:r w:rsidRPr="00D31757">
              <w:rPr>
                <w:rStyle w:val="a9"/>
                <w:rFonts w:ascii="楷体" w:eastAsia="楷体" w:hAnsi="楷体"/>
                <w:b/>
                <w:noProof/>
              </w:rPr>
              <w:t>PTA：</w:t>
            </w:r>
            <w:r w:rsidRPr="00D31757">
              <w:rPr>
                <w:rStyle w:val="a9"/>
                <w:rFonts w:ascii="Calibri" w:eastAsia="楷体" w:hAnsi="Calibri" w:cs="Calibri"/>
                <w:b/>
                <w:noProof/>
              </w:rPr>
              <w:t> </w:t>
            </w:r>
            <w:r w:rsidRPr="00D31757">
              <w:rPr>
                <w:rStyle w:val="a9"/>
                <w:rFonts w:ascii="楷体" w:eastAsia="楷体" w:hAnsi="楷体"/>
                <w:b/>
                <w:noProof/>
              </w:rPr>
              <w:t>供需矛盾暂时缓解 但向上驱动仍不足</w:t>
            </w:r>
          </w:hyperlink>
        </w:p>
        <w:p w:rsidR="00F51139" w:rsidRDefault="00F51139">
          <w:pPr>
            <w:pStyle w:val="23"/>
            <w:tabs>
              <w:tab w:val="right" w:leader="dot" w:pos="8296"/>
            </w:tabs>
            <w:rPr>
              <w:rFonts w:eastAsiaTheme="minorEastAsia"/>
              <w:noProof/>
              <w:szCs w:val="22"/>
            </w:rPr>
          </w:pPr>
          <w:hyperlink w:anchor="_Toc149294683" w:history="1">
            <w:r w:rsidRPr="00D31757">
              <w:rPr>
                <w:rStyle w:val="a9"/>
                <w:rFonts w:ascii="楷体" w:eastAsia="楷体" w:hAnsi="楷体"/>
                <w:b/>
                <w:noProof/>
              </w:rPr>
              <w:t>聚烯烃：传统旺季尾声 聚烯烃偏弱整理为主</w:t>
            </w:r>
          </w:hyperlink>
        </w:p>
        <w:p w:rsidR="00F51139" w:rsidRDefault="00F51139">
          <w:pPr>
            <w:pStyle w:val="23"/>
            <w:tabs>
              <w:tab w:val="right" w:leader="dot" w:pos="8296"/>
            </w:tabs>
            <w:rPr>
              <w:rFonts w:eastAsiaTheme="minorEastAsia"/>
              <w:noProof/>
              <w:szCs w:val="22"/>
            </w:rPr>
          </w:pPr>
          <w:hyperlink w:anchor="_Toc149294684" w:history="1">
            <w:r w:rsidRPr="00D31757">
              <w:rPr>
                <w:rStyle w:val="a9"/>
                <w:rFonts w:ascii="楷体" w:eastAsia="楷体" w:hAnsi="楷体"/>
                <w:b/>
                <w:noProof/>
              </w:rPr>
              <w:t>MEG：到港增加 反弹空间受限</w:t>
            </w:r>
          </w:hyperlink>
        </w:p>
        <w:p w:rsidR="00F51139" w:rsidRDefault="00F51139">
          <w:pPr>
            <w:pStyle w:val="23"/>
            <w:tabs>
              <w:tab w:val="right" w:leader="dot" w:pos="8296"/>
            </w:tabs>
            <w:rPr>
              <w:rFonts w:eastAsiaTheme="minorEastAsia"/>
              <w:noProof/>
              <w:szCs w:val="22"/>
            </w:rPr>
          </w:pPr>
          <w:hyperlink w:anchor="_Toc149294685" w:history="1">
            <w:r w:rsidRPr="00D31757">
              <w:rPr>
                <w:rStyle w:val="a9"/>
                <w:rFonts w:ascii="楷体" w:eastAsia="楷体" w:hAnsi="楷体"/>
                <w:b/>
                <w:noProof/>
              </w:rPr>
              <w:t>玻璃：周度小幅累库，逢高做空</w:t>
            </w:r>
          </w:hyperlink>
        </w:p>
        <w:p w:rsidR="00F51139" w:rsidRDefault="00F51139">
          <w:pPr>
            <w:pStyle w:val="23"/>
            <w:tabs>
              <w:tab w:val="right" w:leader="dot" w:pos="8296"/>
            </w:tabs>
            <w:rPr>
              <w:rFonts w:eastAsiaTheme="minorEastAsia"/>
              <w:noProof/>
              <w:szCs w:val="22"/>
            </w:rPr>
          </w:pPr>
          <w:hyperlink w:anchor="_Toc149294686" w:history="1">
            <w:r w:rsidRPr="00D31757">
              <w:rPr>
                <w:rStyle w:val="a9"/>
                <w:rFonts w:ascii="楷体" w:eastAsia="楷体" w:hAnsi="楷体"/>
                <w:b/>
                <w:noProof/>
              </w:rPr>
              <w:t>纯碱：加速累库，现货出现抢跑</w:t>
            </w:r>
          </w:hyperlink>
        </w:p>
        <w:p w:rsidR="00F51139" w:rsidRDefault="00F51139">
          <w:pPr>
            <w:pStyle w:val="11"/>
            <w:tabs>
              <w:tab w:val="right" w:leader="dot" w:pos="8296"/>
            </w:tabs>
            <w:rPr>
              <w:rFonts w:eastAsiaTheme="minorEastAsia"/>
              <w:noProof/>
              <w:szCs w:val="22"/>
            </w:rPr>
          </w:pPr>
          <w:hyperlink w:anchor="_Toc149294687" w:history="1">
            <w:r w:rsidRPr="00D31757">
              <w:rPr>
                <w:rStyle w:val="a9"/>
                <w:rFonts w:ascii="Times New Roman" w:eastAsia="楷体" w:hAnsi="Times New Roman"/>
                <w:b/>
                <w:noProof/>
              </w:rPr>
              <w:t>[</w:t>
            </w:r>
            <w:r w:rsidRPr="00D31757">
              <w:rPr>
                <w:rStyle w:val="a9"/>
                <w:rFonts w:ascii="Times New Roman" w:eastAsia="楷体" w:hAnsi="Times New Roman"/>
                <w:b/>
                <w:noProof/>
              </w:rPr>
              <w:t>农产品</w:t>
            </w:r>
            <w:r w:rsidRPr="00D31757">
              <w:rPr>
                <w:rStyle w:val="a9"/>
                <w:rFonts w:ascii="Times New Roman" w:eastAsia="楷体" w:hAnsi="Times New Roman"/>
                <w:b/>
                <w:noProof/>
              </w:rPr>
              <w:t>]</w:t>
            </w:r>
          </w:hyperlink>
        </w:p>
        <w:p w:rsidR="00F51139" w:rsidRDefault="00F51139">
          <w:pPr>
            <w:pStyle w:val="23"/>
            <w:tabs>
              <w:tab w:val="right" w:leader="dot" w:pos="8296"/>
            </w:tabs>
            <w:rPr>
              <w:rFonts w:eastAsiaTheme="minorEastAsia"/>
              <w:noProof/>
              <w:szCs w:val="22"/>
            </w:rPr>
          </w:pPr>
          <w:hyperlink w:anchor="_Toc149294688" w:history="1">
            <w:r w:rsidRPr="00D31757">
              <w:rPr>
                <w:rStyle w:val="a9"/>
                <w:rFonts w:ascii="楷体" w:eastAsia="楷体" w:hAnsi="楷体"/>
                <w:b/>
                <w:noProof/>
              </w:rPr>
              <w:t>豆粕/菜粕：进口成本支撑，震荡整理</w:t>
            </w:r>
          </w:hyperlink>
        </w:p>
        <w:p w:rsidR="00F51139" w:rsidRDefault="00F51139">
          <w:pPr>
            <w:pStyle w:val="23"/>
            <w:tabs>
              <w:tab w:val="right" w:leader="dot" w:pos="8296"/>
            </w:tabs>
            <w:rPr>
              <w:rFonts w:eastAsiaTheme="minorEastAsia"/>
              <w:noProof/>
              <w:szCs w:val="22"/>
            </w:rPr>
          </w:pPr>
          <w:hyperlink w:anchor="_Toc149294689" w:history="1">
            <w:r w:rsidRPr="00D31757">
              <w:rPr>
                <w:rStyle w:val="a9"/>
                <w:rFonts w:ascii="楷体" w:eastAsia="楷体" w:hAnsi="楷体"/>
                <w:b/>
                <w:noProof/>
              </w:rPr>
              <w:t>油脂：供过于求格局未变，短期缺乏上行驱动</w:t>
            </w:r>
          </w:hyperlink>
        </w:p>
        <w:p w:rsidR="00F51139" w:rsidRDefault="00F51139">
          <w:pPr>
            <w:pStyle w:val="23"/>
            <w:tabs>
              <w:tab w:val="right" w:leader="dot" w:pos="8296"/>
            </w:tabs>
            <w:rPr>
              <w:rFonts w:eastAsiaTheme="minorEastAsia"/>
              <w:noProof/>
              <w:szCs w:val="22"/>
            </w:rPr>
          </w:pPr>
          <w:hyperlink w:anchor="_Toc149294690" w:history="1">
            <w:r w:rsidRPr="00D31757">
              <w:rPr>
                <w:rStyle w:val="a9"/>
                <w:rFonts w:ascii="楷体" w:eastAsia="楷体" w:hAnsi="楷体"/>
                <w:b/>
                <w:bCs/>
                <w:noProof/>
              </w:rPr>
              <w:t>玉米与淀粉：</w:t>
            </w:r>
            <w:r w:rsidRPr="00D31757">
              <w:rPr>
                <w:rStyle w:val="a9"/>
                <w:rFonts w:ascii="楷体" w:eastAsia="楷体" w:hAnsi="楷体"/>
                <w:b/>
                <w:noProof/>
              </w:rPr>
              <w:t>期价震荡等待新作压力释放</w:t>
            </w:r>
          </w:hyperlink>
        </w:p>
        <w:p w:rsidR="00F51139" w:rsidRDefault="00F51139">
          <w:pPr>
            <w:pStyle w:val="23"/>
            <w:tabs>
              <w:tab w:val="right" w:leader="dot" w:pos="8296"/>
            </w:tabs>
            <w:rPr>
              <w:rFonts w:eastAsiaTheme="minorEastAsia"/>
              <w:noProof/>
              <w:szCs w:val="22"/>
            </w:rPr>
          </w:pPr>
          <w:hyperlink w:anchor="_Toc149294691" w:history="1">
            <w:r w:rsidRPr="00D31757">
              <w:rPr>
                <w:rStyle w:val="a9"/>
                <w:rFonts w:ascii="楷体" w:eastAsia="楷体" w:hAnsi="楷体"/>
                <w:b/>
                <w:bCs/>
                <w:noProof/>
              </w:rPr>
              <w:t>畜禽养殖：生猪期价低开高走</w:t>
            </w:r>
          </w:hyperlink>
        </w:p>
        <w:p w:rsidR="00F51139" w:rsidRDefault="00F51139">
          <w:pPr>
            <w:pStyle w:val="23"/>
            <w:tabs>
              <w:tab w:val="right" w:leader="dot" w:pos="8296"/>
            </w:tabs>
            <w:rPr>
              <w:rFonts w:eastAsiaTheme="minorEastAsia"/>
              <w:noProof/>
              <w:szCs w:val="22"/>
            </w:rPr>
          </w:pPr>
          <w:hyperlink w:anchor="_Toc149294692" w:history="1">
            <w:r w:rsidRPr="00D31757">
              <w:rPr>
                <w:rStyle w:val="a9"/>
                <w:rFonts w:ascii="楷体" w:eastAsia="楷体" w:hAnsi="楷体"/>
                <w:b/>
                <w:noProof/>
              </w:rPr>
              <w:t>郑棉：预计郑棉1.6—1.65区间温和震荡，谨慎观望</w:t>
            </w:r>
          </w:hyperlink>
        </w:p>
        <w:p w:rsidR="00F51139" w:rsidRDefault="00F51139">
          <w:pPr>
            <w:pStyle w:val="23"/>
            <w:tabs>
              <w:tab w:val="right" w:leader="dot" w:pos="8296"/>
            </w:tabs>
            <w:rPr>
              <w:rFonts w:eastAsiaTheme="minorEastAsia"/>
              <w:noProof/>
              <w:szCs w:val="22"/>
            </w:rPr>
          </w:pPr>
          <w:hyperlink w:anchor="_Toc149294693" w:history="1">
            <w:r w:rsidRPr="00D31757">
              <w:rPr>
                <w:rStyle w:val="a9"/>
                <w:rFonts w:ascii="楷体" w:eastAsia="楷体" w:hAnsi="楷体"/>
                <w:b/>
                <w:noProof/>
              </w:rPr>
              <w:t>白糖：空单持有</w:t>
            </w:r>
          </w:hyperlink>
        </w:p>
        <w:p w:rsidR="00F51139" w:rsidRDefault="00F51139">
          <w:pPr>
            <w:pStyle w:val="11"/>
            <w:tabs>
              <w:tab w:val="right" w:leader="dot" w:pos="8296"/>
            </w:tabs>
            <w:rPr>
              <w:rFonts w:eastAsiaTheme="minorEastAsia"/>
              <w:noProof/>
              <w:szCs w:val="22"/>
            </w:rPr>
          </w:pPr>
          <w:hyperlink w:anchor="_Toc149294694" w:history="1">
            <w:r w:rsidRPr="00D31757">
              <w:rPr>
                <w:rStyle w:val="a9"/>
                <w:rFonts w:ascii="Times New Roman" w:eastAsia="楷体" w:hAnsi="Times New Roman"/>
                <w:b/>
                <w:noProof/>
              </w:rPr>
              <w:t>[</w:t>
            </w:r>
            <w:r w:rsidRPr="00D31757">
              <w:rPr>
                <w:rStyle w:val="a9"/>
                <w:rFonts w:ascii="Times New Roman" w:eastAsia="楷体" w:hAnsi="Times New Roman"/>
                <w:b/>
                <w:noProof/>
              </w:rPr>
              <w:t>指数</w:t>
            </w:r>
            <w:r w:rsidRPr="00D31757">
              <w:rPr>
                <w:rStyle w:val="a9"/>
                <w:rFonts w:ascii="Times New Roman" w:eastAsia="楷体" w:hAnsi="Times New Roman"/>
                <w:b/>
                <w:noProof/>
              </w:rPr>
              <w:t>]</w:t>
            </w:r>
          </w:hyperlink>
        </w:p>
        <w:p w:rsidR="00F51139" w:rsidRDefault="00F51139">
          <w:pPr>
            <w:pStyle w:val="23"/>
            <w:tabs>
              <w:tab w:val="right" w:leader="dot" w:pos="8296"/>
            </w:tabs>
            <w:rPr>
              <w:rFonts w:eastAsiaTheme="minorEastAsia"/>
              <w:noProof/>
              <w:szCs w:val="22"/>
            </w:rPr>
          </w:pPr>
          <w:hyperlink w:anchor="_Toc149294695" w:history="1">
            <w:r w:rsidRPr="00D31757">
              <w:rPr>
                <w:rStyle w:val="a9"/>
                <w:rFonts w:ascii="Times New Roman" w:eastAsia="楷体" w:hAnsi="Times New Roman"/>
                <w:b/>
                <w:noProof/>
              </w:rPr>
              <w:t>集运指数（欧线）：运价维持低位震荡，多空僵持静待本周</w:t>
            </w:r>
            <w:r w:rsidRPr="00D31757">
              <w:rPr>
                <w:rStyle w:val="a9"/>
                <w:rFonts w:ascii="Times New Roman" w:eastAsia="楷体" w:hAnsi="Times New Roman"/>
                <w:b/>
                <w:noProof/>
              </w:rPr>
              <w:t>SCFI</w:t>
            </w:r>
            <w:r w:rsidRPr="00D31757">
              <w:rPr>
                <w:rStyle w:val="a9"/>
                <w:rFonts w:ascii="Times New Roman" w:eastAsia="楷体" w:hAnsi="Times New Roman"/>
                <w:b/>
                <w:noProof/>
              </w:rPr>
              <w:t>公布</w:t>
            </w:r>
          </w:hyperlink>
        </w:p>
        <w:p w:rsidR="003F56A5" w:rsidRPr="00152664" w:rsidRDefault="00CC3FFA" w:rsidP="00152664">
          <w:pPr>
            <w:pStyle w:val="11"/>
            <w:tabs>
              <w:tab w:val="right" w:leader="dot" w:pos="8296"/>
            </w:tabs>
            <w:rPr>
              <w:rFonts w:eastAsiaTheme="minorEastAsia"/>
              <w:noProof/>
              <w:szCs w:val="22"/>
            </w:rPr>
          </w:pPr>
          <w:r>
            <w:rPr>
              <w:bCs/>
            </w:rPr>
            <w:fldChar w:fldCharType="end"/>
          </w:r>
          <w:r w:rsidR="00152664">
            <w:rPr>
              <w:rFonts w:eastAsiaTheme="minorEastAsia"/>
              <w:noProof/>
              <w:szCs w:val="22"/>
            </w:rPr>
            <w:t xml:space="preserve"> </w:t>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929466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9294665"/>
      <w:bookmarkEnd w:id="4"/>
      <w:r>
        <w:rPr>
          <w:rFonts w:ascii="Times New Roman" w:eastAsia="楷体" w:hAnsi="Times New Roman" w:hint="eastAsia"/>
          <w:b/>
          <w:color w:val="000000" w:themeColor="text1"/>
          <w:sz w:val="24"/>
          <w:szCs w:val="24"/>
        </w:rPr>
        <w:t>股指：</w:t>
      </w:r>
      <w:bookmarkEnd w:id="6"/>
      <w:bookmarkEnd w:id="7"/>
      <w:r w:rsidR="00F51139" w:rsidRPr="00F51139">
        <w:rPr>
          <w:rFonts w:ascii="Times New Roman" w:eastAsia="楷体" w:hAnsi="Times New Roman" w:hint="eastAsia"/>
          <w:b/>
          <w:color w:val="000000" w:themeColor="text1"/>
          <w:sz w:val="24"/>
          <w:szCs w:val="24"/>
        </w:rPr>
        <w:t>分批低多思路为主</w:t>
      </w:r>
      <w:bookmarkEnd w:id="8"/>
    </w:p>
    <w:p w:rsidR="003F56A5" w:rsidRDefault="00F51139" w:rsidP="00D14B3E">
      <w:pPr>
        <w:ind w:leftChars="300" w:left="630"/>
        <w:rPr>
          <w:rFonts w:ascii="Times New Roman" w:eastAsia="楷体" w:hAnsi="Times New Roman"/>
          <w:color w:val="000000" w:themeColor="text1"/>
          <w:sz w:val="24"/>
          <w:szCs w:val="24"/>
        </w:rPr>
      </w:pPr>
      <w:r w:rsidRPr="00F51139">
        <w:rPr>
          <w:rFonts w:ascii="Times New Roman" w:eastAsia="楷体" w:hAnsi="Times New Roman" w:hint="eastAsia"/>
          <w:color w:val="000000" w:themeColor="text1"/>
          <w:sz w:val="24"/>
          <w:szCs w:val="24"/>
        </w:rPr>
        <w:t>近期强政策出台释放，国内经济在四季度的继续修复以及政策的不断发力仍是行情的重要支撑，接下来还会有多个会议有望再透露重要的政策信号，从而形成后市行情的重要催化，虽仍有一些不确定性因素会导致行情震荡，但不会改变市场整体筑底的大趋势。期货端基差贴水小福旧升，持仓量上行，显示多方或有力量逐步进入。隔夜</w:t>
      </w:r>
      <w:r w:rsidRPr="00F51139">
        <w:rPr>
          <w:rFonts w:ascii="Times New Roman" w:eastAsia="楷体" w:hAnsi="Times New Roman" w:hint="eastAsia"/>
          <w:color w:val="000000" w:themeColor="text1"/>
          <w:sz w:val="24"/>
          <w:szCs w:val="24"/>
        </w:rPr>
        <w:t>Q3</w:t>
      </w:r>
      <w:r w:rsidRPr="00F51139">
        <w:rPr>
          <w:rFonts w:ascii="Times New Roman" w:eastAsia="楷体" w:hAnsi="Times New Roman" w:hint="eastAsia"/>
          <w:color w:val="000000" w:themeColor="text1"/>
          <w:sz w:val="24"/>
          <w:szCs w:val="24"/>
        </w:rPr>
        <w:t>美国</w:t>
      </w:r>
      <w:r w:rsidRPr="00F51139">
        <w:rPr>
          <w:rFonts w:ascii="Times New Roman" w:eastAsia="楷体" w:hAnsi="Times New Roman" w:hint="eastAsia"/>
          <w:color w:val="000000" w:themeColor="text1"/>
          <w:sz w:val="24"/>
          <w:szCs w:val="24"/>
        </w:rPr>
        <w:t>GDP</w:t>
      </w:r>
      <w:r w:rsidRPr="00F51139">
        <w:rPr>
          <w:rFonts w:ascii="Times New Roman" w:eastAsia="楷体" w:hAnsi="Times New Roman" w:hint="eastAsia"/>
          <w:color w:val="000000" w:themeColor="text1"/>
          <w:sz w:val="24"/>
          <w:szCs w:val="24"/>
        </w:rPr>
        <w:t>增速创近两年新高，因就业市场强劲，且核心通胀指标放缓至自</w:t>
      </w:r>
      <w:r w:rsidRPr="00F51139">
        <w:rPr>
          <w:rFonts w:ascii="Times New Roman" w:eastAsia="楷体" w:hAnsi="Times New Roman" w:hint="eastAsia"/>
          <w:color w:val="000000" w:themeColor="text1"/>
          <w:sz w:val="24"/>
          <w:szCs w:val="24"/>
        </w:rPr>
        <w:t>2020</w:t>
      </w:r>
      <w:r w:rsidRPr="00F51139">
        <w:rPr>
          <w:rFonts w:ascii="Times New Roman" w:eastAsia="楷体" w:hAnsi="Times New Roman" w:hint="eastAsia"/>
          <w:color w:val="000000" w:themeColor="text1"/>
          <w:sz w:val="24"/>
          <w:szCs w:val="24"/>
        </w:rPr>
        <w:t>年以来的最低水平，美联储再加息概率下降。但由于美债和汇率高位，预计仍将限制外资回流。预计市场反复震荡打磨后逐步筑底回升，建议仍以分批低多思路为主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929466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9294667"/>
      <w:r>
        <w:rPr>
          <w:rFonts w:ascii="Times New Roman" w:eastAsia="楷体" w:hAnsi="Times New Roman" w:hint="eastAsia"/>
          <w:b/>
          <w:color w:val="000000" w:themeColor="text1"/>
          <w:sz w:val="24"/>
          <w:szCs w:val="24"/>
        </w:rPr>
        <w:t>贵金属：</w:t>
      </w:r>
      <w:r w:rsidR="00F51139" w:rsidRPr="00F51139">
        <w:rPr>
          <w:rFonts w:ascii="Times New Roman" w:eastAsia="楷体" w:hAnsi="Times New Roman" w:hint="eastAsia"/>
          <w:b/>
          <w:color w:val="000000" w:themeColor="text1"/>
          <w:sz w:val="24"/>
          <w:szCs w:val="24"/>
        </w:rPr>
        <w:t>美国第三季度增速创近两年新高，沪金小幅上涨</w:t>
      </w:r>
      <w:bookmarkEnd w:id="10"/>
    </w:p>
    <w:p w:rsidR="003F56A5" w:rsidRDefault="00F51139">
      <w:pPr>
        <w:ind w:leftChars="300" w:left="630"/>
        <w:rPr>
          <w:rFonts w:ascii="Times New Roman" w:eastAsia="楷体" w:hAnsi="Times New Roman"/>
          <w:sz w:val="24"/>
          <w:szCs w:val="24"/>
        </w:rPr>
      </w:pPr>
      <w:r w:rsidRPr="00F51139">
        <w:rPr>
          <w:rFonts w:ascii="Times New Roman" w:eastAsia="楷体" w:hAnsi="Times New Roman" w:hint="eastAsia"/>
          <w:color w:val="000000" w:themeColor="text1"/>
          <w:sz w:val="24"/>
          <w:szCs w:val="24"/>
        </w:rPr>
        <w:t>昨夜外盘</w:t>
      </w:r>
      <w:r w:rsidRPr="00F51139">
        <w:rPr>
          <w:rFonts w:ascii="Times New Roman" w:eastAsia="楷体" w:hAnsi="Times New Roman" w:hint="eastAsia"/>
          <w:color w:val="000000" w:themeColor="text1"/>
          <w:sz w:val="24"/>
          <w:szCs w:val="24"/>
        </w:rPr>
        <w:t>COMEX</w:t>
      </w:r>
      <w:r w:rsidRPr="00F51139">
        <w:rPr>
          <w:rFonts w:ascii="Times New Roman" w:eastAsia="楷体" w:hAnsi="Times New Roman" w:hint="eastAsia"/>
          <w:color w:val="000000" w:themeColor="text1"/>
          <w:sz w:val="24"/>
          <w:szCs w:val="24"/>
        </w:rPr>
        <w:t>金价冲高回落，沪金微涨，沪银横盘运行。</w:t>
      </w:r>
      <w:r w:rsidRPr="00F51139">
        <w:rPr>
          <w:rFonts w:ascii="Times New Roman" w:eastAsia="楷体" w:hAnsi="Times New Roman" w:hint="eastAsia"/>
          <w:color w:val="000000" w:themeColor="text1"/>
          <w:sz w:val="24"/>
          <w:szCs w:val="24"/>
        </w:rPr>
        <w:t>CME</w:t>
      </w:r>
      <w:r w:rsidRPr="00F51139">
        <w:rPr>
          <w:rFonts w:ascii="Times New Roman" w:eastAsia="楷体" w:hAnsi="Times New Roman" w:hint="eastAsia"/>
          <w:color w:val="000000" w:themeColor="text1"/>
          <w:sz w:val="24"/>
          <w:szCs w:val="24"/>
        </w:rPr>
        <w:t>黄金波动率升至</w:t>
      </w:r>
      <w:r w:rsidRPr="00F51139">
        <w:rPr>
          <w:rFonts w:ascii="Times New Roman" w:eastAsia="楷体" w:hAnsi="Times New Roman" w:hint="eastAsia"/>
          <w:color w:val="000000" w:themeColor="text1"/>
          <w:sz w:val="24"/>
          <w:szCs w:val="24"/>
        </w:rPr>
        <w:t>16.34</w:t>
      </w:r>
      <w:r w:rsidRPr="00F51139">
        <w:rPr>
          <w:rFonts w:ascii="Times New Roman" w:eastAsia="楷体" w:hAnsi="Times New Roman" w:hint="eastAsia"/>
          <w:color w:val="000000" w:themeColor="text1"/>
          <w:sz w:val="24"/>
          <w:szCs w:val="24"/>
        </w:rPr>
        <w:t>，较昨日上涨</w:t>
      </w:r>
      <w:r w:rsidRPr="00F51139">
        <w:rPr>
          <w:rFonts w:ascii="Times New Roman" w:eastAsia="楷体" w:hAnsi="Times New Roman" w:hint="eastAsia"/>
          <w:color w:val="000000" w:themeColor="text1"/>
          <w:sz w:val="24"/>
          <w:szCs w:val="24"/>
        </w:rPr>
        <w:t>2%</w:t>
      </w:r>
      <w:r w:rsidRPr="00F51139">
        <w:rPr>
          <w:rFonts w:ascii="Times New Roman" w:eastAsia="楷体" w:hAnsi="Times New Roman" w:hint="eastAsia"/>
          <w:color w:val="000000" w:themeColor="text1"/>
          <w:sz w:val="24"/>
          <w:szCs w:val="24"/>
        </w:rPr>
        <w:t>。第三季度美国实际</w:t>
      </w:r>
      <w:r w:rsidRPr="00F51139">
        <w:rPr>
          <w:rFonts w:ascii="Times New Roman" w:eastAsia="楷体" w:hAnsi="Times New Roman" w:hint="eastAsia"/>
          <w:color w:val="000000" w:themeColor="text1"/>
          <w:sz w:val="24"/>
          <w:szCs w:val="24"/>
        </w:rPr>
        <w:t>GDP</w:t>
      </w:r>
      <w:r w:rsidRPr="00F51139">
        <w:rPr>
          <w:rFonts w:ascii="Times New Roman" w:eastAsia="楷体" w:hAnsi="Times New Roman" w:hint="eastAsia"/>
          <w:color w:val="000000" w:themeColor="text1"/>
          <w:sz w:val="24"/>
          <w:szCs w:val="24"/>
        </w:rPr>
        <w:t>环比增长</w:t>
      </w:r>
      <w:r w:rsidRPr="00F51139">
        <w:rPr>
          <w:rFonts w:ascii="Times New Roman" w:eastAsia="楷体" w:hAnsi="Times New Roman" w:hint="eastAsia"/>
          <w:color w:val="000000" w:themeColor="text1"/>
          <w:sz w:val="24"/>
          <w:szCs w:val="24"/>
        </w:rPr>
        <w:t>4.9%</w:t>
      </w:r>
      <w:r w:rsidRPr="00F51139">
        <w:rPr>
          <w:rFonts w:ascii="Times New Roman" w:eastAsia="楷体" w:hAnsi="Times New Roman" w:hint="eastAsia"/>
          <w:color w:val="000000" w:themeColor="text1"/>
          <w:sz w:val="24"/>
          <w:szCs w:val="24"/>
        </w:rPr>
        <w:t>，创近两年来新高，高于预期；第三季度</w:t>
      </w:r>
      <w:r w:rsidRPr="00F51139">
        <w:rPr>
          <w:rFonts w:ascii="Times New Roman" w:eastAsia="楷体" w:hAnsi="Times New Roman" w:hint="eastAsia"/>
          <w:color w:val="000000" w:themeColor="text1"/>
          <w:sz w:val="24"/>
          <w:szCs w:val="24"/>
        </w:rPr>
        <w:t>PCE</w:t>
      </w:r>
      <w:r w:rsidRPr="00F51139">
        <w:rPr>
          <w:rFonts w:ascii="Times New Roman" w:eastAsia="楷体" w:hAnsi="Times New Roman" w:hint="eastAsia"/>
          <w:color w:val="000000" w:themeColor="text1"/>
          <w:sz w:val="24"/>
          <w:szCs w:val="24"/>
        </w:rPr>
        <w:t>物价指数年化初值环比增</w:t>
      </w:r>
      <w:r w:rsidRPr="00F51139">
        <w:rPr>
          <w:rFonts w:ascii="Times New Roman" w:eastAsia="楷体" w:hAnsi="Times New Roman" w:hint="eastAsia"/>
          <w:color w:val="000000" w:themeColor="text1"/>
          <w:sz w:val="24"/>
          <w:szCs w:val="24"/>
        </w:rPr>
        <w:t>2.9%</w:t>
      </w:r>
      <w:r w:rsidRPr="00F51139">
        <w:rPr>
          <w:rFonts w:ascii="Times New Roman" w:eastAsia="楷体" w:hAnsi="Times New Roman" w:hint="eastAsia"/>
          <w:color w:val="000000" w:themeColor="text1"/>
          <w:sz w:val="24"/>
          <w:szCs w:val="24"/>
        </w:rPr>
        <w:t>，同比增</w:t>
      </w:r>
      <w:r w:rsidRPr="00F51139">
        <w:rPr>
          <w:rFonts w:ascii="Times New Roman" w:eastAsia="楷体" w:hAnsi="Times New Roman" w:hint="eastAsia"/>
          <w:color w:val="000000" w:themeColor="text1"/>
          <w:sz w:val="24"/>
          <w:szCs w:val="24"/>
        </w:rPr>
        <w:t>3.4%</w:t>
      </w:r>
      <w:r w:rsidRPr="00F51139">
        <w:rPr>
          <w:rFonts w:ascii="Times New Roman" w:eastAsia="楷体" w:hAnsi="Times New Roman" w:hint="eastAsia"/>
          <w:color w:val="000000" w:themeColor="text1"/>
          <w:sz w:val="24"/>
          <w:szCs w:val="24"/>
        </w:rPr>
        <w:t>；第三季度核心</w:t>
      </w:r>
      <w:r w:rsidRPr="00F51139">
        <w:rPr>
          <w:rFonts w:ascii="Times New Roman" w:eastAsia="楷体" w:hAnsi="Times New Roman" w:hint="eastAsia"/>
          <w:color w:val="000000" w:themeColor="text1"/>
          <w:sz w:val="24"/>
          <w:szCs w:val="24"/>
        </w:rPr>
        <w:t>PCE</w:t>
      </w:r>
      <w:r w:rsidRPr="00F51139">
        <w:rPr>
          <w:rFonts w:ascii="Times New Roman" w:eastAsia="楷体" w:hAnsi="Times New Roman" w:hint="eastAsia"/>
          <w:color w:val="000000" w:themeColor="text1"/>
          <w:sz w:val="24"/>
          <w:szCs w:val="24"/>
        </w:rPr>
        <w:t>环比增</w:t>
      </w:r>
      <w:r w:rsidRPr="00F51139">
        <w:rPr>
          <w:rFonts w:ascii="Times New Roman" w:eastAsia="楷体" w:hAnsi="Times New Roman" w:hint="eastAsia"/>
          <w:color w:val="000000" w:themeColor="text1"/>
          <w:sz w:val="24"/>
          <w:szCs w:val="24"/>
        </w:rPr>
        <w:t>2.4%</w:t>
      </w:r>
      <w:r w:rsidRPr="00F51139">
        <w:rPr>
          <w:rFonts w:ascii="Times New Roman" w:eastAsia="楷体" w:hAnsi="Times New Roman" w:hint="eastAsia"/>
          <w:color w:val="000000" w:themeColor="text1"/>
          <w:sz w:val="24"/>
          <w:szCs w:val="24"/>
        </w:rPr>
        <w:t>，同比增</w:t>
      </w:r>
      <w:r w:rsidRPr="00F51139">
        <w:rPr>
          <w:rFonts w:ascii="Times New Roman" w:eastAsia="楷体" w:hAnsi="Times New Roman" w:hint="eastAsia"/>
          <w:color w:val="000000" w:themeColor="text1"/>
          <w:sz w:val="24"/>
          <w:szCs w:val="24"/>
        </w:rPr>
        <w:t>3.9%</w:t>
      </w:r>
      <w:r w:rsidRPr="00F51139">
        <w:rPr>
          <w:rFonts w:ascii="Times New Roman" w:eastAsia="楷体" w:hAnsi="Times New Roman" w:hint="eastAsia"/>
          <w:color w:val="000000" w:themeColor="text1"/>
          <w:sz w:val="24"/>
          <w:szCs w:val="24"/>
        </w:rPr>
        <w:t>；第三季度美国实际个人消费支出初值环比增</w:t>
      </w:r>
      <w:r w:rsidRPr="00F51139">
        <w:rPr>
          <w:rFonts w:ascii="Times New Roman" w:eastAsia="楷体" w:hAnsi="Times New Roman" w:hint="eastAsia"/>
          <w:color w:val="000000" w:themeColor="text1"/>
          <w:sz w:val="24"/>
          <w:szCs w:val="24"/>
        </w:rPr>
        <w:t>4%</w:t>
      </w:r>
      <w:r w:rsidRPr="00F51139">
        <w:rPr>
          <w:rFonts w:ascii="Times New Roman" w:eastAsia="楷体" w:hAnsi="Times New Roman" w:hint="eastAsia"/>
          <w:color w:val="000000" w:themeColor="text1"/>
          <w:sz w:val="24"/>
          <w:szCs w:val="24"/>
        </w:rPr>
        <w:t>，创两年以来新高。海外地缘政治因素提振避险情绪，建议沪金、沪银逢低试多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929466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9294669"/>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F51139" w:rsidRPr="00F51139">
        <w:rPr>
          <w:rFonts w:ascii="楷体" w:eastAsia="楷体" w:hAnsi="楷体" w:hint="eastAsia"/>
          <w:b/>
          <w:color w:val="000000" w:themeColor="text1"/>
          <w:sz w:val="24"/>
          <w:szCs w:val="24"/>
        </w:rPr>
        <w:t>期价接近前低，锂价或偏弱震荡</w:t>
      </w:r>
      <w:bookmarkEnd w:id="18"/>
    </w:p>
    <w:p w:rsidR="00F50569" w:rsidRDefault="00F51139" w:rsidP="00F50569">
      <w:pPr>
        <w:ind w:leftChars="300" w:left="630"/>
        <w:rPr>
          <w:rFonts w:ascii="楷体" w:eastAsia="楷体" w:hAnsi="楷体"/>
          <w:color w:val="000000" w:themeColor="text1"/>
          <w:sz w:val="24"/>
          <w:szCs w:val="24"/>
        </w:rPr>
      </w:pPr>
      <w:r w:rsidRPr="00F51139">
        <w:rPr>
          <w:rFonts w:ascii="楷体" w:eastAsia="楷体" w:hAnsi="楷体" w:hint="eastAsia"/>
          <w:color w:val="000000" w:themeColor="text1"/>
          <w:sz w:val="24"/>
          <w:szCs w:val="24"/>
        </w:rPr>
        <w:t>今日期价小幅下跌，现货价格微跌1000元/吨，下游需求维持低迷。气温逐渐下降，盐湖即将进入季节性减产阶段，近期部分企业存在向下游集中销售预期，部分贸易商低价出货，消息面因素偏空影响下期价接近前低水平。部分矿山长单定价拟改为M+1定价模式，即以到货月碳酸锂月均价折算，后续锂辉石进口价格或进一步下跌。今日基差小幅收敛，锂价或偏弱震荡</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9294670"/>
      <w:r>
        <w:rPr>
          <w:rFonts w:ascii="楷体" w:eastAsia="楷体" w:hAnsi="楷体" w:hint="eastAsia"/>
          <w:b/>
          <w:color w:val="000000" w:themeColor="text1"/>
          <w:sz w:val="24"/>
          <w:szCs w:val="24"/>
        </w:rPr>
        <w:t>螺纹钢：</w:t>
      </w:r>
      <w:bookmarkEnd w:id="16"/>
      <w:bookmarkEnd w:id="17"/>
      <w:r w:rsidR="00F51139" w:rsidRPr="00F51139">
        <w:rPr>
          <w:rFonts w:ascii="楷体" w:eastAsia="楷体" w:hAnsi="楷体" w:hint="eastAsia"/>
          <w:b/>
          <w:color w:val="000000" w:themeColor="text1"/>
          <w:sz w:val="24"/>
          <w:szCs w:val="24"/>
        </w:rPr>
        <w:t>需求偏稳，预计价格震荡偏强运行</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F51139" w:rsidP="00201944">
      <w:pPr>
        <w:ind w:leftChars="300" w:left="630"/>
        <w:rPr>
          <w:rFonts w:ascii="楷体" w:eastAsia="楷体" w:hAnsi="楷体"/>
          <w:color w:val="000000" w:themeColor="text1"/>
          <w:sz w:val="24"/>
          <w:szCs w:val="24"/>
        </w:rPr>
      </w:pPr>
      <w:r w:rsidRPr="00F51139">
        <w:rPr>
          <w:rFonts w:ascii="楷体" w:eastAsia="楷体" w:hAnsi="楷体" w:hint="eastAsia"/>
          <w:color w:val="000000" w:themeColor="text1"/>
          <w:sz w:val="24"/>
          <w:szCs w:val="24"/>
        </w:rPr>
        <w:t>短期矛盾并不是特别突出，前期震荡向下测试价格底部。近期宏观利好稳定市场情绪，表需具有韧性，预计价格震荡偏强运行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9294671"/>
      <w:r>
        <w:rPr>
          <w:rFonts w:ascii="楷体" w:eastAsia="楷体" w:hAnsi="楷体" w:hint="eastAsia"/>
          <w:b/>
          <w:color w:val="000000" w:themeColor="text1"/>
          <w:sz w:val="24"/>
          <w:szCs w:val="24"/>
        </w:rPr>
        <w:t>焦炭：</w:t>
      </w:r>
      <w:bookmarkEnd w:id="20"/>
      <w:bookmarkEnd w:id="21"/>
      <w:r w:rsidR="00F51139" w:rsidRPr="00F51139">
        <w:rPr>
          <w:rFonts w:ascii="楷体" w:eastAsia="楷体" w:hAnsi="楷体" w:hint="eastAsia"/>
          <w:b/>
          <w:color w:val="000000" w:themeColor="text1"/>
          <w:sz w:val="24"/>
          <w:szCs w:val="24"/>
        </w:rPr>
        <w:t>供需紧平衡，高位下震荡运行</w:t>
      </w:r>
      <w:bookmarkEnd w:id="22"/>
    </w:p>
    <w:p w:rsidR="003F56A5" w:rsidRDefault="00F51139" w:rsidP="00572E35">
      <w:pPr>
        <w:ind w:leftChars="300" w:left="630"/>
        <w:rPr>
          <w:rFonts w:ascii="楷体" w:eastAsia="楷体" w:hAnsi="楷体"/>
          <w:color w:val="000000" w:themeColor="text1"/>
          <w:sz w:val="24"/>
          <w:szCs w:val="24"/>
        </w:rPr>
      </w:pPr>
      <w:r w:rsidRPr="00F51139">
        <w:rPr>
          <w:rFonts w:ascii="楷体" w:eastAsia="楷体" w:hAnsi="楷体" w:hint="eastAsia"/>
          <w:color w:val="000000" w:themeColor="text1"/>
          <w:sz w:val="24"/>
          <w:szCs w:val="24"/>
        </w:rPr>
        <w:t>铁水缓慢减产，成材利润矛盾突出情况下，焦炭供需缺口收敛，下游采购意愿减弱。成材目前价格压制原料上涨，短期高位下震荡运行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9294672"/>
      <w:r>
        <w:rPr>
          <w:rFonts w:ascii="楷体" w:eastAsia="楷体" w:hAnsi="楷体" w:hint="eastAsia"/>
          <w:b/>
          <w:color w:val="000000" w:themeColor="text1"/>
          <w:sz w:val="24"/>
          <w:szCs w:val="24"/>
        </w:rPr>
        <w:t>焦煤：</w:t>
      </w:r>
      <w:r w:rsidR="00F51139" w:rsidRPr="00F51139">
        <w:rPr>
          <w:rFonts w:ascii="楷体" w:eastAsia="楷体" w:hAnsi="楷体" w:hint="eastAsia"/>
          <w:b/>
          <w:sz w:val="24"/>
          <w:szCs w:val="24"/>
        </w:rPr>
        <w:t>供需紧平衡，高位下震荡运行</w:t>
      </w:r>
      <w:bookmarkEnd w:id="23"/>
    </w:p>
    <w:p w:rsidR="003F56A5" w:rsidRDefault="00F51139">
      <w:pPr>
        <w:ind w:leftChars="300" w:left="630"/>
        <w:rPr>
          <w:rFonts w:ascii="楷体" w:eastAsia="楷体" w:hAnsi="楷体"/>
          <w:bCs/>
          <w:sz w:val="24"/>
          <w:szCs w:val="24"/>
        </w:rPr>
      </w:pPr>
      <w:r w:rsidRPr="00F51139">
        <w:rPr>
          <w:rFonts w:ascii="楷体" w:eastAsia="楷体" w:hAnsi="楷体" w:hint="eastAsia"/>
          <w:sz w:val="24"/>
          <w:szCs w:val="24"/>
        </w:rPr>
        <w:lastRenderedPageBreak/>
        <w:t>下游采购意愿偏弱，煤矿产量小幅度回升，现货价格过高下，成材利润较差压制补库驱动，焦煤高位下震荡运行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9294673"/>
      <w:r>
        <w:rPr>
          <w:rFonts w:ascii="楷体" w:eastAsia="楷体" w:hAnsi="楷体" w:hint="eastAsia"/>
          <w:b/>
          <w:color w:val="000000" w:themeColor="text1"/>
          <w:sz w:val="24"/>
          <w:szCs w:val="24"/>
        </w:rPr>
        <w:t>铜：</w:t>
      </w:r>
      <w:bookmarkEnd w:id="24"/>
      <w:bookmarkEnd w:id="25"/>
      <w:r w:rsidR="00F51139" w:rsidRPr="00F51139">
        <w:rPr>
          <w:rFonts w:ascii="楷体" w:eastAsia="楷体" w:hAnsi="楷体" w:hint="eastAsia"/>
          <w:b/>
          <w:color w:val="000000" w:themeColor="text1"/>
          <w:sz w:val="24"/>
          <w:szCs w:val="24"/>
        </w:rPr>
        <w:t>美元强势下铜价承压运行</w:t>
      </w:r>
      <w:bookmarkEnd w:id="26"/>
    </w:p>
    <w:p w:rsidR="00F51139" w:rsidRPr="00F51139" w:rsidRDefault="00F51139" w:rsidP="00F51139">
      <w:pPr>
        <w:ind w:leftChars="300" w:left="630"/>
        <w:rPr>
          <w:rFonts w:ascii="楷体" w:eastAsia="楷体" w:hAnsi="楷体" w:hint="eastAsia"/>
          <w:color w:val="000000" w:themeColor="text1"/>
          <w:sz w:val="24"/>
          <w:szCs w:val="24"/>
        </w:rPr>
      </w:pPr>
      <w:r w:rsidRPr="00F51139">
        <w:rPr>
          <w:rFonts w:ascii="楷体" w:eastAsia="楷体" w:hAnsi="楷体" w:hint="eastAsia"/>
          <w:color w:val="000000" w:themeColor="text1"/>
          <w:sz w:val="24"/>
          <w:szCs w:val="24"/>
        </w:rPr>
        <w:t>(1)宏观：美国商务部发布的数据显示，美国第三季度实际GDP按年增长4.9%，增幅是上季度2.1%的两倍多，超出市场预期的4.7%。</w:t>
      </w:r>
    </w:p>
    <w:p w:rsidR="00F51139" w:rsidRPr="00F51139" w:rsidRDefault="00F51139" w:rsidP="00F51139">
      <w:pPr>
        <w:ind w:leftChars="300" w:left="630"/>
        <w:rPr>
          <w:rFonts w:ascii="楷体" w:eastAsia="楷体" w:hAnsi="楷体" w:hint="eastAsia"/>
          <w:color w:val="000000" w:themeColor="text1"/>
          <w:sz w:val="24"/>
          <w:szCs w:val="24"/>
        </w:rPr>
      </w:pPr>
      <w:r w:rsidRPr="00F51139">
        <w:rPr>
          <w:rFonts w:ascii="楷体" w:eastAsia="楷体" w:hAnsi="楷体" w:hint="eastAsia"/>
          <w:color w:val="000000" w:themeColor="text1"/>
          <w:sz w:val="24"/>
          <w:szCs w:val="24"/>
        </w:rPr>
        <w:t>(2)库存：10月26日，SHFE仓单库存3679吨，减1895吨；LME仓单库存182900吨，减2275吨。</w:t>
      </w:r>
    </w:p>
    <w:p w:rsidR="00F51139" w:rsidRPr="00F51139" w:rsidRDefault="00F51139" w:rsidP="00F51139">
      <w:pPr>
        <w:ind w:leftChars="300" w:left="630"/>
        <w:rPr>
          <w:rFonts w:ascii="楷体" w:eastAsia="楷体" w:hAnsi="楷体" w:hint="eastAsia"/>
          <w:color w:val="000000" w:themeColor="text1"/>
          <w:sz w:val="24"/>
          <w:szCs w:val="24"/>
        </w:rPr>
      </w:pPr>
      <w:r w:rsidRPr="00F51139">
        <w:rPr>
          <w:rFonts w:ascii="楷体" w:eastAsia="楷体" w:hAnsi="楷体" w:hint="eastAsia"/>
          <w:color w:val="000000" w:themeColor="text1"/>
          <w:sz w:val="24"/>
          <w:szCs w:val="24"/>
        </w:rPr>
        <w:t>(3)精废价差：10月26日，Mysteel精废价差1078，收窄258。目前价差在合理价差1370之下。</w:t>
      </w:r>
    </w:p>
    <w:p w:rsidR="00F51139" w:rsidRPr="00F51139" w:rsidRDefault="00F51139" w:rsidP="00F51139">
      <w:pPr>
        <w:ind w:leftChars="300" w:left="630"/>
        <w:rPr>
          <w:rFonts w:ascii="楷体" w:eastAsia="楷体" w:hAnsi="楷体"/>
          <w:color w:val="000000" w:themeColor="text1"/>
          <w:sz w:val="24"/>
          <w:szCs w:val="24"/>
        </w:rPr>
      </w:pPr>
    </w:p>
    <w:p w:rsidR="00127803" w:rsidRPr="00127803" w:rsidRDefault="00F51139" w:rsidP="00F51139">
      <w:pPr>
        <w:ind w:leftChars="300" w:left="630"/>
        <w:rPr>
          <w:rFonts w:ascii="楷体" w:eastAsia="楷体" w:hAnsi="楷体"/>
          <w:color w:val="000000" w:themeColor="text1"/>
          <w:sz w:val="24"/>
          <w:szCs w:val="24"/>
        </w:rPr>
      </w:pPr>
      <w:r w:rsidRPr="00F51139">
        <w:rPr>
          <w:rFonts w:ascii="楷体" w:eastAsia="楷体" w:hAnsi="楷体" w:hint="eastAsia"/>
          <w:color w:val="000000" w:themeColor="text1"/>
          <w:sz w:val="24"/>
          <w:szCs w:val="24"/>
        </w:rPr>
        <w:t>综述：宏观面，美国三季度实际GDP增长4.9%高于预期，创2021年四季度来最快增速，欧央行暂停加息，美指高位运行，有色承压。基本面，价格下跌后，精废价差收窄，精铜消费替代明显，国内库存再次去化，现货升水走升，对价格形成提振，预计短期震荡整理为主，趋势性驱动不明显</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9294674"/>
      <w:r>
        <w:rPr>
          <w:rFonts w:ascii="楷体" w:eastAsia="楷体" w:hAnsi="楷体" w:hint="eastAsia"/>
          <w:b/>
          <w:color w:val="000000" w:themeColor="text1"/>
          <w:sz w:val="24"/>
          <w:szCs w:val="24"/>
        </w:rPr>
        <w:t>铝：</w:t>
      </w:r>
      <w:bookmarkEnd w:id="27"/>
      <w:bookmarkEnd w:id="28"/>
      <w:r w:rsidR="00F51139" w:rsidRPr="00F51139">
        <w:rPr>
          <w:rFonts w:ascii="楷体" w:eastAsia="楷体" w:hAnsi="楷体" w:hint="eastAsia"/>
          <w:b/>
          <w:color w:val="000000" w:themeColor="text1"/>
          <w:sz w:val="24"/>
          <w:szCs w:val="24"/>
        </w:rPr>
        <w:t>铝价下方仍有支撑</w:t>
      </w:r>
      <w:bookmarkEnd w:id="29"/>
    </w:p>
    <w:p w:rsidR="003F56A5" w:rsidRDefault="00F51139" w:rsidP="00127803">
      <w:pPr>
        <w:ind w:leftChars="300" w:left="630"/>
        <w:rPr>
          <w:rFonts w:ascii="楷体" w:eastAsia="楷体" w:hAnsi="楷体"/>
          <w:color w:val="000000" w:themeColor="text1"/>
          <w:sz w:val="24"/>
          <w:szCs w:val="24"/>
        </w:rPr>
      </w:pPr>
      <w:r w:rsidRPr="00F51139">
        <w:rPr>
          <w:rFonts w:ascii="楷体" w:eastAsia="楷体" w:hAnsi="楷体" w:hint="eastAsia"/>
          <w:color w:val="000000" w:themeColor="text1"/>
          <w:sz w:val="24"/>
          <w:szCs w:val="24"/>
        </w:rPr>
        <w:t>美元指数强势运行，美债收益率高位，市场避险情绪浓厚，宏观情绪仍有压力。基本面上看，电解铝运行产能开工稳定，产量依旧维持高产，上游有原料供应紧缺限制，伴随氧化铝及冶炼辅料价格走增，电解铝理论成本增加，压缩冶炼端利润，但整体影响不大，下游铝棒、铝板带箔企业开工情况扰动，需求面有所修复表现强韧。金九银十叠加国家利多政策面支撑刺激需求表现强韧，供应高产能开工但库存累积程度不及预期，绝对低库存情况仍未改善，铝价仍有较强支撑</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9294675"/>
      <w:r>
        <w:rPr>
          <w:rFonts w:ascii="楷体" w:eastAsia="楷体" w:hAnsi="楷体" w:hint="eastAsia"/>
          <w:b/>
          <w:color w:val="000000" w:themeColor="text1"/>
          <w:sz w:val="24"/>
          <w:szCs w:val="24"/>
        </w:rPr>
        <w:t>锌：</w:t>
      </w:r>
      <w:r w:rsidR="006755C1" w:rsidRPr="006755C1">
        <w:rPr>
          <w:rFonts w:ascii="楷体" w:eastAsia="楷体" w:hAnsi="楷体" w:hint="eastAsia"/>
          <w:b/>
          <w:color w:val="000000" w:themeColor="text1"/>
          <w:sz w:val="24"/>
          <w:szCs w:val="24"/>
        </w:rPr>
        <w:t>宏观情绪支撑锌价偏强震荡运行</w:t>
      </w:r>
      <w:bookmarkEnd w:id="30"/>
    </w:p>
    <w:p w:rsidR="003F56A5" w:rsidRDefault="006755C1" w:rsidP="000B0648">
      <w:pPr>
        <w:ind w:leftChars="300" w:left="630"/>
        <w:rPr>
          <w:rFonts w:ascii="楷体" w:eastAsia="楷体" w:hAnsi="楷体"/>
          <w:color w:val="000000" w:themeColor="text1"/>
          <w:sz w:val="24"/>
          <w:szCs w:val="24"/>
        </w:rPr>
      </w:pPr>
      <w:r w:rsidRPr="006755C1">
        <w:rPr>
          <w:rFonts w:ascii="楷体" w:eastAsia="楷体" w:hAnsi="楷体" w:hint="eastAsia"/>
          <w:color w:val="000000" w:themeColor="text1"/>
          <w:sz w:val="24"/>
          <w:szCs w:val="24"/>
        </w:rPr>
        <w:t>美元指数走弱，国内增发万亿国债，市场情绪有效提振。全球精炼锌仍维持过剩，主因需求回落导致过剩这种过剩更多是由需求回落所致，海外经济疲软导致需求偏弱，国内需求保持韧性，依靠基建、汽车、家电等支撑消费。前期检修产能的炼厂基本恢复产能，产出将升至高位，同时因进口盈利窗口打开，进口锌加量流入，需求端韧性延续，但旺季效应偏弱，市场上现货供应偏宽松，在基本面供强需偏弱前提下，宏观释放的利多情绪或短期为锌价形成向上推动力，但可持续性有待验证</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9294676"/>
      <w:r>
        <w:rPr>
          <w:rFonts w:ascii="楷体" w:eastAsia="楷体" w:hAnsi="楷体" w:hint="eastAsia"/>
          <w:b/>
          <w:color w:val="000000" w:themeColor="text1"/>
          <w:sz w:val="24"/>
          <w:szCs w:val="24"/>
        </w:rPr>
        <w:t>镍：</w:t>
      </w:r>
      <w:r w:rsidR="00F51139" w:rsidRPr="00F51139">
        <w:rPr>
          <w:rFonts w:ascii="楷体" w:eastAsia="楷体" w:hAnsi="楷体" w:hint="eastAsia"/>
          <w:b/>
          <w:color w:val="000000" w:themeColor="text1"/>
          <w:sz w:val="24"/>
          <w:szCs w:val="24"/>
        </w:rPr>
        <w:t>宏观氛围偏空叠加基本面供增需弱，预计镍价维持弱势运行</w:t>
      </w:r>
      <w:bookmarkEnd w:id="31"/>
    </w:p>
    <w:p w:rsidR="003F56A5" w:rsidRDefault="00F51139">
      <w:pPr>
        <w:ind w:leftChars="300" w:left="630"/>
        <w:rPr>
          <w:rFonts w:ascii="楷体" w:eastAsia="楷体" w:hAnsi="楷体"/>
          <w:color w:val="000000" w:themeColor="text1"/>
          <w:sz w:val="24"/>
          <w:szCs w:val="24"/>
        </w:rPr>
      </w:pPr>
      <w:r w:rsidRPr="00F51139">
        <w:rPr>
          <w:rFonts w:ascii="楷体" w:eastAsia="楷体" w:hAnsi="楷体" w:hint="eastAsia"/>
          <w:color w:val="000000" w:themeColor="text1"/>
          <w:sz w:val="24"/>
          <w:szCs w:val="24"/>
        </w:rPr>
        <w:t>美国第三季度实际GDP为4.9%，创2021年四季度以来新高，加上美债收益率处于高位，美元指数强势运行，给有色金属带来压力。近期镍的需求转弱，不锈钢厂陆续减产；新能源汽车对镍的消费维持疲软；合金和电镀对镍维持一定程度的刚性需求。供应方面，外采硫酸镍生产精炼镍为亏损状态，但生产精炼镍的主流工艺仍有利润，精炼镍产量仍在逐步释放，镍中长期显著过剩预期较明晰。库存方面，全球精炼镍显性库存维持累库趋势，供应压力凸显。综合而言，在基本面逐步走弱的态势下，对镍价中长期维持偏空思路。但短期来看，由于库存仍处于历史低位，镍价在连续下跌后估值偏低，且电积镍成本带来一定的支撑作用，镍价短期继续下跌的</w:t>
      </w:r>
      <w:r w:rsidRPr="00F51139">
        <w:rPr>
          <w:rFonts w:ascii="楷体" w:eastAsia="楷体" w:hAnsi="楷体" w:hint="eastAsia"/>
          <w:color w:val="000000" w:themeColor="text1"/>
          <w:sz w:val="24"/>
          <w:szCs w:val="24"/>
        </w:rPr>
        <w:lastRenderedPageBreak/>
        <w:t>动能不足，在宏观利空情绪扰动下，预计以偏弱震荡运行为主。短期操作上不建议追空，暂时观望</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9294677"/>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B4E25" w:rsidRPr="00DB4E25">
        <w:rPr>
          <w:rFonts w:ascii="楷体" w:eastAsia="楷体" w:hAnsi="楷体" w:hint="eastAsia"/>
          <w:b/>
          <w:color w:val="000000" w:themeColor="text1"/>
          <w:sz w:val="24"/>
          <w:szCs w:val="24"/>
        </w:rPr>
        <w:t>铝价上方压力仍存</w:t>
      </w:r>
      <w:bookmarkEnd w:id="32"/>
    </w:p>
    <w:p w:rsidR="008B13D2" w:rsidRPr="008B13D2" w:rsidRDefault="00DB4E25" w:rsidP="008B13D2">
      <w:pPr>
        <w:ind w:leftChars="300" w:left="630"/>
        <w:rPr>
          <w:rFonts w:ascii="楷体" w:eastAsia="楷体" w:hAnsi="楷体"/>
          <w:color w:val="000000" w:themeColor="text1"/>
          <w:sz w:val="24"/>
          <w:szCs w:val="24"/>
        </w:rPr>
      </w:pPr>
      <w:r w:rsidRPr="00DB4E25">
        <w:rPr>
          <w:rFonts w:ascii="楷体" w:eastAsia="楷体" w:hAnsi="楷体" w:hint="eastAsia"/>
          <w:color w:val="000000" w:themeColor="text1"/>
          <w:sz w:val="24"/>
          <w:szCs w:val="24"/>
        </w:rPr>
        <w:t>巴以冲突加剧，原油价格暴涨，市场对联储加息预期走强，带动大宗整体情绪偏弱。国内电解铝运行产能高位，但复产产能多为铝水，铝棒加工费持续下行，铝棒库存被动去库，反映出铝合金下游需求偏弱。LME铝锭库存假期间出现累库迹象，国内铝市交易所库存及社库较大幅度累库，铝锭市场供应偏紧，近期铝锭进口利润窗口打开，国内原铝进口同比增长。“金九银十”旺季之下，旺季消费效应不显，订单增幅不及预期，铝价高位抑制下游采购意愿，下游企业开工率略有修复但不及预期。整体上看，国内铝锭市场供应偏紧但有进口增量补充，目前电解铝生产产能高位，铝水转化率或因铸锭量偏少的情况作出下调动作，需求维持弱修复，铝价在强供应、弱消费的现实之下，价格上行驱动有限，节日前多次尝试突破箱体运行区间上沿无果，假期海外市场情绪偏弱，预计铝价节后将重回震荡区间中枢附近，约计在18500-19000之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9294678"/>
      <w:r>
        <w:rPr>
          <w:rFonts w:ascii="楷体" w:eastAsia="楷体" w:hAnsi="楷体" w:hint="eastAsia"/>
          <w:b/>
          <w:color w:val="000000" w:themeColor="text1"/>
          <w:sz w:val="24"/>
          <w:szCs w:val="24"/>
        </w:rPr>
        <w:t>不锈钢：</w:t>
      </w:r>
      <w:r w:rsidR="00F51139" w:rsidRPr="00F51139">
        <w:rPr>
          <w:rFonts w:ascii="楷体" w:eastAsia="楷体" w:hAnsi="楷体" w:hint="eastAsia"/>
          <w:b/>
          <w:color w:val="000000" w:themeColor="text1"/>
          <w:sz w:val="24"/>
          <w:szCs w:val="24"/>
        </w:rPr>
        <w:t>产业负反馈传导持续，上下空间皆有限</w:t>
      </w:r>
      <w:bookmarkEnd w:id="33"/>
    </w:p>
    <w:p w:rsidR="003F56A5" w:rsidRDefault="00F51139">
      <w:pPr>
        <w:ind w:leftChars="300" w:left="630"/>
        <w:rPr>
          <w:rFonts w:ascii="楷体" w:eastAsia="楷体" w:hAnsi="楷体"/>
          <w:color w:val="000000" w:themeColor="text1"/>
          <w:sz w:val="24"/>
          <w:szCs w:val="24"/>
        </w:rPr>
      </w:pPr>
      <w:r w:rsidRPr="00F51139">
        <w:rPr>
          <w:rFonts w:ascii="楷体" w:eastAsia="楷体" w:hAnsi="楷体" w:hint="eastAsia"/>
          <w:color w:val="000000" w:themeColor="text1"/>
          <w:sz w:val="24"/>
          <w:szCs w:val="24"/>
        </w:rPr>
        <w:t>宏观方面，美国三季度实际GDP高于预期，美元指数强势，宏观情绪边际转弱。由于不锈钢九月传统旺季预期落空，且冶炼成本被印尼RKAB政策扰动抬高，钢厂冶炼利润不断收窄，因此陆续开始减产。钢厂减产的负反馈由下往上传导至镍铁，叠加印尼回流压力，国内镍铁价格偏弱运行，镍矿价格也承受产业压力。但在镍矿今年四季度供应偏紧局势下，成本端下跌空间有限。库存方面，由于钢厂发货节奏放缓，且贸易商低价促进出货，不锈钢社会库存前两周连续去库。综合来看，需求不振因素给不锈钢价带来明显压制，但减产因素及生产成本给不锈钢价带来支撑，不锈钢上下空间皆有限，短期预计震荡偏弱为主。若后续减产幅度进一步扩大，且需求在政策推动下转暖，不锈钢价有望反弹修复</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9294679"/>
      <w:r>
        <w:rPr>
          <w:rFonts w:ascii="楷体" w:eastAsia="楷体" w:hAnsi="楷体" w:hint="eastAsia"/>
          <w:b/>
          <w:color w:val="000000" w:themeColor="text1"/>
          <w:sz w:val="24"/>
          <w:szCs w:val="24"/>
        </w:rPr>
        <w:t>工业硅：</w:t>
      </w:r>
      <w:r w:rsidR="00F51139" w:rsidRPr="00F51139">
        <w:rPr>
          <w:rFonts w:ascii="楷体" w:eastAsia="楷体" w:hAnsi="楷体" w:hint="eastAsia"/>
          <w:b/>
          <w:sz w:val="24"/>
          <w:szCs w:val="24"/>
        </w:rPr>
        <w:t>市场情绪转弱，盘面大幅下行</w:t>
      </w:r>
      <w:bookmarkEnd w:id="34"/>
    </w:p>
    <w:p w:rsidR="003F56A5" w:rsidRDefault="00F51139" w:rsidP="00827E8A">
      <w:pPr>
        <w:ind w:leftChars="300" w:left="630"/>
        <w:rPr>
          <w:rFonts w:ascii="楷体" w:eastAsia="楷体" w:hAnsi="楷体"/>
          <w:sz w:val="24"/>
          <w:szCs w:val="24"/>
        </w:rPr>
      </w:pPr>
      <w:r w:rsidRPr="00F51139">
        <w:rPr>
          <w:rFonts w:ascii="楷体" w:eastAsia="楷体" w:hAnsi="楷体" w:hint="eastAsia"/>
          <w:sz w:val="24"/>
          <w:szCs w:val="24"/>
        </w:rPr>
        <w:t>10月26日，Si2312主力合约呈下行走势，收盘价14150元/吨，较上一收盘价涨跌幅-2.01%。从基本面来看，一方面，北方供应维持复产，存在增加预期;另一方面，据SMM了解，近日多晶硅价格再度下跌，部分二三线厂家致密料价格已有低于70元/Kg进行销售，后续或仍有下降趋势，整体市场情绪转弱。同时，仓单总量处于高位，尤其即将到期仓单依旧较多，对市场存在压制作用，盘面或将承压运行。策略上，谨慎资金可暂时观望，激进资金可开始尝试逢高做空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929468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024C21" w:rsidRDefault="00CC3FFA" w:rsidP="00024C21">
      <w:pPr>
        <w:ind w:firstLineChars="200" w:firstLine="482"/>
        <w:outlineLvl w:val="1"/>
        <w:rPr>
          <w:rFonts w:ascii="楷体" w:eastAsia="楷体" w:hAnsi="楷体"/>
          <w:b/>
          <w:sz w:val="24"/>
          <w:szCs w:val="24"/>
        </w:rPr>
      </w:pPr>
      <w:bookmarkStart w:id="37" w:name="_Toc149294681"/>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F51139" w:rsidRPr="00F51139">
        <w:rPr>
          <w:rFonts w:ascii="楷体" w:eastAsia="楷体" w:hAnsi="楷体" w:hint="eastAsia"/>
          <w:b/>
          <w:sz w:val="24"/>
          <w:szCs w:val="24"/>
        </w:rPr>
        <w:t>向上驱动力不明显，天胶或震荡整理为主</w:t>
      </w:r>
      <w:bookmarkEnd w:id="37"/>
    </w:p>
    <w:p w:rsidR="003F56A5" w:rsidRDefault="00F51139">
      <w:pPr>
        <w:ind w:leftChars="300" w:left="630"/>
        <w:rPr>
          <w:rFonts w:ascii="楷体" w:eastAsia="楷体" w:hAnsi="楷体"/>
          <w:sz w:val="24"/>
          <w:szCs w:val="24"/>
        </w:rPr>
      </w:pPr>
      <w:r w:rsidRPr="00F51139">
        <w:rPr>
          <w:rFonts w:ascii="楷体" w:eastAsia="楷体" w:hAnsi="楷体" w:hint="eastAsia"/>
          <w:sz w:val="24"/>
          <w:szCs w:val="24"/>
        </w:rPr>
        <w:t>点评：近期天然橡胶回调后企稳回暖，但市场做多情绪依旧不强。供应方面，东南亚主产区降雨天气缓解，原料产出持续上量，原料收购价格存下</w:t>
      </w:r>
      <w:r w:rsidRPr="00F51139">
        <w:rPr>
          <w:rFonts w:ascii="楷体" w:eastAsia="楷体" w:hAnsi="楷体" w:hint="eastAsia"/>
          <w:sz w:val="24"/>
          <w:szCs w:val="24"/>
        </w:rPr>
        <w:lastRenderedPageBreak/>
        <w:t>降预期，供应端利好削弱。库存方面，国内天然橡胶库存虽仍在去库，但去库幅度偏缓，下游工厂对原材料高价抵触心理。需求端来看，下游轮胎企业开工率高位维持，假期放假天数较去年明显缩减。半钢胎略好于全钢胎，国内稳经济政策将有利于轮胎替换及配套需求的改善。节后工厂开工处于恢复提升状态，对原材料补库积极性提高，提振天胶市场。终端汽车方面，9月数据同环比继续走强，创过去十年同期历史新高，十月汽车消费旺季再度来临下汽车市场景气度高。整体看，近期基本面转好幅度有所减弱，在新的利好支撑出现前，橡胶或高位震荡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9294682"/>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BF4417" w:rsidRPr="00BF4417">
        <w:rPr>
          <w:rFonts w:ascii="Calibri" w:eastAsia="楷体" w:hAnsi="Calibri" w:cs="Calibri"/>
          <w:b/>
          <w:color w:val="000000" w:themeColor="text1"/>
          <w:sz w:val="24"/>
          <w:szCs w:val="24"/>
        </w:rPr>
        <w:t> </w:t>
      </w:r>
      <w:r w:rsidR="00F51139" w:rsidRPr="00F51139">
        <w:rPr>
          <w:rFonts w:ascii="楷体" w:eastAsia="楷体" w:hAnsi="楷体" w:hint="eastAsia"/>
          <w:b/>
          <w:color w:val="000000" w:themeColor="text1"/>
          <w:sz w:val="24"/>
          <w:szCs w:val="24"/>
        </w:rPr>
        <w:t>供需矛盾暂时缓解 但向上驱动仍不足</w:t>
      </w:r>
      <w:bookmarkEnd w:id="38"/>
      <w:r w:rsidR="00DF164D" w:rsidRPr="00DF164D">
        <w:rPr>
          <w:rFonts w:ascii="楷体" w:eastAsia="楷体" w:hAnsi="楷体" w:hint="eastAsia"/>
          <w:b/>
          <w:color w:val="000000" w:themeColor="text1"/>
          <w:sz w:val="24"/>
          <w:szCs w:val="24"/>
        </w:rPr>
        <w:t xml:space="preserve"> </w:t>
      </w:r>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F51139" w:rsidP="002C73FE">
      <w:pPr>
        <w:ind w:leftChars="300" w:left="630"/>
        <w:rPr>
          <w:rFonts w:ascii="楷体" w:eastAsia="楷体" w:hAnsi="楷体"/>
          <w:color w:val="000000" w:themeColor="text1"/>
          <w:sz w:val="24"/>
          <w:szCs w:val="24"/>
        </w:rPr>
      </w:pPr>
      <w:r w:rsidRPr="00F51139">
        <w:rPr>
          <w:rFonts w:ascii="楷体" w:eastAsia="楷体" w:hAnsi="楷体" w:hint="eastAsia"/>
          <w:color w:val="000000" w:themeColor="text1"/>
          <w:sz w:val="24"/>
          <w:szCs w:val="24"/>
        </w:rPr>
        <w:t>原油方面，地缘冲突加剧，原油盘面驱动逻辑在地缘风险及基本面博弈。PX方面，盛虹石化400万吨及广东石化260万吨装置预计近日提负，海外10-11月装置重启较多，PX供应充足卖盘旺盛。随着调油需求走弱，歧化装置开工率有望进一步提升，近期PX N仍将偏弱运行。PTA供应方面，本周逸盛新材料装置负荷较上周提升，其他个别装置负荷窄幅调整，至本周四PTA负荷调整至78.8%（+1.8%）。本周聚酯装置大体稳定运行，个别略有小幅调整。截至本周四，初步核算国内大陆地区聚酯负荷在90.7%，环比小幅提升。终端开工率尚可但涤纶长丝库存节后累库节奏较快，随着聚酯原料价格走低，工厂出货意愿较大。综合来看，10月PTA装置检修计划较多且前期检修装置推迟重启。据悉有供应商缩减合约货提振市场，供需矛盾暂时缓解，PTA或会企稳但不看太高。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DF164D" w:rsidRDefault="00CC3FFA" w:rsidP="00DF164D">
      <w:pPr>
        <w:ind w:leftChars="200" w:left="420"/>
        <w:outlineLvl w:val="1"/>
        <w:rPr>
          <w:rFonts w:ascii="楷体" w:eastAsia="楷体" w:hAnsi="楷体"/>
          <w:b/>
          <w:color w:val="000000" w:themeColor="text1"/>
          <w:sz w:val="24"/>
          <w:szCs w:val="24"/>
        </w:rPr>
      </w:pPr>
      <w:bookmarkStart w:id="39" w:name="_Toc149294683"/>
      <w:r>
        <w:rPr>
          <w:rFonts w:ascii="楷体" w:eastAsia="楷体" w:hAnsi="楷体" w:hint="eastAsia"/>
          <w:b/>
          <w:color w:val="000000" w:themeColor="text1"/>
          <w:sz w:val="24"/>
          <w:szCs w:val="24"/>
        </w:rPr>
        <w:t>聚烯烃：</w:t>
      </w:r>
      <w:r w:rsidR="00F51139" w:rsidRPr="00F51139">
        <w:rPr>
          <w:rFonts w:ascii="楷体" w:eastAsia="楷体" w:hAnsi="楷体" w:hint="eastAsia"/>
          <w:b/>
          <w:color w:val="000000" w:themeColor="text1"/>
          <w:sz w:val="24"/>
          <w:szCs w:val="24"/>
        </w:rPr>
        <w:t>传统旺季尾声 聚烯烃偏弱整理为主</w:t>
      </w:r>
      <w:bookmarkEnd w:id="39"/>
    </w:p>
    <w:p w:rsidR="003F56A5" w:rsidRDefault="00F51139">
      <w:pPr>
        <w:ind w:leftChars="300" w:left="630"/>
        <w:rPr>
          <w:rFonts w:ascii="楷体" w:eastAsia="楷体" w:hAnsi="楷体"/>
          <w:bCs/>
          <w:sz w:val="24"/>
          <w:szCs w:val="24"/>
        </w:rPr>
      </w:pPr>
      <w:r w:rsidRPr="00F51139">
        <w:rPr>
          <w:rFonts w:ascii="楷体" w:eastAsia="楷体" w:hAnsi="楷体" w:hint="eastAsia"/>
          <w:color w:val="000000" w:themeColor="text1"/>
          <w:sz w:val="24"/>
          <w:szCs w:val="24"/>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巴以冲突尚未对主要产油区形成影响，叠加市场对全球经济前景的担忧仍存，国际油价下跌。需求方面，PE下游方面，农膜整体需求平平，工厂生产清淡。棚膜工厂多停机检修；PP下游方面，BOPP市场成交刚需有量，整体量较上一交易日增加，BOPP企业未交付订单多数在一周以内，个别可至八月中。综合来看，PE方面，短期来看，进口套利窗口多数关闭的前提下，加之石化装置停车较多，国内整体供应压力减小，但临近传统需求旺季尾声，工厂多按需采购，市场仍维持低价成交。预计今日PE价格维持窄幅震荡。PP方面，叠加近期检修影响量偏低，供应压力较大。市场虽然依旧处在银十旺季，但订单以及需求呈现缩水态势，利空影响逐渐渗透。短期看，市场月底积极去库持续进行中，但市场缺乏价格向上驱动下，大概率会向下调整</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0" w:name="_Toc149294684"/>
      <w:r>
        <w:rPr>
          <w:rFonts w:ascii="楷体" w:eastAsia="楷体" w:hAnsi="楷体" w:hint="eastAsia"/>
          <w:b/>
          <w:color w:val="000000" w:themeColor="text1"/>
          <w:sz w:val="24"/>
          <w:szCs w:val="24"/>
        </w:rPr>
        <w:t>MEG：</w:t>
      </w:r>
      <w:r w:rsidR="00F51139" w:rsidRPr="00F51139">
        <w:rPr>
          <w:rFonts w:ascii="楷体" w:eastAsia="楷体" w:hAnsi="楷体" w:hint="eastAsia"/>
          <w:b/>
          <w:color w:val="000000" w:themeColor="text1"/>
          <w:sz w:val="24"/>
          <w:szCs w:val="24"/>
        </w:rPr>
        <w:t>到港增加 反弹空间受限</w:t>
      </w:r>
      <w:bookmarkEnd w:id="40"/>
    </w:p>
    <w:p w:rsidR="003F56A5" w:rsidRDefault="00F51139" w:rsidP="00152664">
      <w:pPr>
        <w:ind w:leftChars="300" w:left="630"/>
        <w:rPr>
          <w:rFonts w:ascii="楷体" w:eastAsia="楷体" w:hAnsi="楷体"/>
          <w:color w:val="000000" w:themeColor="text1"/>
          <w:sz w:val="24"/>
          <w:szCs w:val="24"/>
        </w:rPr>
      </w:pPr>
      <w:r w:rsidRPr="00F51139">
        <w:rPr>
          <w:rFonts w:ascii="楷体" w:eastAsia="楷体" w:hAnsi="楷体" w:hint="eastAsia"/>
          <w:color w:val="000000" w:themeColor="text1"/>
          <w:sz w:val="24"/>
          <w:szCs w:val="24"/>
        </w:rPr>
        <w:t>供需情况，10.24华东主港地区MEG港口库存约115.9万吨附近，环比上期去库2.6万吨。截至10月26日，中国大陆地区乙二醇整体开工负荷在58.83%（+0.65%），其中煤制乙二醇开工负荷在64.69%（+3.71%）。镇海炼化（65）预计停车2周左右、古雷石化（70）7-8成运行、中海壳牌（40）</w:t>
      </w:r>
      <w:r w:rsidRPr="00F51139">
        <w:rPr>
          <w:rFonts w:ascii="楷体" w:eastAsia="楷体" w:hAnsi="楷体" w:hint="eastAsia"/>
          <w:color w:val="000000" w:themeColor="text1"/>
          <w:sz w:val="24"/>
          <w:szCs w:val="24"/>
        </w:rPr>
        <w:lastRenderedPageBreak/>
        <w:t>停车计划2个月、三江石化（100）临时停车。截至10月26日，国内大陆地区聚酯负荷在90.7%，环比小幅提升。终端来看，节后江浙加弹综合开工已回升至86%（+2%），江浙织机综合开工提升至80%，江浙印染综合开工小幅下滑至82%，随着原料价格走弱及节后库存累积，涤纶近期出货意愿较强。综合来看，成本端煤价走高，低估值下乙二醇期价重心抬升。部分装置落实检修，近期供给端开工率开工低位。四季度新投产装置推迟，后续存量供应收缩及聚酯开工回升，或维持动态平衡的节奏，暂维持4000-4250区间操作思路。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49294685"/>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F51139" w:rsidRPr="00F51139">
        <w:rPr>
          <w:rFonts w:ascii="楷体" w:eastAsia="楷体" w:hAnsi="楷体" w:hint="eastAsia"/>
          <w:b/>
          <w:color w:val="000000" w:themeColor="text1"/>
          <w:sz w:val="24"/>
          <w:szCs w:val="24"/>
        </w:rPr>
        <w:t>周度小幅累库，逢高做空</w:t>
      </w:r>
      <w:bookmarkEnd w:id="41"/>
    </w:p>
    <w:p w:rsidR="00A71A7E" w:rsidRDefault="00F51139" w:rsidP="001F79C6">
      <w:pPr>
        <w:ind w:leftChars="300" w:left="630"/>
        <w:rPr>
          <w:rFonts w:ascii="楷体" w:eastAsia="楷体" w:hAnsi="楷体"/>
          <w:color w:val="000000" w:themeColor="text1"/>
          <w:sz w:val="24"/>
          <w:szCs w:val="24"/>
        </w:rPr>
      </w:pPr>
      <w:r w:rsidRPr="00F51139">
        <w:rPr>
          <w:rFonts w:ascii="楷体" w:eastAsia="楷体" w:hAnsi="楷体" w:hint="eastAsia"/>
          <w:color w:val="000000" w:themeColor="text1"/>
          <w:sz w:val="24"/>
          <w:szCs w:val="24"/>
        </w:rPr>
        <w:t>隆众资讯10月26日报道:今日浮法玻璃现货价格2076元/吨，较上一交易日-10元/吨。库存上，截止到20231026，全国浮法玻璃样本企业总库存4065.8万重箱，环比增加35.4万重箱，环比0.88%。月底现货价格继续下跌，原片厂加大优惠力度出货，下游普遍拿货谨慎;供给端维持高位，供需短期维持弱平衡。成本端纯碱价格下跌成本下降，宏观受财政部增发略超1万亿元国债利好消息影响，盘面延续震荡态势，但目前来看，随着10月的结束，玻璃即将进入淡季，供给高增下，需求预期走弱，远月震荡偏空</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9294686"/>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F51139" w:rsidRPr="00F51139">
        <w:rPr>
          <w:rFonts w:ascii="楷体" w:eastAsia="楷体" w:hAnsi="楷体" w:hint="eastAsia"/>
          <w:b/>
          <w:color w:val="000000" w:themeColor="text1"/>
          <w:sz w:val="24"/>
          <w:szCs w:val="24"/>
        </w:rPr>
        <w:t>加速累库，现货出现抢跑</w:t>
      </w:r>
      <w:bookmarkEnd w:id="42"/>
    </w:p>
    <w:p w:rsidR="00F51139" w:rsidRPr="00F51139" w:rsidRDefault="00F51139" w:rsidP="00F51139">
      <w:pPr>
        <w:ind w:leftChars="300" w:left="630"/>
        <w:rPr>
          <w:rFonts w:ascii="楷体" w:eastAsia="楷体" w:hAnsi="楷体" w:hint="eastAsia"/>
          <w:color w:val="000000" w:themeColor="text1"/>
          <w:sz w:val="24"/>
          <w:szCs w:val="24"/>
        </w:rPr>
      </w:pPr>
      <w:r w:rsidRPr="00F51139">
        <w:rPr>
          <w:rFonts w:ascii="楷体" w:eastAsia="楷体" w:hAnsi="楷体" w:hint="eastAsia"/>
          <w:color w:val="000000" w:themeColor="text1"/>
          <w:sz w:val="24"/>
          <w:szCs w:val="24"/>
        </w:rPr>
        <w:t>本周纯碱价格继续下移。周度市场轻重碱报价普跌300-500元/吨。华中地区重碱报价2450元/吨，青海地区重碱报价2100元/吨。供给方面，截至2023年10月26日，纯碱周产量69.01万吨，跌幅1.52%，个别企业设备问题，装置停车;周库存45.38吨，环比+7.65吨，涨幅</w:t>
      </w:r>
    </w:p>
    <w:p w:rsidR="00A71A7E" w:rsidRDefault="00F51139" w:rsidP="00F51139">
      <w:pPr>
        <w:ind w:leftChars="300" w:left="630"/>
        <w:rPr>
          <w:rFonts w:ascii="楷体" w:eastAsia="楷体" w:hAnsi="楷体"/>
          <w:bCs/>
          <w:sz w:val="24"/>
          <w:szCs w:val="24"/>
        </w:rPr>
      </w:pPr>
      <w:r w:rsidRPr="00F51139">
        <w:rPr>
          <w:rFonts w:ascii="楷体" w:eastAsia="楷体" w:hAnsi="楷体" w:hint="eastAsia"/>
          <w:color w:val="000000" w:themeColor="text1"/>
          <w:sz w:val="24"/>
          <w:szCs w:val="24"/>
        </w:rPr>
        <w:t>20.28%，持续累库，其中重碱库存上量较快。需求上，部分玻璃厂小幅补库，但整体按需为主。进出口上，月中进口到港。供需由平衡向宽松转向。盘面远月等待现货抢跑和累库逻辑兑现，建议反弹逢高沽空</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4929468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49294688"/>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F51139" w:rsidRPr="00F51139">
        <w:rPr>
          <w:rFonts w:ascii="楷体" w:eastAsia="楷体" w:hAnsi="楷体" w:hint="eastAsia"/>
          <w:b/>
          <w:sz w:val="24"/>
          <w:szCs w:val="24"/>
        </w:rPr>
        <w:t>进口成本支撑，震荡整理</w:t>
      </w:r>
      <w:bookmarkEnd w:id="44"/>
    </w:p>
    <w:p w:rsidR="003F56A5" w:rsidRDefault="00F51139">
      <w:pPr>
        <w:ind w:leftChars="300" w:left="630"/>
        <w:rPr>
          <w:rFonts w:ascii="楷体" w:eastAsia="楷体" w:hAnsi="楷体"/>
          <w:sz w:val="24"/>
          <w:szCs w:val="24"/>
        </w:rPr>
      </w:pPr>
      <w:r w:rsidRPr="00F51139">
        <w:rPr>
          <w:rFonts w:ascii="楷体" w:eastAsia="楷体" w:hAnsi="楷体" w:hint="eastAsia"/>
          <w:sz w:val="24"/>
          <w:szCs w:val="24"/>
        </w:rPr>
        <w:t>南美种植区迎来降水，CBOT大豆收跌，在美豆新作上市压力及出口好转下，CBOT大豆维持区间波动。虽美豆新季平衡表偏紧，现阶段对盘面影响有限，美豆当前出口及国内压榨改善，但仍面临着巴西大豆的出口竞争，当前收割快速推进阶段性卖压仍存，CBOT大豆价格预计上方空间有限。后续关注巴西大豆播种情况及美豆出口，南美当前仍维持丰产预期。国内现货基差继续承压运行，近一周远月成交放量。供应端在9-10月份大豆阶段性到港减少下，当前油厂大豆库存维持偏低水平，随着油厂开机恢复，豆粕产出缓增，但部分油厂存断豆停机情况，油厂豆粕库存高于去年同期值为74.09万吨，当前沿海主流油厂豆粕现货报价小幅下调至4050-4230元/吨。9月份进口大豆到港量为715万吨，环比减23.6%，11-12月预计会增至月均950万吨的到港，但对美豆新作整体买船偏慢，仍要关注后续大豆是否会有延迟到港情况。需求，下游生猪养殖利润不佳，但在能繁存栏高位下，下游维持刚需补库，保持安全库存，现货成交情况不佳。菜粕存供需改善</w:t>
      </w:r>
      <w:r w:rsidRPr="00F51139">
        <w:rPr>
          <w:rFonts w:ascii="楷体" w:eastAsia="楷体" w:hAnsi="楷体" w:hint="eastAsia"/>
          <w:sz w:val="24"/>
          <w:szCs w:val="24"/>
        </w:rPr>
        <w:lastRenderedPageBreak/>
        <w:t>预期，随着6月份后菜籽到港减少，油厂压榨也在逐步下滑，但四季度随着菜籽进口增加，菜粕供应预计转宽。而需求方面，随着水产消费旺季的结束，菜粕刚需减少，主要关注豆菜粕价差较大下带来的替代需求。策略方面，远月压力仍存，短期跟随外盘波动，短线可在60日均线附近逢高沽空</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49294689"/>
      <w:r>
        <w:rPr>
          <w:rFonts w:ascii="楷体" w:eastAsia="楷体" w:hAnsi="楷体" w:hint="eastAsia"/>
          <w:b/>
          <w:color w:val="000000" w:themeColor="text1"/>
          <w:sz w:val="24"/>
          <w:szCs w:val="24"/>
        </w:rPr>
        <w:t>油脂：</w:t>
      </w:r>
      <w:r w:rsidR="00F51139" w:rsidRPr="00F51139">
        <w:rPr>
          <w:rFonts w:ascii="楷体" w:eastAsia="楷体" w:hAnsi="楷体" w:hint="eastAsia"/>
          <w:b/>
          <w:sz w:val="24"/>
          <w:szCs w:val="24"/>
        </w:rPr>
        <w:t>供过于求格局未变，短期缺乏上行驱动</w:t>
      </w:r>
      <w:bookmarkEnd w:id="45"/>
    </w:p>
    <w:p w:rsidR="003F56A5" w:rsidRDefault="00F51139" w:rsidP="00792D31">
      <w:pPr>
        <w:ind w:leftChars="300" w:left="630"/>
        <w:rPr>
          <w:rFonts w:ascii="楷体" w:eastAsia="楷体" w:hAnsi="楷体"/>
          <w:sz w:val="24"/>
          <w:szCs w:val="24"/>
        </w:rPr>
      </w:pPr>
      <w:r w:rsidRPr="00F51139">
        <w:rPr>
          <w:rFonts w:ascii="楷体" w:eastAsia="楷体" w:hAnsi="楷体" w:hint="eastAsia"/>
          <w:sz w:val="24"/>
          <w:szCs w:val="24"/>
        </w:rPr>
        <w:t>外盘原油及油脂价格回落，且三大油脂供过于求格局尚未改变，在库存相对高位压制下，仍缺乏上行驱动。棕榈油，产地季节性增产周期下10月存继续累库预期，印尼棕榈油7月份因产量增幅不及需求增幅，库存继续下降。而马棕9月库存增至新高，基本符合市场预期。马棕10月前25日出口环比减少，因此在产量延续增势下，预计10月仍将保持累库趋势；但11月将进入产地季节性减产阶段，关注厄尔尼诺对产量的影响，为中长期潜在利多因素。国内棕榈油7-8月份进口到港维持高位，在买船积极下，供应端稳增，最新商业库存为80.91万吨。需求端，随着各地气温下降，棕榈油逐步进入消费淡季，掺混需求预计减少，棕榈油10月份预计表现偏弱。豆油库存去化仍需看需求增量。国内受9-10月大豆到港减少大豆库存偏低影响，虽油厂开机陆续恢复，但整体压榨水平偏低，豆油供应缓增。需求端，终端存在一定补库需求，且四季度为豆油消费旺季，部分掺混需求预计转向豆油，但当前价格优势并不明显，限制替代需求，近期成交未见增量，库存维持中性偏低水平。菜油短期供应压力减轻，但四季度存供应宽松预期。当前主产地菜籽新作产量不确定性仍存，但当前加籽收割基本结束，集中上市压力也抑制期价走势。虽8-9月份进口加籽到港量减少，菜籽开机及压榨水平偏低，9月菜籽进口32万吨，环比减18.9%，四季度菜籽进口预期宽松。需求方面，与豆油价差持续收窄，库存去化仍需看到替代需求出现。短期油脂维持宽幅震荡，上行驱动不足，建议在连日下跌后关注下方支撑，波段操作或关注豆棕套利低多机会；后续关注天气及需求表现，中长期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49294690"/>
      <w:r>
        <w:rPr>
          <w:rFonts w:ascii="楷体" w:eastAsia="楷体" w:hAnsi="楷体" w:hint="eastAsia"/>
          <w:b/>
          <w:bCs/>
          <w:color w:val="000000" w:themeColor="text1"/>
        </w:rPr>
        <w:t>玉米与淀粉：</w:t>
      </w:r>
      <w:r w:rsidR="00F51139" w:rsidRPr="00F51139">
        <w:rPr>
          <w:rFonts w:ascii="楷体" w:eastAsia="楷体" w:hAnsi="楷体" w:hint="eastAsia"/>
          <w:b/>
        </w:rPr>
        <w:t>期价震荡等待新作压力释放</w:t>
      </w:r>
      <w:bookmarkEnd w:id="46"/>
    </w:p>
    <w:p w:rsidR="00F51139" w:rsidRPr="00F51139" w:rsidRDefault="00F51139" w:rsidP="00F51139">
      <w:pPr>
        <w:pStyle w:val="paragraph"/>
        <w:spacing w:before="60" w:after="60"/>
        <w:ind w:leftChars="300" w:left="630"/>
        <w:rPr>
          <w:rFonts w:ascii="楷体" w:eastAsia="楷体" w:hAnsi="楷体" w:hint="eastAsia"/>
        </w:rPr>
      </w:pPr>
      <w:r w:rsidRPr="00F51139">
        <w:rPr>
          <w:rFonts w:ascii="楷体" w:eastAsia="楷体" w:hAnsi="楷体" w:hint="eastAsia"/>
        </w:rPr>
        <w:t>对于玉米而言，在期价持续回落过程中，期现货结构转为现货升水11月，11月升水1月，但之后各合约转为远月小幅升水。这一期期现结构反映两个问题，其一是当前市场担心在于新作压力，其二是市场对于新作供需预期依然紧张，这意味着市场在等待新作压力释放后的低点再行入场，基于年度产需缺口进入补库存阶段。基于这样的理解，接下来需要关注三个层面，其一是期价下方的空间，其二是后期上涨驱动因素，其三是新作上市压力释放到主动补库存的转折时点。在我们看来，当前期价已经具备安全边际，且有市场渠道库存偏低和小麦现货上涨两个潜在上涨驱动因素，但目前尚不确定新作压力释放向主动补库存的转折时点。综上所述，我们维持谨慎看多观点，建议谨慎投资者观望，激进投资者择机做多，或持有前期多单。</w:t>
      </w:r>
    </w:p>
    <w:p w:rsidR="003F56A5" w:rsidRDefault="00F51139" w:rsidP="00F51139">
      <w:pPr>
        <w:pStyle w:val="paragraph"/>
        <w:spacing w:before="60" w:beforeAutospacing="0" w:after="60" w:afterAutospacing="0"/>
        <w:ind w:leftChars="300" w:left="630"/>
        <w:rPr>
          <w:rFonts w:ascii="楷体" w:eastAsia="楷体" w:hAnsi="楷体"/>
        </w:rPr>
      </w:pPr>
      <w:r w:rsidRPr="00F51139">
        <w:rPr>
          <w:rFonts w:ascii="楷体" w:eastAsia="楷体" w:hAnsi="楷体" w:hint="eastAsia"/>
        </w:rPr>
        <w:lastRenderedPageBreak/>
        <w:t>对于淀粉而言，近期淀粉-玉米价差整体收窄，主要源于原料成本端的担忧，但行业供需端和副产品端相对利多，特别是副产品价格持续下跌影响相对较大，主要逻辑有二，其一是通过现货生产利润影响行业开机率，即通过供应端影响行业供需；其二是通过现货生产利润影响现货价格，继而通过基差影响盘面期价，因当前基差处于历史同期高位。在这种情况下，考虑到副产品、行业供需和现货基差三个方面因素，结合前面对玉米原料端的分析，我们倾向于后期淀粉-玉米价差有望再度走扩</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49294691"/>
      <w:r>
        <w:rPr>
          <w:rFonts w:ascii="楷体" w:eastAsia="楷体" w:hAnsi="楷体" w:hint="eastAsia"/>
          <w:b/>
          <w:bCs/>
          <w:color w:val="000000" w:themeColor="text1"/>
        </w:rPr>
        <w:t>畜禽养殖：</w:t>
      </w:r>
      <w:r w:rsidR="00F51139" w:rsidRPr="00F51139">
        <w:rPr>
          <w:rFonts w:ascii="楷体" w:eastAsia="楷体" w:hAnsi="楷体" w:hint="eastAsia"/>
          <w:b/>
          <w:bCs/>
          <w:color w:val="000000" w:themeColor="text1"/>
        </w:rPr>
        <w:t>生猪期价低开高走</w:t>
      </w:r>
      <w:bookmarkEnd w:id="47"/>
    </w:p>
    <w:p w:rsidR="00F51139" w:rsidRPr="00F51139" w:rsidRDefault="00F51139" w:rsidP="00F51139">
      <w:pPr>
        <w:pStyle w:val="paragraph"/>
        <w:spacing w:before="60" w:after="60"/>
        <w:ind w:leftChars="300" w:left="630"/>
        <w:rPr>
          <w:rFonts w:ascii="楷体" w:eastAsia="楷体" w:hAnsi="楷体" w:hint="eastAsia"/>
        </w:rPr>
      </w:pPr>
      <w:r w:rsidRPr="00F51139">
        <w:rPr>
          <w:rFonts w:ascii="楷体" w:eastAsia="楷体" w:hAnsi="楷体" w:hint="eastAsia"/>
        </w:rPr>
        <w:t>对于生猪而言，在前期报告中我们指出，考虑到各方数据显示生猪产能去化缓慢，表明7月下旬以来的猪价上涨是供应去化带来的阶段性反弹，而非产能去化所带来的周期见底。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考虑到市场供需矛盾并不突出，且接下来现货波动的节奏存在分歧，不确定性较大，观点维持中性，建议投资者继续观望为宜。</w:t>
      </w:r>
    </w:p>
    <w:p w:rsidR="003F56A5" w:rsidRDefault="00F51139" w:rsidP="00F51139">
      <w:pPr>
        <w:pStyle w:val="paragraph"/>
        <w:spacing w:before="60" w:beforeAutospacing="0" w:after="60" w:afterAutospacing="0"/>
        <w:ind w:leftChars="300" w:left="630"/>
        <w:rPr>
          <w:rFonts w:ascii="楷体" w:eastAsia="楷体" w:hAnsi="楷体"/>
        </w:rPr>
      </w:pPr>
      <w:r w:rsidRPr="00F51139">
        <w:rPr>
          <w:rFonts w:ascii="楷体" w:eastAsia="楷体" w:hAnsi="楷体" w:hint="eastAsia"/>
        </w:rPr>
        <w:t>对于鸡蛋而言，9月期间期价特别是近月表现强于市场之前预期，主要源于今年现货季节性高点出现时间晚于往年，这使得市场担心前期悲观预期可能落空，甚至出现类似于去年10月现货再创新高的情况。但在我们看来，9月上半月现货表现强于预期或更多源于两个方面的原因，其一是今年春节后现货相对高位，鸡蛋进入冷库形成库存量相对较低，其二是市场对后期价格悲观，渠道库存偏低。而从供需角度看，卓创资讯数据显示，在产蛋鸡存栏连续三个月环比增加，考虑到今年节后以来蛋鸡苗销量均同比增加，而蛋鸡淘汰量持续处于历史低位水平，蛋鸡淘汰日龄则持续位于历史同期高位，由此可以看出，后期鸡蛋供需有望趋于改善。考虑到近期现货下跌幅度符合季节性回落预期，后期需要担心叠加春节后补栏带来的供应增量，现货表现或弱于预期，在这种情况下，我们维持谨慎看空观点</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49294692"/>
      <w:r>
        <w:rPr>
          <w:rFonts w:ascii="楷体" w:eastAsia="楷体" w:hAnsi="楷体" w:hint="eastAsia"/>
          <w:b/>
          <w:sz w:val="24"/>
          <w:szCs w:val="24"/>
        </w:rPr>
        <w:t>郑棉：</w:t>
      </w:r>
      <w:r w:rsidR="00F51139" w:rsidRPr="00F51139">
        <w:rPr>
          <w:rFonts w:ascii="楷体" w:eastAsia="楷体" w:hAnsi="楷体" w:hint="eastAsia"/>
          <w:b/>
          <w:sz w:val="24"/>
          <w:szCs w:val="24"/>
        </w:rPr>
        <w:t>预计郑棉1.6—1.65区间温和震荡，谨慎观望</w:t>
      </w:r>
      <w:bookmarkEnd w:id="48"/>
    </w:p>
    <w:p w:rsidR="003F56A5" w:rsidRDefault="00F51139" w:rsidP="007B3290">
      <w:pPr>
        <w:ind w:leftChars="300" w:left="630"/>
        <w:rPr>
          <w:rFonts w:ascii="楷体" w:eastAsia="楷体" w:hAnsi="楷体"/>
          <w:sz w:val="24"/>
          <w:szCs w:val="24"/>
        </w:rPr>
      </w:pPr>
      <w:r w:rsidRPr="00F51139">
        <w:rPr>
          <w:rFonts w:ascii="楷体" w:eastAsia="楷体" w:hAnsi="楷体" w:hint="eastAsia"/>
          <w:sz w:val="24"/>
          <w:szCs w:val="24"/>
        </w:rPr>
        <w:t>供应端方面随着进口的增加和新棉上市预期，棉花供应已趋宽松。下游旺季不旺，纺织厂和印染、布料皆维持着较低开机率。社会大量库存压制，棉纱价格走弱，亏损加深。且由于担忧新棉上市时原料价格大幅升高，纺织企业都已囤积了相对足量的棉花原料。供强需弱格局下，新棉的成本支撑表现不强，轧花厂紧随期货价格走势，主流价格集中在7.3—.7.5/公斤。不过，近两周时间郑棉主力已跌去2000多，期现基差升至高位，仓单同比锐减过半给予棉价一定支撑，短期技术性反弹。后续关注抛储政策是否发生调整改变</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49" w:name="_Toc149294693"/>
      <w:r>
        <w:rPr>
          <w:rFonts w:ascii="楷体" w:eastAsia="楷体" w:hAnsi="楷体" w:hint="eastAsia"/>
          <w:b/>
          <w:sz w:val="24"/>
          <w:szCs w:val="24"/>
        </w:rPr>
        <w:t>白糖：</w:t>
      </w:r>
      <w:r w:rsidR="00F51139" w:rsidRPr="00F51139">
        <w:rPr>
          <w:rFonts w:ascii="楷体" w:eastAsia="楷体" w:hAnsi="楷体" w:hint="eastAsia"/>
          <w:b/>
          <w:sz w:val="24"/>
          <w:szCs w:val="24"/>
        </w:rPr>
        <w:t>空单持有</w:t>
      </w:r>
      <w:bookmarkEnd w:id="49"/>
    </w:p>
    <w:p w:rsidR="00296325" w:rsidRDefault="00F51139" w:rsidP="00296325">
      <w:pPr>
        <w:ind w:leftChars="300" w:left="630"/>
        <w:rPr>
          <w:rFonts w:ascii="楷体" w:eastAsia="楷体" w:hAnsi="楷体"/>
          <w:sz w:val="24"/>
          <w:szCs w:val="24"/>
        </w:rPr>
      </w:pPr>
      <w:r w:rsidRPr="00F51139">
        <w:rPr>
          <w:rFonts w:ascii="楷体" w:eastAsia="楷体" w:hAnsi="楷体" w:hint="eastAsia"/>
          <w:sz w:val="24"/>
          <w:szCs w:val="24"/>
        </w:rPr>
        <w:t>巴西甘蔗行业协会( Unica ）周三公布的数据显示，巴西中南部地区10月上半月的糖产量同比增长22%，达到225万吨。Unica 在一份报告中称，10月上半月甘蔗压榨量为3277万吨，较上年同期增长17.6%。但厄尔尼诺天气影响下，市场对新季白糖的供应依然感到担忧，ICE原糖再度触及高位。主要产糖大国印度的乙醇燃料计划使其甘蔗使用量大增，此外新季减产概率较大。泰国的产糖前景也不乐观。对于国内糖价来说，传闻10月交割的原糖大部分将运往中国，新榨季也已开始，供应紧张局面短期内有所缓解。不过，国家统计局10月19日公布的数据显示，中国9月成品糖产量为26.2万吨，同比下滑31.1%。产量能否达到预期仍有待观察。2401主力合约预计区间6700-6900震荡</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152664" w:rsidRDefault="00152664" w:rsidP="00152664">
      <w:pPr>
        <w:pBdr>
          <w:top w:val="single" w:sz="4" w:space="0" w:color="auto"/>
        </w:pBdr>
        <w:outlineLvl w:val="0"/>
        <w:rPr>
          <w:rFonts w:ascii="Times New Roman" w:eastAsia="楷体" w:hAnsi="Times New Roman"/>
          <w:b/>
          <w:color w:val="823C0B"/>
        </w:rPr>
      </w:pPr>
      <w:bookmarkStart w:id="50" w:name="_Toc149294694"/>
      <w:r>
        <w:rPr>
          <w:rFonts w:ascii="Times New Roman" w:eastAsia="楷体" w:hAnsi="Times New Roman" w:hint="eastAsia"/>
          <w:b/>
          <w:color w:val="823C0B"/>
          <w:sz w:val="30"/>
          <w:szCs w:val="30"/>
        </w:rPr>
        <w:t>[</w:t>
      </w:r>
      <w:r w:rsidRPr="00152664">
        <w:rPr>
          <w:rFonts w:ascii="Times New Roman" w:eastAsia="楷体" w:hAnsi="Times New Roman" w:hint="eastAsia"/>
          <w:b/>
          <w:color w:val="823C0B"/>
          <w:sz w:val="30"/>
          <w:szCs w:val="30"/>
        </w:rPr>
        <w:t>指数</w:t>
      </w:r>
      <w:r>
        <w:rPr>
          <w:rFonts w:ascii="Times New Roman" w:eastAsia="楷体" w:hAnsi="Times New Roman" w:hint="eastAsia"/>
          <w:b/>
          <w:color w:val="823C0B"/>
          <w:sz w:val="30"/>
          <w:szCs w:val="30"/>
        </w:rPr>
        <w:t>]</w:t>
      </w:r>
      <w:bookmarkEnd w:id="50"/>
    </w:p>
    <w:p w:rsidR="00152664" w:rsidRDefault="00152664" w:rsidP="00152664">
      <w:pPr>
        <w:ind w:leftChars="200" w:left="420"/>
        <w:outlineLvl w:val="1"/>
        <w:rPr>
          <w:rFonts w:ascii="Times New Roman" w:eastAsia="楷体" w:hAnsi="Times New Roman"/>
          <w:b/>
          <w:color w:val="000000" w:themeColor="text1"/>
          <w:sz w:val="24"/>
          <w:szCs w:val="24"/>
        </w:rPr>
      </w:pPr>
      <w:bookmarkStart w:id="51" w:name="_Toc149294695"/>
      <w:r w:rsidRPr="00152664">
        <w:rPr>
          <w:rFonts w:ascii="Times New Roman" w:eastAsia="楷体" w:hAnsi="Times New Roman" w:hint="eastAsia"/>
          <w:b/>
          <w:color w:val="000000" w:themeColor="text1"/>
          <w:sz w:val="24"/>
          <w:szCs w:val="24"/>
        </w:rPr>
        <w:t>集运指数（欧线）</w:t>
      </w:r>
      <w:r>
        <w:rPr>
          <w:rFonts w:ascii="Times New Roman" w:eastAsia="楷体" w:hAnsi="Times New Roman" w:hint="eastAsia"/>
          <w:b/>
          <w:color w:val="000000" w:themeColor="text1"/>
          <w:sz w:val="24"/>
          <w:szCs w:val="24"/>
        </w:rPr>
        <w:t>：</w:t>
      </w:r>
      <w:r w:rsidR="00F51139" w:rsidRPr="00F51139">
        <w:rPr>
          <w:rFonts w:ascii="Times New Roman" w:eastAsia="楷体" w:hAnsi="Times New Roman" w:hint="eastAsia"/>
          <w:b/>
          <w:color w:val="000000" w:themeColor="text1"/>
          <w:sz w:val="24"/>
          <w:szCs w:val="24"/>
        </w:rPr>
        <w:t>运价维持低位震荡，多空僵持静待本周</w:t>
      </w:r>
      <w:r w:rsidR="00F51139" w:rsidRPr="00F51139">
        <w:rPr>
          <w:rFonts w:ascii="Times New Roman" w:eastAsia="楷体" w:hAnsi="Times New Roman" w:hint="eastAsia"/>
          <w:b/>
          <w:color w:val="000000" w:themeColor="text1"/>
          <w:sz w:val="24"/>
          <w:szCs w:val="24"/>
        </w:rPr>
        <w:t>SCFI</w:t>
      </w:r>
      <w:r w:rsidR="00F51139" w:rsidRPr="00F51139">
        <w:rPr>
          <w:rFonts w:ascii="Times New Roman" w:eastAsia="楷体" w:hAnsi="Times New Roman" w:hint="eastAsia"/>
          <w:b/>
          <w:color w:val="000000" w:themeColor="text1"/>
          <w:sz w:val="24"/>
          <w:szCs w:val="24"/>
        </w:rPr>
        <w:t>公布</w:t>
      </w:r>
      <w:bookmarkEnd w:id="51"/>
    </w:p>
    <w:p w:rsidR="00F51139" w:rsidRPr="00F51139" w:rsidRDefault="00F51139" w:rsidP="00F51139">
      <w:pPr>
        <w:ind w:leftChars="300" w:left="630"/>
        <w:rPr>
          <w:rFonts w:ascii="Times New Roman" w:eastAsia="楷体" w:hAnsi="Times New Roman" w:hint="eastAsia"/>
          <w:color w:val="000000" w:themeColor="text1"/>
          <w:sz w:val="24"/>
          <w:szCs w:val="24"/>
        </w:rPr>
      </w:pPr>
      <w:r w:rsidRPr="00F51139">
        <w:rPr>
          <w:rFonts w:ascii="Times New Roman" w:eastAsia="楷体" w:hAnsi="Times New Roman" w:hint="eastAsia"/>
          <w:color w:val="000000" w:themeColor="text1"/>
          <w:sz w:val="24"/>
          <w:szCs w:val="24"/>
        </w:rPr>
        <w:t>在供应端，船公司为了第四季度签长协价格能提供更高的基准，陆续计划下周开始涨价，同时缩减航线为市场提供信心。外需方面，欧洲</w:t>
      </w:r>
      <w:r w:rsidRPr="00F51139">
        <w:rPr>
          <w:rFonts w:ascii="Times New Roman" w:eastAsia="楷体" w:hAnsi="Times New Roman" w:hint="eastAsia"/>
          <w:color w:val="000000" w:themeColor="text1"/>
          <w:sz w:val="24"/>
          <w:szCs w:val="24"/>
        </w:rPr>
        <w:t>10</w:t>
      </w:r>
      <w:r w:rsidRPr="00F51139">
        <w:rPr>
          <w:rFonts w:ascii="Times New Roman" w:eastAsia="楷体" w:hAnsi="Times New Roman" w:hint="eastAsia"/>
          <w:color w:val="000000" w:themeColor="text1"/>
          <w:sz w:val="24"/>
          <w:szCs w:val="24"/>
        </w:rPr>
        <w:t>月制造业</w:t>
      </w:r>
      <w:r w:rsidRPr="00F51139">
        <w:rPr>
          <w:rFonts w:ascii="Times New Roman" w:eastAsia="楷体" w:hAnsi="Times New Roman" w:hint="eastAsia"/>
          <w:color w:val="000000" w:themeColor="text1"/>
          <w:sz w:val="24"/>
          <w:szCs w:val="24"/>
        </w:rPr>
        <w:t>PMI</w:t>
      </w:r>
      <w:r w:rsidRPr="00F51139">
        <w:rPr>
          <w:rFonts w:ascii="Times New Roman" w:eastAsia="楷体" w:hAnsi="Times New Roman" w:hint="eastAsia"/>
          <w:color w:val="000000" w:themeColor="text1"/>
          <w:sz w:val="24"/>
          <w:szCs w:val="24"/>
        </w:rPr>
        <w:t>数据为</w:t>
      </w:r>
      <w:r w:rsidRPr="00F51139">
        <w:rPr>
          <w:rFonts w:ascii="Times New Roman" w:eastAsia="楷体" w:hAnsi="Times New Roman" w:hint="eastAsia"/>
          <w:color w:val="000000" w:themeColor="text1"/>
          <w:sz w:val="24"/>
          <w:szCs w:val="24"/>
        </w:rPr>
        <w:t>43</w:t>
      </w:r>
      <w:r w:rsidRPr="00F51139">
        <w:rPr>
          <w:rFonts w:ascii="Times New Roman" w:eastAsia="楷体" w:hAnsi="Times New Roman" w:hint="eastAsia"/>
          <w:color w:val="000000" w:themeColor="text1"/>
          <w:sz w:val="24"/>
          <w:szCs w:val="24"/>
        </w:rPr>
        <w:t>，略低于预期，并连续</w:t>
      </w:r>
      <w:r w:rsidRPr="00F51139">
        <w:rPr>
          <w:rFonts w:ascii="Times New Roman" w:eastAsia="楷体" w:hAnsi="Times New Roman" w:hint="eastAsia"/>
          <w:color w:val="000000" w:themeColor="text1"/>
          <w:sz w:val="24"/>
          <w:szCs w:val="24"/>
        </w:rPr>
        <w:t>16</w:t>
      </w:r>
      <w:r w:rsidRPr="00F51139">
        <w:rPr>
          <w:rFonts w:ascii="Times New Roman" w:eastAsia="楷体" w:hAnsi="Times New Roman" w:hint="eastAsia"/>
          <w:color w:val="000000" w:themeColor="text1"/>
          <w:sz w:val="24"/>
          <w:szCs w:val="24"/>
        </w:rPr>
        <w:t>个月处于荣枯线以下，欧洲经济疲软将延续，从而对欧洲需求产生抑制，四季度欧洲需求难以出现改善。</w:t>
      </w:r>
    </w:p>
    <w:p w:rsidR="00152664" w:rsidRDefault="00F51139" w:rsidP="00F51139">
      <w:pPr>
        <w:ind w:leftChars="300" w:left="630"/>
        <w:rPr>
          <w:rFonts w:ascii="Times New Roman" w:eastAsia="楷体" w:hAnsi="Times New Roman"/>
          <w:color w:val="000000" w:themeColor="text1"/>
          <w:sz w:val="24"/>
          <w:szCs w:val="24"/>
        </w:rPr>
      </w:pPr>
      <w:r w:rsidRPr="00F51139">
        <w:rPr>
          <w:rFonts w:ascii="Times New Roman" w:eastAsia="楷体" w:hAnsi="Times New Roman" w:hint="eastAsia"/>
          <w:color w:val="000000" w:themeColor="text1"/>
          <w:sz w:val="24"/>
          <w:szCs w:val="24"/>
        </w:rPr>
        <w:t>长期来看供强需弱的长期逻辑难改变，但短期欧线船公司运力缩减应对需求疲弱，因此近日</w:t>
      </w:r>
      <w:r w:rsidRPr="00F51139">
        <w:rPr>
          <w:rFonts w:ascii="Times New Roman" w:eastAsia="楷体" w:hAnsi="Times New Roman" w:hint="eastAsia"/>
          <w:color w:val="000000" w:themeColor="text1"/>
          <w:sz w:val="24"/>
          <w:szCs w:val="24"/>
        </w:rPr>
        <w:t>EC</w:t>
      </w:r>
      <w:r w:rsidRPr="00F51139">
        <w:rPr>
          <w:rFonts w:ascii="Times New Roman" w:eastAsia="楷体" w:hAnsi="Times New Roman" w:hint="eastAsia"/>
          <w:color w:val="000000" w:themeColor="text1"/>
          <w:sz w:val="24"/>
          <w:szCs w:val="24"/>
        </w:rPr>
        <w:t>多空博弈激烈持续震荡，关注本日</w:t>
      </w:r>
      <w:r w:rsidRPr="00F51139">
        <w:rPr>
          <w:rFonts w:ascii="Times New Roman" w:eastAsia="楷体" w:hAnsi="Times New Roman" w:hint="eastAsia"/>
          <w:color w:val="000000" w:themeColor="text1"/>
          <w:sz w:val="24"/>
          <w:szCs w:val="24"/>
        </w:rPr>
        <w:t>SCFI</w:t>
      </w:r>
      <w:r w:rsidRPr="00F51139">
        <w:rPr>
          <w:rFonts w:ascii="Times New Roman" w:eastAsia="楷体" w:hAnsi="Times New Roman" w:hint="eastAsia"/>
          <w:color w:val="000000" w:themeColor="text1"/>
          <w:sz w:val="24"/>
          <w:szCs w:val="24"/>
        </w:rPr>
        <w:t>数据是否呼应船公司挺价计划。建议操作上以区间交易为主</w:t>
      </w:r>
      <w:r w:rsidR="00152664">
        <w:rPr>
          <w:rFonts w:ascii="Times New Roman" w:eastAsia="楷体" w:hAnsi="Times New Roman" w:hint="eastAsia"/>
          <w:color w:val="000000" w:themeColor="text1"/>
          <w:sz w:val="24"/>
          <w:szCs w:val="24"/>
        </w:rPr>
        <w:t>。</w:t>
      </w: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2" w:name="_Toc71212556"/>
      <w:bookmarkStart w:id="53" w:name="_Toc19667"/>
      <w:bookmarkStart w:id="54" w:name="_Toc98426751"/>
      <w:bookmarkStart w:id="55" w:name="_Toc12779"/>
      <w:bookmarkStart w:id="56" w:name="_Toc72481108"/>
      <w:r>
        <w:rPr>
          <w:rFonts w:ascii="Times New Roman" w:eastAsia="楷体" w:hAnsi="Times New Roman"/>
          <w:b/>
          <w:color w:val="411D05"/>
          <w:sz w:val="30"/>
          <w:szCs w:val="30"/>
        </w:rPr>
        <w:lastRenderedPageBreak/>
        <w:t>免责声明</w:t>
      </w:r>
      <w:bookmarkEnd w:id="52"/>
      <w:bookmarkEnd w:id="53"/>
      <w:bookmarkEnd w:id="54"/>
      <w:bookmarkEnd w:id="55"/>
      <w:bookmarkEnd w:id="56"/>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80" w:rsidRDefault="00DD1480">
      <w:r>
        <w:separator/>
      </w:r>
    </w:p>
  </w:endnote>
  <w:endnote w:type="continuationSeparator" w:id="0">
    <w:p w:rsidR="00DD1480" w:rsidRDefault="00DD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4AED6CCA" wp14:editId="117366FD">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F51139">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F51139">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80" w:rsidRDefault="00DD1480">
      <w:r>
        <w:separator/>
      </w:r>
    </w:p>
  </w:footnote>
  <w:footnote w:type="continuationSeparator" w:id="0">
    <w:p w:rsidR="00DD1480" w:rsidRDefault="00DD14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2445F5B4" wp14:editId="2AEFC1E0">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1342B714" wp14:editId="01763277">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F51139">
      <w:rPr>
        <w:rFonts w:ascii="Times New Roman" w:eastAsia="楷体" w:hAnsi="Times New Roman" w:hint="eastAsia"/>
        <w:b/>
        <w:bCs/>
        <w:noProof/>
        <w:color w:val="833C0B"/>
        <w:sz w:val="21"/>
      </w:rPr>
      <w:t>2023</w:t>
    </w:r>
    <w:r w:rsidR="00F51139">
      <w:rPr>
        <w:rFonts w:ascii="Times New Roman" w:eastAsia="楷体" w:hAnsi="Times New Roman" w:hint="eastAsia"/>
        <w:b/>
        <w:bCs/>
        <w:noProof/>
        <w:color w:val="833C0B"/>
        <w:sz w:val="21"/>
      </w:rPr>
      <w:t>年</w:t>
    </w:r>
    <w:r w:rsidR="00F51139">
      <w:rPr>
        <w:rFonts w:ascii="Times New Roman" w:eastAsia="楷体" w:hAnsi="Times New Roman" w:hint="eastAsia"/>
        <w:b/>
        <w:bCs/>
        <w:noProof/>
        <w:color w:val="833C0B"/>
        <w:sz w:val="21"/>
      </w:rPr>
      <w:t>10</w:t>
    </w:r>
    <w:r w:rsidR="00F51139">
      <w:rPr>
        <w:rFonts w:ascii="Times New Roman" w:eastAsia="楷体" w:hAnsi="Times New Roman" w:hint="eastAsia"/>
        <w:b/>
        <w:bCs/>
        <w:noProof/>
        <w:color w:val="833C0B"/>
        <w:sz w:val="21"/>
      </w:rPr>
      <w:t>月</w:t>
    </w:r>
    <w:r w:rsidR="00F51139">
      <w:rPr>
        <w:rFonts w:ascii="Times New Roman" w:eastAsia="楷体" w:hAnsi="Times New Roman" w:hint="eastAsia"/>
        <w:b/>
        <w:bCs/>
        <w:noProof/>
        <w:color w:val="833C0B"/>
        <w:sz w:val="21"/>
      </w:rPr>
      <w:t>27</w:t>
    </w:r>
    <w:r w:rsidR="00F51139">
      <w:rPr>
        <w:rFonts w:ascii="Times New Roman" w:eastAsia="楷体" w:hAnsi="Times New Roman" w:hint="eastAsia"/>
        <w:b/>
        <w:bCs/>
        <w:noProof/>
        <w:color w:val="833C0B"/>
        <w:sz w:val="21"/>
      </w:rPr>
      <w:t>日星期五</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24C21"/>
    <w:rsid w:val="00032A7A"/>
    <w:rsid w:val="00035EB2"/>
    <w:rsid w:val="000417D7"/>
    <w:rsid w:val="00050B6C"/>
    <w:rsid w:val="0005286B"/>
    <w:rsid w:val="0005726F"/>
    <w:rsid w:val="00057E99"/>
    <w:rsid w:val="00060F08"/>
    <w:rsid w:val="00072EAA"/>
    <w:rsid w:val="00073CEF"/>
    <w:rsid w:val="00076420"/>
    <w:rsid w:val="000820C6"/>
    <w:rsid w:val="00093E40"/>
    <w:rsid w:val="00094BAE"/>
    <w:rsid w:val="00096258"/>
    <w:rsid w:val="000A390A"/>
    <w:rsid w:val="000A413E"/>
    <w:rsid w:val="000B0648"/>
    <w:rsid w:val="000B4E70"/>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75B7"/>
    <w:rsid w:val="00127803"/>
    <w:rsid w:val="00127FF1"/>
    <w:rsid w:val="00147668"/>
    <w:rsid w:val="00147B03"/>
    <w:rsid w:val="0015047B"/>
    <w:rsid w:val="00152664"/>
    <w:rsid w:val="00155A0F"/>
    <w:rsid w:val="00156FEB"/>
    <w:rsid w:val="001579F3"/>
    <w:rsid w:val="00163984"/>
    <w:rsid w:val="00170E7B"/>
    <w:rsid w:val="00170EDF"/>
    <w:rsid w:val="001801C4"/>
    <w:rsid w:val="0018678E"/>
    <w:rsid w:val="001942CB"/>
    <w:rsid w:val="001945E9"/>
    <w:rsid w:val="001A3E49"/>
    <w:rsid w:val="001A44F9"/>
    <w:rsid w:val="001B0610"/>
    <w:rsid w:val="001B179D"/>
    <w:rsid w:val="001B1904"/>
    <w:rsid w:val="001B25C9"/>
    <w:rsid w:val="001B2D4C"/>
    <w:rsid w:val="001B6043"/>
    <w:rsid w:val="001B6394"/>
    <w:rsid w:val="001B6B7D"/>
    <w:rsid w:val="001C2E87"/>
    <w:rsid w:val="001C77D0"/>
    <w:rsid w:val="001D1F0A"/>
    <w:rsid w:val="001D40EA"/>
    <w:rsid w:val="001D4474"/>
    <w:rsid w:val="001D5419"/>
    <w:rsid w:val="001D7D0A"/>
    <w:rsid w:val="001E1A3C"/>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54F5"/>
    <w:rsid w:val="003C5F91"/>
    <w:rsid w:val="003D3A9E"/>
    <w:rsid w:val="003F2424"/>
    <w:rsid w:val="003F56A5"/>
    <w:rsid w:val="00404AFE"/>
    <w:rsid w:val="004123EF"/>
    <w:rsid w:val="004177A8"/>
    <w:rsid w:val="004201F5"/>
    <w:rsid w:val="004230AC"/>
    <w:rsid w:val="00426AB5"/>
    <w:rsid w:val="00433C64"/>
    <w:rsid w:val="00440FBE"/>
    <w:rsid w:val="004427D1"/>
    <w:rsid w:val="00452F14"/>
    <w:rsid w:val="004567BD"/>
    <w:rsid w:val="00461147"/>
    <w:rsid w:val="004648E2"/>
    <w:rsid w:val="00484C53"/>
    <w:rsid w:val="00485A3F"/>
    <w:rsid w:val="00486646"/>
    <w:rsid w:val="00487F77"/>
    <w:rsid w:val="00490056"/>
    <w:rsid w:val="00491DD7"/>
    <w:rsid w:val="00495F18"/>
    <w:rsid w:val="004977A9"/>
    <w:rsid w:val="004A1926"/>
    <w:rsid w:val="004A382D"/>
    <w:rsid w:val="004A3F85"/>
    <w:rsid w:val="004A65B5"/>
    <w:rsid w:val="004A78BA"/>
    <w:rsid w:val="004B4D4D"/>
    <w:rsid w:val="004C11A7"/>
    <w:rsid w:val="004C4541"/>
    <w:rsid w:val="004C5F3F"/>
    <w:rsid w:val="004D0484"/>
    <w:rsid w:val="004D1AE5"/>
    <w:rsid w:val="004D6F74"/>
    <w:rsid w:val="004E269E"/>
    <w:rsid w:val="004E2959"/>
    <w:rsid w:val="004E3A10"/>
    <w:rsid w:val="004E58A5"/>
    <w:rsid w:val="004E6093"/>
    <w:rsid w:val="004E6F41"/>
    <w:rsid w:val="004F2492"/>
    <w:rsid w:val="005145ED"/>
    <w:rsid w:val="00521683"/>
    <w:rsid w:val="005245A4"/>
    <w:rsid w:val="00526949"/>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03F3"/>
    <w:rsid w:val="00591B89"/>
    <w:rsid w:val="005926B7"/>
    <w:rsid w:val="00593B03"/>
    <w:rsid w:val="00593F40"/>
    <w:rsid w:val="0059697A"/>
    <w:rsid w:val="005A5EEB"/>
    <w:rsid w:val="005B5BDF"/>
    <w:rsid w:val="005B790A"/>
    <w:rsid w:val="005C05F7"/>
    <w:rsid w:val="005C05FA"/>
    <w:rsid w:val="005C49BA"/>
    <w:rsid w:val="005C5B1D"/>
    <w:rsid w:val="005E1CE0"/>
    <w:rsid w:val="005E6164"/>
    <w:rsid w:val="005F28F8"/>
    <w:rsid w:val="005F2CE6"/>
    <w:rsid w:val="005F45A8"/>
    <w:rsid w:val="005F5D8E"/>
    <w:rsid w:val="00605CB4"/>
    <w:rsid w:val="00606E2B"/>
    <w:rsid w:val="00610C41"/>
    <w:rsid w:val="00612D79"/>
    <w:rsid w:val="0061390B"/>
    <w:rsid w:val="00615F78"/>
    <w:rsid w:val="00622C65"/>
    <w:rsid w:val="006353D1"/>
    <w:rsid w:val="00637F19"/>
    <w:rsid w:val="00641752"/>
    <w:rsid w:val="00645DF5"/>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11CD"/>
    <w:rsid w:val="0072164F"/>
    <w:rsid w:val="007253E7"/>
    <w:rsid w:val="0072736C"/>
    <w:rsid w:val="007315D8"/>
    <w:rsid w:val="00740BD1"/>
    <w:rsid w:val="00743CFD"/>
    <w:rsid w:val="007664C1"/>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C1DB9"/>
    <w:rsid w:val="007C2FD2"/>
    <w:rsid w:val="007C6F18"/>
    <w:rsid w:val="007C7B84"/>
    <w:rsid w:val="007D29EC"/>
    <w:rsid w:val="007D4BBD"/>
    <w:rsid w:val="007D67CC"/>
    <w:rsid w:val="007E1660"/>
    <w:rsid w:val="007E1FC2"/>
    <w:rsid w:val="007F09BE"/>
    <w:rsid w:val="007F1327"/>
    <w:rsid w:val="007F140C"/>
    <w:rsid w:val="007F186E"/>
    <w:rsid w:val="007F197B"/>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288D"/>
    <w:rsid w:val="0083605E"/>
    <w:rsid w:val="00840F4E"/>
    <w:rsid w:val="008463FD"/>
    <w:rsid w:val="00853880"/>
    <w:rsid w:val="00856132"/>
    <w:rsid w:val="00861497"/>
    <w:rsid w:val="008649BB"/>
    <w:rsid w:val="008655EA"/>
    <w:rsid w:val="00867CA5"/>
    <w:rsid w:val="00873ECE"/>
    <w:rsid w:val="008740D4"/>
    <w:rsid w:val="00874708"/>
    <w:rsid w:val="00875F9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2F5B"/>
    <w:rsid w:val="009870E4"/>
    <w:rsid w:val="00992BCC"/>
    <w:rsid w:val="009A12FA"/>
    <w:rsid w:val="009A564D"/>
    <w:rsid w:val="009B0D7B"/>
    <w:rsid w:val="009B3801"/>
    <w:rsid w:val="009B534D"/>
    <w:rsid w:val="009B591A"/>
    <w:rsid w:val="009C30FE"/>
    <w:rsid w:val="009C3E56"/>
    <w:rsid w:val="009C483C"/>
    <w:rsid w:val="009D2477"/>
    <w:rsid w:val="009D4A74"/>
    <w:rsid w:val="009D5253"/>
    <w:rsid w:val="009D5D79"/>
    <w:rsid w:val="009D64FE"/>
    <w:rsid w:val="009D75BB"/>
    <w:rsid w:val="009E0994"/>
    <w:rsid w:val="009E25E0"/>
    <w:rsid w:val="009E4452"/>
    <w:rsid w:val="009E5993"/>
    <w:rsid w:val="009E7578"/>
    <w:rsid w:val="009E75B7"/>
    <w:rsid w:val="009F5C7B"/>
    <w:rsid w:val="00A031CE"/>
    <w:rsid w:val="00A04421"/>
    <w:rsid w:val="00A11A0D"/>
    <w:rsid w:val="00A22080"/>
    <w:rsid w:val="00A223D3"/>
    <w:rsid w:val="00A32D1B"/>
    <w:rsid w:val="00A42079"/>
    <w:rsid w:val="00A531E8"/>
    <w:rsid w:val="00A573ED"/>
    <w:rsid w:val="00A60F08"/>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52CB"/>
    <w:rsid w:val="00AC5310"/>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23F73"/>
    <w:rsid w:val="00B33C93"/>
    <w:rsid w:val="00B443CE"/>
    <w:rsid w:val="00B4555A"/>
    <w:rsid w:val="00B51CAF"/>
    <w:rsid w:val="00B53C56"/>
    <w:rsid w:val="00B60464"/>
    <w:rsid w:val="00B606EF"/>
    <w:rsid w:val="00B618F8"/>
    <w:rsid w:val="00B64133"/>
    <w:rsid w:val="00B72E2D"/>
    <w:rsid w:val="00B745CB"/>
    <w:rsid w:val="00B805BD"/>
    <w:rsid w:val="00B80E26"/>
    <w:rsid w:val="00B81DA7"/>
    <w:rsid w:val="00B873E2"/>
    <w:rsid w:val="00B91D3D"/>
    <w:rsid w:val="00B94E7D"/>
    <w:rsid w:val="00B97F08"/>
    <w:rsid w:val="00BA4663"/>
    <w:rsid w:val="00BA696B"/>
    <w:rsid w:val="00BA7212"/>
    <w:rsid w:val="00BC5F45"/>
    <w:rsid w:val="00BC71D6"/>
    <w:rsid w:val="00BD4C85"/>
    <w:rsid w:val="00BE1EFD"/>
    <w:rsid w:val="00BE456E"/>
    <w:rsid w:val="00BF3137"/>
    <w:rsid w:val="00BF4417"/>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25C5A"/>
    <w:rsid w:val="00D309C4"/>
    <w:rsid w:val="00D32D2F"/>
    <w:rsid w:val="00D341CA"/>
    <w:rsid w:val="00D41AF4"/>
    <w:rsid w:val="00D45E53"/>
    <w:rsid w:val="00D47039"/>
    <w:rsid w:val="00D55EAF"/>
    <w:rsid w:val="00D63655"/>
    <w:rsid w:val="00D66257"/>
    <w:rsid w:val="00D673AD"/>
    <w:rsid w:val="00D75630"/>
    <w:rsid w:val="00D762B2"/>
    <w:rsid w:val="00D842AA"/>
    <w:rsid w:val="00D86D76"/>
    <w:rsid w:val="00D87130"/>
    <w:rsid w:val="00D93E0B"/>
    <w:rsid w:val="00DA7546"/>
    <w:rsid w:val="00DB4E25"/>
    <w:rsid w:val="00DB6FBE"/>
    <w:rsid w:val="00DC47C0"/>
    <w:rsid w:val="00DD145E"/>
    <w:rsid w:val="00DD1480"/>
    <w:rsid w:val="00DD29E1"/>
    <w:rsid w:val="00DD334E"/>
    <w:rsid w:val="00DE02C4"/>
    <w:rsid w:val="00DF164D"/>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90537"/>
    <w:rsid w:val="00F91733"/>
    <w:rsid w:val="00F920DB"/>
    <w:rsid w:val="00F95209"/>
    <w:rsid w:val="00F964AD"/>
    <w:rsid w:val="00FB3956"/>
    <w:rsid w:val="00FC0F8B"/>
    <w:rsid w:val="00FC24AF"/>
    <w:rsid w:val="00FD6B0E"/>
    <w:rsid w:val="00FE1B77"/>
    <w:rsid w:val="00FE7219"/>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82F5"/>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CABAF-4693-4617-91FC-754319FA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4353</TotalTime>
  <Pages>10</Pages>
  <Words>1659</Words>
  <Characters>9461</Characters>
  <Application>Microsoft Office Word</Application>
  <DocSecurity>0</DocSecurity>
  <Lines>78</Lines>
  <Paragraphs>22</Paragraphs>
  <ScaleCrop>false</ScaleCrop>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119</cp:revision>
  <cp:lastPrinted>2023-06-08T02:23:00Z</cp:lastPrinted>
  <dcterms:created xsi:type="dcterms:W3CDTF">2022-11-15T10:06:00Z</dcterms:created>
  <dcterms:modified xsi:type="dcterms:W3CDTF">2023-10-27T02:24:00Z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