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40BD1"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40BD1" w:rsidRPr="00CC12BF">
            <w:rPr>
              <w:rStyle w:val="a9"/>
              <w:noProof/>
            </w:rPr>
            <w:fldChar w:fldCharType="begin"/>
          </w:r>
          <w:r w:rsidR="00740BD1" w:rsidRPr="00CC12BF">
            <w:rPr>
              <w:rStyle w:val="a9"/>
              <w:noProof/>
            </w:rPr>
            <w:instrText xml:space="preserve"> </w:instrText>
          </w:r>
          <w:r w:rsidR="00740BD1">
            <w:rPr>
              <w:noProof/>
            </w:rPr>
            <w:instrText>HYPERLINK \l "_Toc149209394"</w:instrText>
          </w:r>
          <w:r w:rsidR="00740BD1" w:rsidRPr="00CC12BF">
            <w:rPr>
              <w:rStyle w:val="a9"/>
              <w:noProof/>
            </w:rPr>
            <w:instrText xml:space="preserve"> </w:instrText>
          </w:r>
          <w:r w:rsidR="00740BD1" w:rsidRPr="00CC12BF">
            <w:rPr>
              <w:rStyle w:val="a9"/>
              <w:noProof/>
            </w:rPr>
          </w:r>
          <w:r w:rsidR="00740BD1" w:rsidRPr="00CC12BF">
            <w:rPr>
              <w:rStyle w:val="a9"/>
              <w:noProof/>
            </w:rPr>
            <w:fldChar w:fldCharType="separate"/>
          </w:r>
          <w:r w:rsidR="00740BD1" w:rsidRPr="00CC12BF">
            <w:rPr>
              <w:rStyle w:val="a9"/>
              <w:rFonts w:ascii="Times New Roman" w:eastAsia="楷体" w:hAnsi="Times New Roman"/>
              <w:b/>
              <w:noProof/>
            </w:rPr>
            <w:t>[</w:t>
          </w:r>
          <w:r w:rsidR="00740BD1" w:rsidRPr="00CC12BF">
            <w:rPr>
              <w:rStyle w:val="a9"/>
              <w:rFonts w:ascii="Times New Roman" w:eastAsia="楷体" w:hAnsi="Times New Roman"/>
              <w:b/>
              <w:noProof/>
            </w:rPr>
            <w:t>金融</w:t>
          </w:r>
          <w:r w:rsidR="00740BD1" w:rsidRPr="00CC12BF">
            <w:rPr>
              <w:rStyle w:val="a9"/>
              <w:rFonts w:ascii="Times New Roman" w:eastAsia="楷体" w:hAnsi="Times New Roman"/>
              <w:b/>
              <w:noProof/>
            </w:rPr>
            <w:t>]</w:t>
          </w:r>
          <w:r w:rsidR="00740BD1" w:rsidRPr="00CC12BF">
            <w:rPr>
              <w:rStyle w:val="a9"/>
              <w:noProof/>
            </w:rPr>
            <w:fldChar w:fldCharType="end"/>
          </w:r>
        </w:p>
        <w:p w:rsidR="00740BD1" w:rsidRDefault="00740BD1">
          <w:pPr>
            <w:pStyle w:val="23"/>
            <w:tabs>
              <w:tab w:val="right" w:leader="dot" w:pos="8296"/>
            </w:tabs>
            <w:rPr>
              <w:rFonts w:eastAsiaTheme="minorEastAsia"/>
              <w:noProof/>
              <w:szCs w:val="22"/>
            </w:rPr>
          </w:pPr>
          <w:hyperlink w:anchor="_Toc149209395" w:history="1">
            <w:r w:rsidRPr="00CC12BF">
              <w:rPr>
                <w:rStyle w:val="a9"/>
                <w:rFonts w:ascii="Times New Roman" w:eastAsia="楷体" w:hAnsi="Times New Roman"/>
                <w:b/>
                <w:noProof/>
              </w:rPr>
              <w:t>股指：分批低多思路为主</w:t>
            </w:r>
          </w:hyperlink>
        </w:p>
        <w:p w:rsidR="00740BD1" w:rsidRDefault="00740BD1">
          <w:pPr>
            <w:pStyle w:val="11"/>
            <w:tabs>
              <w:tab w:val="right" w:leader="dot" w:pos="8296"/>
            </w:tabs>
            <w:rPr>
              <w:rFonts w:eastAsiaTheme="minorEastAsia"/>
              <w:noProof/>
              <w:szCs w:val="22"/>
            </w:rPr>
          </w:pPr>
          <w:hyperlink w:anchor="_Toc149209396" w:history="1">
            <w:r w:rsidRPr="00CC12BF">
              <w:rPr>
                <w:rStyle w:val="a9"/>
                <w:rFonts w:ascii="Times New Roman" w:eastAsia="楷体" w:hAnsi="Times New Roman"/>
                <w:b/>
                <w:noProof/>
              </w:rPr>
              <w:t>[</w:t>
            </w:r>
            <w:r w:rsidRPr="00CC12BF">
              <w:rPr>
                <w:rStyle w:val="a9"/>
                <w:rFonts w:ascii="Times New Roman" w:eastAsia="楷体" w:hAnsi="Times New Roman"/>
                <w:b/>
                <w:noProof/>
              </w:rPr>
              <w:t>贵金属</w:t>
            </w:r>
            <w:r w:rsidRPr="00CC12BF">
              <w:rPr>
                <w:rStyle w:val="a9"/>
                <w:rFonts w:ascii="Times New Roman" w:eastAsia="楷体" w:hAnsi="Times New Roman"/>
                <w:b/>
                <w:noProof/>
              </w:rPr>
              <w:t>]</w:t>
            </w:r>
          </w:hyperlink>
        </w:p>
        <w:p w:rsidR="00740BD1" w:rsidRDefault="00740BD1">
          <w:pPr>
            <w:pStyle w:val="23"/>
            <w:tabs>
              <w:tab w:val="right" w:leader="dot" w:pos="8296"/>
            </w:tabs>
            <w:rPr>
              <w:rFonts w:eastAsiaTheme="minorEastAsia"/>
              <w:noProof/>
              <w:szCs w:val="22"/>
            </w:rPr>
          </w:pPr>
          <w:hyperlink w:anchor="_Toc149209397" w:history="1">
            <w:r w:rsidRPr="00CC12BF">
              <w:rPr>
                <w:rStyle w:val="a9"/>
                <w:rFonts w:ascii="Times New Roman" w:eastAsia="楷体" w:hAnsi="Times New Roman"/>
                <w:b/>
                <w:noProof/>
              </w:rPr>
              <w:t>贵金属：美国</w:t>
            </w:r>
            <w:r w:rsidRPr="00CC12BF">
              <w:rPr>
                <w:rStyle w:val="a9"/>
                <w:rFonts w:ascii="Times New Roman" w:eastAsia="楷体" w:hAnsi="Times New Roman"/>
                <w:b/>
                <w:noProof/>
              </w:rPr>
              <w:t>MarkitPMI</w:t>
            </w:r>
            <w:r w:rsidRPr="00CC12BF">
              <w:rPr>
                <w:rStyle w:val="a9"/>
                <w:rFonts w:ascii="Times New Roman" w:eastAsia="楷体" w:hAnsi="Times New Roman"/>
                <w:b/>
                <w:noProof/>
              </w:rPr>
              <w:t>好于预期，内盘贵金属价格小幅上涨</w:t>
            </w:r>
          </w:hyperlink>
        </w:p>
        <w:p w:rsidR="00740BD1" w:rsidRDefault="00740BD1">
          <w:pPr>
            <w:pStyle w:val="11"/>
            <w:tabs>
              <w:tab w:val="right" w:leader="dot" w:pos="8296"/>
            </w:tabs>
            <w:rPr>
              <w:rFonts w:eastAsiaTheme="minorEastAsia"/>
              <w:noProof/>
              <w:szCs w:val="22"/>
            </w:rPr>
          </w:pPr>
          <w:hyperlink w:anchor="_Toc149209398" w:history="1">
            <w:r w:rsidRPr="00CC12BF">
              <w:rPr>
                <w:rStyle w:val="a9"/>
                <w:rFonts w:ascii="Times New Roman" w:eastAsia="楷体" w:hAnsi="Times New Roman"/>
                <w:b/>
                <w:noProof/>
              </w:rPr>
              <w:t>[</w:t>
            </w:r>
            <w:r w:rsidRPr="00CC12BF">
              <w:rPr>
                <w:rStyle w:val="a9"/>
                <w:rFonts w:ascii="Times New Roman" w:eastAsia="楷体" w:hAnsi="Times New Roman"/>
                <w:b/>
                <w:noProof/>
              </w:rPr>
              <w:t>金属</w:t>
            </w:r>
            <w:r w:rsidRPr="00CC12BF">
              <w:rPr>
                <w:rStyle w:val="a9"/>
                <w:rFonts w:ascii="Times New Roman" w:eastAsia="楷体" w:hAnsi="Times New Roman"/>
                <w:b/>
                <w:noProof/>
              </w:rPr>
              <w:t>]</w:t>
            </w:r>
          </w:hyperlink>
        </w:p>
        <w:p w:rsidR="00740BD1" w:rsidRDefault="00740BD1">
          <w:pPr>
            <w:pStyle w:val="23"/>
            <w:tabs>
              <w:tab w:val="right" w:leader="dot" w:pos="8296"/>
            </w:tabs>
            <w:rPr>
              <w:rFonts w:eastAsiaTheme="minorEastAsia"/>
              <w:noProof/>
              <w:szCs w:val="22"/>
            </w:rPr>
          </w:pPr>
          <w:hyperlink w:anchor="_Toc149209399" w:history="1">
            <w:r w:rsidRPr="00CC12BF">
              <w:rPr>
                <w:rStyle w:val="a9"/>
                <w:rFonts w:ascii="楷体" w:eastAsia="楷体" w:hAnsi="楷体"/>
                <w:b/>
                <w:noProof/>
              </w:rPr>
              <w:t>碳酸锂：需求维持低迷，期价高开低走收跌</w:t>
            </w:r>
          </w:hyperlink>
        </w:p>
        <w:p w:rsidR="00740BD1" w:rsidRDefault="00740BD1">
          <w:pPr>
            <w:pStyle w:val="23"/>
            <w:tabs>
              <w:tab w:val="right" w:leader="dot" w:pos="8296"/>
            </w:tabs>
            <w:rPr>
              <w:rFonts w:eastAsiaTheme="minorEastAsia"/>
              <w:noProof/>
              <w:szCs w:val="22"/>
            </w:rPr>
          </w:pPr>
          <w:hyperlink w:anchor="_Toc149209400" w:history="1">
            <w:r w:rsidRPr="00CC12BF">
              <w:rPr>
                <w:rStyle w:val="a9"/>
                <w:rFonts w:ascii="楷体" w:eastAsia="楷体" w:hAnsi="楷体"/>
                <w:b/>
                <w:noProof/>
              </w:rPr>
              <w:t>螺纹钢：宏观利多，低估值下修复估值</w:t>
            </w:r>
          </w:hyperlink>
        </w:p>
        <w:p w:rsidR="00740BD1" w:rsidRDefault="00740BD1">
          <w:pPr>
            <w:pStyle w:val="23"/>
            <w:tabs>
              <w:tab w:val="right" w:leader="dot" w:pos="8296"/>
            </w:tabs>
            <w:rPr>
              <w:rFonts w:eastAsiaTheme="minorEastAsia"/>
              <w:noProof/>
              <w:szCs w:val="22"/>
            </w:rPr>
          </w:pPr>
          <w:hyperlink w:anchor="_Toc149209401" w:history="1">
            <w:r w:rsidRPr="00CC12BF">
              <w:rPr>
                <w:rStyle w:val="a9"/>
                <w:rFonts w:ascii="楷体" w:eastAsia="楷体" w:hAnsi="楷体"/>
                <w:b/>
                <w:noProof/>
              </w:rPr>
              <w:t>焦炭：宏观利多，低估值下修复估值</w:t>
            </w:r>
          </w:hyperlink>
        </w:p>
        <w:p w:rsidR="00740BD1" w:rsidRDefault="00740BD1">
          <w:pPr>
            <w:pStyle w:val="23"/>
            <w:tabs>
              <w:tab w:val="right" w:leader="dot" w:pos="8296"/>
            </w:tabs>
            <w:rPr>
              <w:rFonts w:eastAsiaTheme="minorEastAsia"/>
              <w:noProof/>
              <w:szCs w:val="22"/>
            </w:rPr>
          </w:pPr>
          <w:hyperlink w:anchor="_Toc149209402" w:history="1">
            <w:r w:rsidRPr="00CC12BF">
              <w:rPr>
                <w:rStyle w:val="a9"/>
                <w:rFonts w:ascii="楷体" w:eastAsia="楷体" w:hAnsi="楷体"/>
                <w:b/>
                <w:noProof/>
              </w:rPr>
              <w:t>焦煤：宏观利多，低估值下修复估值</w:t>
            </w:r>
          </w:hyperlink>
        </w:p>
        <w:p w:rsidR="00740BD1" w:rsidRDefault="00740BD1">
          <w:pPr>
            <w:pStyle w:val="23"/>
            <w:tabs>
              <w:tab w:val="right" w:leader="dot" w:pos="8296"/>
            </w:tabs>
            <w:rPr>
              <w:rFonts w:eastAsiaTheme="minorEastAsia"/>
              <w:noProof/>
              <w:szCs w:val="22"/>
            </w:rPr>
          </w:pPr>
          <w:hyperlink w:anchor="_Toc149209403" w:history="1">
            <w:r w:rsidRPr="00CC12BF">
              <w:rPr>
                <w:rStyle w:val="a9"/>
                <w:rFonts w:ascii="楷体" w:eastAsia="楷体" w:hAnsi="楷体"/>
                <w:b/>
                <w:noProof/>
              </w:rPr>
              <w:t>铜：国内仓单库存快速去化，现货升水走高支撑铜价</w:t>
            </w:r>
          </w:hyperlink>
        </w:p>
        <w:p w:rsidR="00740BD1" w:rsidRDefault="00740BD1">
          <w:pPr>
            <w:pStyle w:val="23"/>
            <w:tabs>
              <w:tab w:val="right" w:leader="dot" w:pos="8296"/>
            </w:tabs>
            <w:rPr>
              <w:rFonts w:eastAsiaTheme="minorEastAsia"/>
              <w:noProof/>
              <w:szCs w:val="22"/>
            </w:rPr>
          </w:pPr>
          <w:hyperlink w:anchor="_Toc149209404" w:history="1">
            <w:r w:rsidRPr="00CC12BF">
              <w:rPr>
                <w:rStyle w:val="a9"/>
                <w:rFonts w:ascii="楷体" w:eastAsia="楷体" w:hAnsi="楷体"/>
                <w:b/>
                <w:noProof/>
              </w:rPr>
              <w:t>铝：铝价偏强震荡运行</w:t>
            </w:r>
          </w:hyperlink>
        </w:p>
        <w:p w:rsidR="00740BD1" w:rsidRDefault="00740BD1">
          <w:pPr>
            <w:pStyle w:val="23"/>
            <w:tabs>
              <w:tab w:val="right" w:leader="dot" w:pos="8296"/>
            </w:tabs>
            <w:rPr>
              <w:rFonts w:eastAsiaTheme="minorEastAsia"/>
              <w:noProof/>
              <w:szCs w:val="22"/>
            </w:rPr>
          </w:pPr>
          <w:hyperlink w:anchor="_Toc149209405" w:history="1">
            <w:r w:rsidRPr="00CC12BF">
              <w:rPr>
                <w:rStyle w:val="a9"/>
                <w:rFonts w:ascii="楷体" w:eastAsia="楷体" w:hAnsi="楷体"/>
                <w:b/>
                <w:noProof/>
              </w:rPr>
              <w:t>锌：宏观情绪支撑锌价偏强震荡运行</w:t>
            </w:r>
          </w:hyperlink>
        </w:p>
        <w:p w:rsidR="00740BD1" w:rsidRDefault="00740BD1">
          <w:pPr>
            <w:pStyle w:val="23"/>
            <w:tabs>
              <w:tab w:val="right" w:leader="dot" w:pos="8296"/>
            </w:tabs>
            <w:rPr>
              <w:rFonts w:eastAsiaTheme="minorEastAsia"/>
              <w:noProof/>
              <w:szCs w:val="22"/>
            </w:rPr>
          </w:pPr>
          <w:hyperlink w:anchor="_Toc149209406" w:history="1">
            <w:r w:rsidRPr="00CC12BF">
              <w:rPr>
                <w:rStyle w:val="a9"/>
                <w:rFonts w:ascii="楷体" w:eastAsia="楷体" w:hAnsi="楷体"/>
                <w:b/>
                <w:noProof/>
              </w:rPr>
              <w:t>镍：供需矛盾凸显，但宏观利好及成本端提供支撑</w:t>
            </w:r>
          </w:hyperlink>
        </w:p>
        <w:p w:rsidR="00740BD1" w:rsidRDefault="00740BD1">
          <w:pPr>
            <w:pStyle w:val="23"/>
            <w:tabs>
              <w:tab w:val="right" w:leader="dot" w:pos="8296"/>
            </w:tabs>
            <w:rPr>
              <w:rFonts w:eastAsiaTheme="minorEastAsia"/>
              <w:noProof/>
              <w:szCs w:val="22"/>
            </w:rPr>
          </w:pPr>
          <w:hyperlink w:anchor="_Toc149209407" w:history="1">
            <w:r w:rsidRPr="00CC12BF">
              <w:rPr>
                <w:rStyle w:val="a9"/>
                <w:rFonts w:ascii="楷体" w:eastAsia="楷体" w:hAnsi="楷体"/>
                <w:b/>
                <w:noProof/>
              </w:rPr>
              <w:t>铅：铝价上方压力仍存</w:t>
            </w:r>
          </w:hyperlink>
        </w:p>
        <w:p w:rsidR="00740BD1" w:rsidRDefault="00740BD1">
          <w:pPr>
            <w:pStyle w:val="23"/>
            <w:tabs>
              <w:tab w:val="right" w:leader="dot" w:pos="8296"/>
            </w:tabs>
            <w:rPr>
              <w:rFonts w:eastAsiaTheme="minorEastAsia"/>
              <w:noProof/>
              <w:szCs w:val="22"/>
            </w:rPr>
          </w:pPr>
          <w:hyperlink w:anchor="_Toc149209408" w:history="1">
            <w:r w:rsidRPr="00CC12BF">
              <w:rPr>
                <w:rStyle w:val="a9"/>
                <w:rFonts w:ascii="楷体" w:eastAsia="楷体" w:hAnsi="楷体"/>
                <w:b/>
                <w:noProof/>
              </w:rPr>
              <w:t>不锈钢：产业负反馈传导持续，上下空间皆有限</w:t>
            </w:r>
          </w:hyperlink>
        </w:p>
        <w:p w:rsidR="00740BD1" w:rsidRDefault="00740BD1">
          <w:pPr>
            <w:pStyle w:val="23"/>
            <w:tabs>
              <w:tab w:val="right" w:leader="dot" w:pos="8296"/>
            </w:tabs>
            <w:rPr>
              <w:rFonts w:eastAsiaTheme="minorEastAsia"/>
              <w:noProof/>
              <w:szCs w:val="22"/>
            </w:rPr>
          </w:pPr>
          <w:hyperlink w:anchor="_Toc149209409" w:history="1">
            <w:r w:rsidRPr="00CC12BF">
              <w:rPr>
                <w:rStyle w:val="a9"/>
                <w:rFonts w:ascii="楷体" w:eastAsia="楷体" w:hAnsi="楷体"/>
                <w:b/>
                <w:noProof/>
              </w:rPr>
              <w:t>工业硅：多空因素交织，盘面或维持震荡</w:t>
            </w:r>
          </w:hyperlink>
        </w:p>
        <w:p w:rsidR="00740BD1" w:rsidRDefault="00740BD1">
          <w:pPr>
            <w:pStyle w:val="11"/>
            <w:tabs>
              <w:tab w:val="right" w:leader="dot" w:pos="8296"/>
            </w:tabs>
            <w:rPr>
              <w:rFonts w:eastAsiaTheme="minorEastAsia"/>
              <w:noProof/>
              <w:szCs w:val="22"/>
            </w:rPr>
          </w:pPr>
          <w:hyperlink w:anchor="_Toc149209410" w:history="1">
            <w:r w:rsidRPr="00CC12BF">
              <w:rPr>
                <w:rStyle w:val="a9"/>
                <w:rFonts w:ascii="Times New Roman" w:eastAsia="楷体" w:hAnsi="Times New Roman"/>
                <w:b/>
                <w:noProof/>
              </w:rPr>
              <w:t>[</w:t>
            </w:r>
            <w:r w:rsidRPr="00CC12BF">
              <w:rPr>
                <w:rStyle w:val="a9"/>
                <w:rFonts w:ascii="Times New Roman" w:eastAsia="楷体" w:hAnsi="Times New Roman"/>
                <w:b/>
                <w:noProof/>
              </w:rPr>
              <w:t>化工</w:t>
            </w:r>
            <w:r w:rsidRPr="00CC12BF">
              <w:rPr>
                <w:rStyle w:val="a9"/>
                <w:rFonts w:ascii="Times New Roman" w:eastAsia="楷体" w:hAnsi="Times New Roman"/>
                <w:b/>
                <w:noProof/>
              </w:rPr>
              <w:t>]</w:t>
            </w:r>
          </w:hyperlink>
        </w:p>
        <w:p w:rsidR="00740BD1" w:rsidRDefault="00740BD1">
          <w:pPr>
            <w:pStyle w:val="23"/>
            <w:tabs>
              <w:tab w:val="right" w:leader="dot" w:pos="8296"/>
            </w:tabs>
            <w:rPr>
              <w:rFonts w:eastAsiaTheme="minorEastAsia"/>
              <w:noProof/>
              <w:szCs w:val="22"/>
            </w:rPr>
          </w:pPr>
          <w:hyperlink w:anchor="_Toc149209411" w:history="1">
            <w:r w:rsidRPr="00CC12BF">
              <w:rPr>
                <w:rStyle w:val="a9"/>
                <w:rFonts w:ascii="Times New Roman" w:eastAsia="楷体" w:hAnsi="Times New Roman"/>
                <w:b/>
                <w:noProof/>
              </w:rPr>
              <w:t>天然橡胶</w:t>
            </w:r>
            <w:r w:rsidRPr="00CC12BF">
              <w:rPr>
                <w:rStyle w:val="a9"/>
                <w:rFonts w:ascii="Times New Roman" w:eastAsia="楷体" w:hAnsi="Times New Roman"/>
                <w:b/>
                <w:noProof/>
              </w:rPr>
              <w:t>:</w:t>
            </w:r>
            <w:r w:rsidRPr="00CC12BF">
              <w:rPr>
                <w:rStyle w:val="a9"/>
                <w:rFonts w:ascii="楷体" w:eastAsia="楷体" w:hAnsi="楷体"/>
                <w:b/>
                <w:noProof/>
              </w:rPr>
              <w:t xml:space="preserve"> 向上驱动力不明显，天胶或高位震荡为主</w:t>
            </w:r>
          </w:hyperlink>
        </w:p>
        <w:p w:rsidR="00740BD1" w:rsidRDefault="00740BD1">
          <w:pPr>
            <w:pStyle w:val="23"/>
            <w:tabs>
              <w:tab w:val="right" w:leader="dot" w:pos="8296"/>
            </w:tabs>
            <w:rPr>
              <w:rFonts w:eastAsiaTheme="minorEastAsia"/>
              <w:noProof/>
              <w:szCs w:val="22"/>
            </w:rPr>
          </w:pPr>
          <w:hyperlink w:anchor="_Toc149209412" w:history="1">
            <w:r w:rsidRPr="00CC12BF">
              <w:rPr>
                <w:rStyle w:val="a9"/>
                <w:rFonts w:ascii="楷体" w:eastAsia="楷体" w:hAnsi="楷体"/>
                <w:b/>
                <w:noProof/>
              </w:rPr>
              <w:t>PTA：</w:t>
            </w:r>
            <w:r w:rsidRPr="00CC12BF">
              <w:rPr>
                <w:rStyle w:val="a9"/>
                <w:rFonts w:ascii="Calibri" w:eastAsia="楷体" w:hAnsi="Calibri" w:cs="Calibri"/>
                <w:b/>
                <w:noProof/>
              </w:rPr>
              <w:t> </w:t>
            </w:r>
            <w:r w:rsidRPr="00CC12BF">
              <w:rPr>
                <w:rStyle w:val="a9"/>
                <w:rFonts w:ascii="楷体" w:eastAsia="楷体" w:hAnsi="楷体"/>
                <w:b/>
                <w:noProof/>
              </w:rPr>
              <w:t>供需矛盾暂时缓解 但向上驱动仍不足</w:t>
            </w:r>
          </w:hyperlink>
        </w:p>
        <w:p w:rsidR="00740BD1" w:rsidRDefault="00740BD1">
          <w:pPr>
            <w:pStyle w:val="23"/>
            <w:tabs>
              <w:tab w:val="right" w:leader="dot" w:pos="8296"/>
            </w:tabs>
            <w:rPr>
              <w:rFonts w:eastAsiaTheme="minorEastAsia"/>
              <w:noProof/>
              <w:szCs w:val="22"/>
            </w:rPr>
          </w:pPr>
          <w:hyperlink w:anchor="_Toc149209413" w:history="1">
            <w:r w:rsidRPr="00CC12BF">
              <w:rPr>
                <w:rStyle w:val="a9"/>
                <w:rFonts w:ascii="楷体" w:eastAsia="楷体" w:hAnsi="楷体"/>
                <w:b/>
                <w:noProof/>
              </w:rPr>
              <w:t>PVC：高库存+弱复苏 驱动不足</w:t>
            </w:r>
          </w:hyperlink>
        </w:p>
        <w:p w:rsidR="00740BD1" w:rsidRDefault="00740BD1">
          <w:pPr>
            <w:pStyle w:val="23"/>
            <w:tabs>
              <w:tab w:val="right" w:leader="dot" w:pos="8296"/>
            </w:tabs>
            <w:rPr>
              <w:rFonts w:eastAsiaTheme="minorEastAsia"/>
              <w:noProof/>
              <w:szCs w:val="22"/>
            </w:rPr>
          </w:pPr>
          <w:hyperlink w:anchor="_Toc149209414" w:history="1">
            <w:r w:rsidRPr="00CC12BF">
              <w:rPr>
                <w:rStyle w:val="a9"/>
                <w:rFonts w:ascii="楷体" w:eastAsia="楷体" w:hAnsi="楷体"/>
                <w:b/>
                <w:noProof/>
              </w:rPr>
              <w:t>聚烯烃：传统旺季尾声 聚烯烃偏弱整理为主</w:t>
            </w:r>
          </w:hyperlink>
        </w:p>
        <w:p w:rsidR="00740BD1" w:rsidRDefault="00740BD1">
          <w:pPr>
            <w:pStyle w:val="23"/>
            <w:tabs>
              <w:tab w:val="right" w:leader="dot" w:pos="8296"/>
            </w:tabs>
            <w:rPr>
              <w:rFonts w:eastAsiaTheme="minorEastAsia"/>
              <w:noProof/>
              <w:szCs w:val="22"/>
            </w:rPr>
          </w:pPr>
          <w:hyperlink w:anchor="_Toc149209415" w:history="1">
            <w:r w:rsidRPr="00CC12BF">
              <w:rPr>
                <w:rStyle w:val="a9"/>
                <w:rFonts w:ascii="楷体" w:eastAsia="楷体" w:hAnsi="楷体"/>
                <w:b/>
                <w:noProof/>
              </w:rPr>
              <w:t>MEG：跟随煤价估值修复反弹</w:t>
            </w:r>
          </w:hyperlink>
        </w:p>
        <w:p w:rsidR="00740BD1" w:rsidRDefault="00740BD1">
          <w:pPr>
            <w:pStyle w:val="23"/>
            <w:tabs>
              <w:tab w:val="right" w:leader="dot" w:pos="8296"/>
            </w:tabs>
            <w:rPr>
              <w:rFonts w:eastAsiaTheme="minorEastAsia"/>
              <w:noProof/>
              <w:szCs w:val="22"/>
            </w:rPr>
          </w:pPr>
          <w:hyperlink w:anchor="_Toc149209416" w:history="1">
            <w:r w:rsidRPr="00CC12BF">
              <w:rPr>
                <w:rStyle w:val="a9"/>
                <w:rFonts w:ascii="楷体" w:eastAsia="楷体" w:hAnsi="楷体"/>
                <w:b/>
                <w:noProof/>
              </w:rPr>
              <w:t>玻璃：宏观情绪利好，等待高空机会</w:t>
            </w:r>
          </w:hyperlink>
        </w:p>
        <w:p w:rsidR="00740BD1" w:rsidRDefault="00740BD1">
          <w:pPr>
            <w:pStyle w:val="23"/>
            <w:tabs>
              <w:tab w:val="right" w:leader="dot" w:pos="8296"/>
            </w:tabs>
            <w:rPr>
              <w:rFonts w:eastAsiaTheme="minorEastAsia"/>
              <w:noProof/>
              <w:szCs w:val="22"/>
            </w:rPr>
          </w:pPr>
          <w:hyperlink w:anchor="_Toc149209417" w:history="1">
            <w:r w:rsidRPr="00CC12BF">
              <w:rPr>
                <w:rStyle w:val="a9"/>
                <w:rFonts w:ascii="楷体" w:eastAsia="楷体" w:hAnsi="楷体"/>
                <w:b/>
                <w:noProof/>
              </w:rPr>
              <w:t>纯碱：等待累库逻辑兑现，逢高做空</w:t>
            </w:r>
          </w:hyperlink>
        </w:p>
        <w:p w:rsidR="00740BD1" w:rsidRDefault="00740BD1">
          <w:pPr>
            <w:pStyle w:val="11"/>
            <w:tabs>
              <w:tab w:val="right" w:leader="dot" w:pos="8296"/>
            </w:tabs>
            <w:rPr>
              <w:rFonts w:eastAsiaTheme="minorEastAsia"/>
              <w:noProof/>
              <w:szCs w:val="22"/>
            </w:rPr>
          </w:pPr>
          <w:hyperlink w:anchor="_Toc149209418" w:history="1">
            <w:r w:rsidRPr="00CC12BF">
              <w:rPr>
                <w:rStyle w:val="a9"/>
                <w:rFonts w:ascii="Times New Roman" w:eastAsia="楷体" w:hAnsi="Times New Roman"/>
                <w:b/>
                <w:noProof/>
              </w:rPr>
              <w:t>[</w:t>
            </w:r>
            <w:r w:rsidRPr="00CC12BF">
              <w:rPr>
                <w:rStyle w:val="a9"/>
                <w:rFonts w:ascii="Times New Roman" w:eastAsia="楷体" w:hAnsi="Times New Roman"/>
                <w:b/>
                <w:noProof/>
              </w:rPr>
              <w:t>农产品</w:t>
            </w:r>
            <w:r w:rsidRPr="00CC12BF">
              <w:rPr>
                <w:rStyle w:val="a9"/>
                <w:rFonts w:ascii="Times New Roman" w:eastAsia="楷体" w:hAnsi="Times New Roman"/>
                <w:b/>
                <w:noProof/>
              </w:rPr>
              <w:t>]</w:t>
            </w:r>
          </w:hyperlink>
        </w:p>
        <w:p w:rsidR="00740BD1" w:rsidRDefault="00740BD1">
          <w:pPr>
            <w:pStyle w:val="23"/>
            <w:tabs>
              <w:tab w:val="right" w:leader="dot" w:pos="8296"/>
            </w:tabs>
            <w:rPr>
              <w:rFonts w:eastAsiaTheme="minorEastAsia"/>
              <w:noProof/>
              <w:szCs w:val="22"/>
            </w:rPr>
          </w:pPr>
          <w:hyperlink w:anchor="_Toc149209419" w:history="1">
            <w:r w:rsidRPr="00CC12BF">
              <w:rPr>
                <w:rStyle w:val="a9"/>
                <w:rFonts w:ascii="楷体" w:eastAsia="楷体" w:hAnsi="楷体"/>
                <w:b/>
                <w:noProof/>
              </w:rPr>
              <w:t>豆粕/菜粕：跟随美豆震荡整理</w:t>
            </w:r>
          </w:hyperlink>
        </w:p>
        <w:p w:rsidR="00740BD1" w:rsidRDefault="00740BD1">
          <w:pPr>
            <w:pStyle w:val="23"/>
            <w:tabs>
              <w:tab w:val="right" w:leader="dot" w:pos="8296"/>
            </w:tabs>
            <w:rPr>
              <w:rFonts w:eastAsiaTheme="minorEastAsia"/>
              <w:noProof/>
              <w:szCs w:val="22"/>
            </w:rPr>
          </w:pPr>
          <w:hyperlink w:anchor="_Toc149209420" w:history="1">
            <w:r w:rsidRPr="00CC12BF">
              <w:rPr>
                <w:rStyle w:val="a9"/>
                <w:rFonts w:ascii="楷体" w:eastAsia="楷体" w:hAnsi="楷体"/>
                <w:b/>
                <w:noProof/>
              </w:rPr>
              <w:t>油脂：短期缺乏驱动，宽幅震荡</w:t>
            </w:r>
          </w:hyperlink>
        </w:p>
        <w:p w:rsidR="00740BD1" w:rsidRDefault="00740BD1">
          <w:pPr>
            <w:pStyle w:val="23"/>
            <w:tabs>
              <w:tab w:val="right" w:leader="dot" w:pos="8296"/>
            </w:tabs>
            <w:rPr>
              <w:rFonts w:eastAsiaTheme="minorEastAsia"/>
              <w:noProof/>
              <w:szCs w:val="22"/>
            </w:rPr>
          </w:pPr>
          <w:hyperlink w:anchor="_Toc149209421" w:history="1">
            <w:r w:rsidRPr="00CC12BF">
              <w:rPr>
                <w:rStyle w:val="a9"/>
                <w:rFonts w:ascii="楷体" w:eastAsia="楷体" w:hAnsi="楷体"/>
                <w:b/>
                <w:bCs/>
                <w:noProof/>
              </w:rPr>
              <w:t>玉米与淀粉：</w:t>
            </w:r>
            <w:r w:rsidRPr="00CC12BF">
              <w:rPr>
                <w:rStyle w:val="a9"/>
                <w:rFonts w:ascii="楷体" w:eastAsia="楷体" w:hAnsi="楷体"/>
                <w:b/>
                <w:noProof/>
              </w:rPr>
              <w:t>夜盘期价大幅回落</w:t>
            </w:r>
          </w:hyperlink>
        </w:p>
        <w:p w:rsidR="00740BD1" w:rsidRDefault="00740BD1">
          <w:pPr>
            <w:pStyle w:val="23"/>
            <w:tabs>
              <w:tab w:val="right" w:leader="dot" w:pos="8296"/>
            </w:tabs>
            <w:rPr>
              <w:rFonts w:eastAsiaTheme="minorEastAsia"/>
              <w:noProof/>
              <w:szCs w:val="22"/>
            </w:rPr>
          </w:pPr>
          <w:hyperlink w:anchor="_Toc149209422" w:history="1">
            <w:r w:rsidRPr="00CC12BF">
              <w:rPr>
                <w:rStyle w:val="a9"/>
                <w:rFonts w:ascii="楷体" w:eastAsia="楷体" w:hAnsi="楷体"/>
                <w:b/>
                <w:bCs/>
                <w:noProof/>
              </w:rPr>
              <w:t>畜禽养殖：生猪期价继续近弱远强严重分化</w:t>
            </w:r>
          </w:hyperlink>
        </w:p>
        <w:p w:rsidR="00740BD1" w:rsidRDefault="00740BD1">
          <w:pPr>
            <w:pStyle w:val="23"/>
            <w:tabs>
              <w:tab w:val="right" w:leader="dot" w:pos="8296"/>
            </w:tabs>
            <w:rPr>
              <w:rFonts w:eastAsiaTheme="minorEastAsia"/>
              <w:noProof/>
              <w:szCs w:val="22"/>
            </w:rPr>
          </w:pPr>
          <w:hyperlink w:anchor="_Toc149209423" w:history="1">
            <w:r w:rsidRPr="00CC12BF">
              <w:rPr>
                <w:rStyle w:val="a9"/>
                <w:rFonts w:ascii="楷体" w:eastAsia="楷体" w:hAnsi="楷体"/>
                <w:b/>
                <w:noProof/>
              </w:rPr>
              <w:t>郑棉：预计郑棉围绕1.6万关口震荡，再度试探其支撑力度，谨慎观望</w:t>
            </w:r>
          </w:hyperlink>
        </w:p>
        <w:p w:rsidR="00740BD1" w:rsidRDefault="00740BD1">
          <w:pPr>
            <w:pStyle w:val="23"/>
            <w:tabs>
              <w:tab w:val="right" w:leader="dot" w:pos="8296"/>
            </w:tabs>
            <w:rPr>
              <w:rFonts w:eastAsiaTheme="minorEastAsia"/>
              <w:noProof/>
              <w:szCs w:val="22"/>
            </w:rPr>
          </w:pPr>
          <w:hyperlink w:anchor="_Toc149209424" w:history="1">
            <w:r w:rsidRPr="00CC12BF">
              <w:rPr>
                <w:rStyle w:val="a9"/>
                <w:rFonts w:ascii="楷体" w:eastAsia="楷体" w:hAnsi="楷体"/>
                <w:b/>
                <w:noProof/>
              </w:rPr>
              <w:t>白糖：6800以上新空单持有</w:t>
            </w:r>
          </w:hyperlink>
        </w:p>
        <w:p w:rsidR="00740BD1" w:rsidRDefault="00740BD1">
          <w:pPr>
            <w:pStyle w:val="11"/>
            <w:tabs>
              <w:tab w:val="right" w:leader="dot" w:pos="8296"/>
            </w:tabs>
            <w:rPr>
              <w:rFonts w:eastAsiaTheme="minorEastAsia"/>
              <w:noProof/>
              <w:szCs w:val="22"/>
            </w:rPr>
          </w:pPr>
          <w:hyperlink w:anchor="_Toc149209425" w:history="1">
            <w:r w:rsidRPr="00CC12BF">
              <w:rPr>
                <w:rStyle w:val="a9"/>
                <w:rFonts w:ascii="Times New Roman" w:eastAsia="楷体" w:hAnsi="Times New Roman"/>
                <w:b/>
                <w:noProof/>
              </w:rPr>
              <w:t>[</w:t>
            </w:r>
            <w:r w:rsidRPr="00CC12BF">
              <w:rPr>
                <w:rStyle w:val="a9"/>
                <w:rFonts w:ascii="Times New Roman" w:eastAsia="楷体" w:hAnsi="Times New Roman"/>
                <w:b/>
                <w:noProof/>
              </w:rPr>
              <w:t>指数</w:t>
            </w:r>
            <w:r w:rsidRPr="00CC12BF">
              <w:rPr>
                <w:rStyle w:val="a9"/>
                <w:rFonts w:ascii="Times New Roman" w:eastAsia="楷体" w:hAnsi="Times New Roman"/>
                <w:b/>
                <w:noProof/>
              </w:rPr>
              <w:t>]</w:t>
            </w:r>
          </w:hyperlink>
        </w:p>
        <w:p w:rsidR="00740BD1" w:rsidRDefault="00740BD1">
          <w:pPr>
            <w:pStyle w:val="23"/>
            <w:tabs>
              <w:tab w:val="right" w:leader="dot" w:pos="8296"/>
            </w:tabs>
            <w:rPr>
              <w:rFonts w:eastAsiaTheme="minorEastAsia"/>
              <w:noProof/>
              <w:szCs w:val="22"/>
            </w:rPr>
          </w:pPr>
          <w:hyperlink w:anchor="_Toc149209426" w:history="1">
            <w:r w:rsidRPr="00CC12BF">
              <w:rPr>
                <w:rStyle w:val="a9"/>
                <w:rFonts w:ascii="Times New Roman" w:eastAsia="楷体" w:hAnsi="Times New Roman"/>
                <w:b/>
                <w:noProof/>
              </w:rPr>
              <w:t>集运指数（欧线）：多空双方博弈激烈，</w:t>
            </w:r>
            <w:r w:rsidRPr="00CC12BF">
              <w:rPr>
                <w:rStyle w:val="a9"/>
                <w:rFonts w:ascii="Times New Roman" w:eastAsia="楷体" w:hAnsi="Times New Roman"/>
                <w:b/>
                <w:noProof/>
              </w:rPr>
              <w:t>EC</w:t>
            </w:r>
            <w:r w:rsidRPr="00CC12BF">
              <w:rPr>
                <w:rStyle w:val="a9"/>
                <w:rFonts w:ascii="Times New Roman" w:eastAsia="楷体" w:hAnsi="Times New Roman"/>
                <w:b/>
                <w:noProof/>
              </w:rPr>
              <w:t>震荡僵局待破</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2093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209395"/>
      <w:bookmarkEnd w:id="4"/>
      <w:r>
        <w:rPr>
          <w:rFonts w:ascii="Times New Roman" w:eastAsia="楷体" w:hAnsi="Times New Roman" w:hint="eastAsia"/>
          <w:b/>
          <w:color w:val="000000" w:themeColor="text1"/>
          <w:sz w:val="24"/>
          <w:szCs w:val="24"/>
        </w:rPr>
        <w:t>股指：</w:t>
      </w:r>
      <w:bookmarkEnd w:id="6"/>
      <w:bookmarkEnd w:id="7"/>
      <w:r w:rsidR="00073CEF" w:rsidRPr="00073CEF">
        <w:rPr>
          <w:rFonts w:ascii="Times New Roman" w:eastAsia="楷体" w:hAnsi="Times New Roman" w:hint="eastAsia"/>
          <w:b/>
          <w:color w:val="000000" w:themeColor="text1"/>
          <w:sz w:val="24"/>
          <w:szCs w:val="24"/>
        </w:rPr>
        <w:t>分批低多思路为主</w:t>
      </w:r>
      <w:bookmarkEnd w:id="8"/>
    </w:p>
    <w:p w:rsidR="003F56A5" w:rsidRDefault="00073CEF" w:rsidP="00D14B3E">
      <w:pPr>
        <w:ind w:leftChars="300" w:left="630"/>
        <w:rPr>
          <w:rFonts w:ascii="Times New Roman" w:eastAsia="楷体" w:hAnsi="Times New Roman"/>
          <w:color w:val="000000" w:themeColor="text1"/>
          <w:sz w:val="24"/>
          <w:szCs w:val="24"/>
        </w:rPr>
      </w:pPr>
      <w:r w:rsidRPr="00073CEF">
        <w:rPr>
          <w:rFonts w:ascii="Times New Roman" w:eastAsia="楷体" w:hAnsi="Times New Roman" w:hint="eastAsia"/>
          <w:color w:val="000000" w:themeColor="text1"/>
          <w:sz w:val="24"/>
          <w:szCs w:val="24"/>
        </w:rPr>
        <w:t>强政策出台释放，</w:t>
      </w:r>
      <w:r w:rsidRPr="00073CEF">
        <w:rPr>
          <w:rFonts w:ascii="Times New Roman" w:eastAsia="楷体" w:hAnsi="Times New Roman" w:hint="eastAsia"/>
          <w:color w:val="000000" w:themeColor="text1"/>
          <w:sz w:val="24"/>
          <w:szCs w:val="24"/>
        </w:rPr>
        <w:t>A</w:t>
      </w:r>
      <w:r w:rsidRPr="00073CEF">
        <w:rPr>
          <w:rFonts w:ascii="Times New Roman" w:eastAsia="楷体" w:hAnsi="Times New Roman" w:hint="eastAsia"/>
          <w:color w:val="000000" w:themeColor="text1"/>
          <w:sz w:val="24"/>
          <w:szCs w:val="24"/>
        </w:rPr>
        <w:t>股高开计价后回落，显示资金多空博弈强于政策预期。昨日盘中，主要热点围绕政策相关行业，而三大运营商、三桶油是主要拖累，显示机构或在调仓，此外期货端基差贴水小幅回升，持仓量下行，显示对冲的空头力量有所退出，但多方尚未明显进攻。操作上，建议仍以分批低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20939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209397"/>
      <w:r>
        <w:rPr>
          <w:rFonts w:ascii="Times New Roman" w:eastAsia="楷体" w:hAnsi="Times New Roman" w:hint="eastAsia"/>
          <w:b/>
          <w:color w:val="000000" w:themeColor="text1"/>
          <w:sz w:val="24"/>
          <w:szCs w:val="24"/>
        </w:rPr>
        <w:t>贵金属：</w:t>
      </w:r>
      <w:r w:rsidR="002C0C59" w:rsidRPr="002C0C59">
        <w:rPr>
          <w:rFonts w:ascii="Times New Roman" w:eastAsia="楷体" w:hAnsi="Times New Roman" w:hint="eastAsia"/>
          <w:b/>
          <w:color w:val="000000" w:themeColor="text1"/>
          <w:sz w:val="24"/>
          <w:szCs w:val="24"/>
        </w:rPr>
        <w:t>美国</w:t>
      </w:r>
      <w:r w:rsidR="002C0C59" w:rsidRPr="002C0C59">
        <w:rPr>
          <w:rFonts w:ascii="Times New Roman" w:eastAsia="楷体" w:hAnsi="Times New Roman" w:hint="eastAsia"/>
          <w:b/>
          <w:color w:val="000000" w:themeColor="text1"/>
          <w:sz w:val="24"/>
          <w:szCs w:val="24"/>
        </w:rPr>
        <w:t>MarkitPMI</w:t>
      </w:r>
      <w:r w:rsidR="002C0C59" w:rsidRPr="002C0C59">
        <w:rPr>
          <w:rFonts w:ascii="Times New Roman" w:eastAsia="楷体" w:hAnsi="Times New Roman" w:hint="eastAsia"/>
          <w:b/>
          <w:color w:val="000000" w:themeColor="text1"/>
          <w:sz w:val="24"/>
          <w:szCs w:val="24"/>
        </w:rPr>
        <w:t>好于预期，内盘贵金属价格小幅上涨</w:t>
      </w:r>
      <w:bookmarkEnd w:id="10"/>
    </w:p>
    <w:p w:rsidR="003F56A5" w:rsidRDefault="002C0C59">
      <w:pPr>
        <w:ind w:leftChars="300" w:left="630"/>
        <w:rPr>
          <w:rFonts w:ascii="Times New Roman" w:eastAsia="楷体" w:hAnsi="Times New Roman"/>
          <w:sz w:val="24"/>
          <w:szCs w:val="24"/>
        </w:rPr>
      </w:pPr>
      <w:r w:rsidRPr="002C0C59">
        <w:rPr>
          <w:rFonts w:ascii="Times New Roman" w:eastAsia="楷体" w:hAnsi="Times New Roman" w:hint="eastAsia"/>
          <w:color w:val="000000" w:themeColor="text1"/>
          <w:sz w:val="24"/>
          <w:szCs w:val="24"/>
        </w:rPr>
        <w:t>昨日沪金、沪银小幅上涨。美国</w:t>
      </w:r>
      <w:r w:rsidRPr="002C0C59">
        <w:rPr>
          <w:rFonts w:ascii="Times New Roman" w:eastAsia="楷体" w:hAnsi="Times New Roman" w:hint="eastAsia"/>
          <w:color w:val="000000" w:themeColor="text1"/>
          <w:sz w:val="24"/>
          <w:szCs w:val="24"/>
        </w:rPr>
        <w:t>9</w:t>
      </w:r>
      <w:r w:rsidRPr="002C0C59">
        <w:rPr>
          <w:rFonts w:ascii="Times New Roman" w:eastAsia="楷体" w:hAnsi="Times New Roman" w:hint="eastAsia"/>
          <w:color w:val="000000" w:themeColor="text1"/>
          <w:sz w:val="24"/>
          <w:szCs w:val="24"/>
        </w:rPr>
        <w:t>月新屋销售总数年化</w:t>
      </w:r>
      <w:r w:rsidRPr="002C0C59">
        <w:rPr>
          <w:rFonts w:ascii="Times New Roman" w:eastAsia="楷体" w:hAnsi="Times New Roman" w:hint="eastAsia"/>
          <w:color w:val="000000" w:themeColor="text1"/>
          <w:sz w:val="24"/>
          <w:szCs w:val="24"/>
        </w:rPr>
        <w:t>75.9</w:t>
      </w:r>
      <w:r w:rsidRPr="002C0C59">
        <w:rPr>
          <w:rFonts w:ascii="Times New Roman" w:eastAsia="楷体" w:hAnsi="Times New Roman" w:hint="eastAsia"/>
          <w:color w:val="000000" w:themeColor="text1"/>
          <w:sz w:val="24"/>
          <w:szCs w:val="24"/>
        </w:rPr>
        <w:t>万户，预期</w:t>
      </w:r>
      <w:r w:rsidRPr="002C0C59">
        <w:rPr>
          <w:rFonts w:ascii="Times New Roman" w:eastAsia="楷体" w:hAnsi="Times New Roman" w:hint="eastAsia"/>
          <w:color w:val="000000" w:themeColor="text1"/>
          <w:sz w:val="24"/>
          <w:szCs w:val="24"/>
        </w:rPr>
        <w:t>68</w:t>
      </w:r>
      <w:r w:rsidRPr="002C0C59">
        <w:rPr>
          <w:rFonts w:ascii="Times New Roman" w:eastAsia="楷体" w:hAnsi="Times New Roman" w:hint="eastAsia"/>
          <w:color w:val="000000" w:themeColor="text1"/>
          <w:sz w:val="24"/>
          <w:szCs w:val="24"/>
        </w:rPr>
        <w:t>万户，前值</w:t>
      </w:r>
      <w:r w:rsidRPr="002C0C59">
        <w:rPr>
          <w:rFonts w:ascii="Times New Roman" w:eastAsia="楷体" w:hAnsi="Times New Roman" w:hint="eastAsia"/>
          <w:color w:val="000000" w:themeColor="text1"/>
          <w:sz w:val="24"/>
          <w:szCs w:val="24"/>
        </w:rPr>
        <w:t>67.5</w:t>
      </w:r>
      <w:r w:rsidRPr="002C0C59">
        <w:rPr>
          <w:rFonts w:ascii="Times New Roman" w:eastAsia="楷体" w:hAnsi="Times New Roman" w:hint="eastAsia"/>
          <w:color w:val="000000" w:themeColor="text1"/>
          <w:sz w:val="24"/>
          <w:szCs w:val="24"/>
        </w:rPr>
        <w:t>万户。</w:t>
      </w:r>
      <w:r w:rsidRPr="002C0C59">
        <w:rPr>
          <w:rFonts w:ascii="Times New Roman" w:eastAsia="楷体" w:hAnsi="Times New Roman" w:hint="eastAsia"/>
          <w:color w:val="000000" w:themeColor="text1"/>
          <w:sz w:val="24"/>
          <w:szCs w:val="24"/>
        </w:rPr>
        <w:t>10</w:t>
      </w:r>
      <w:r w:rsidRPr="002C0C59">
        <w:rPr>
          <w:rFonts w:ascii="Times New Roman" w:eastAsia="楷体" w:hAnsi="Times New Roman" w:hint="eastAsia"/>
          <w:color w:val="000000" w:themeColor="text1"/>
          <w:sz w:val="24"/>
          <w:szCs w:val="24"/>
        </w:rPr>
        <w:t>年期美债收益率涨</w:t>
      </w:r>
      <w:r w:rsidRPr="002C0C59">
        <w:rPr>
          <w:rFonts w:ascii="Times New Roman" w:eastAsia="楷体" w:hAnsi="Times New Roman" w:hint="eastAsia"/>
          <w:color w:val="000000" w:themeColor="text1"/>
          <w:sz w:val="24"/>
          <w:szCs w:val="24"/>
        </w:rPr>
        <w:t>13.6bp</w:t>
      </w:r>
      <w:r w:rsidRPr="002C0C59">
        <w:rPr>
          <w:rFonts w:ascii="Times New Roman" w:eastAsia="楷体" w:hAnsi="Times New Roman" w:hint="eastAsia"/>
          <w:color w:val="000000" w:themeColor="text1"/>
          <w:sz w:val="24"/>
          <w:szCs w:val="24"/>
        </w:rPr>
        <w:t>报</w:t>
      </w:r>
      <w:r w:rsidRPr="002C0C59">
        <w:rPr>
          <w:rFonts w:ascii="Times New Roman" w:eastAsia="楷体" w:hAnsi="Times New Roman" w:hint="eastAsia"/>
          <w:color w:val="000000" w:themeColor="text1"/>
          <w:sz w:val="24"/>
          <w:szCs w:val="24"/>
        </w:rPr>
        <w:t>4.963%</w:t>
      </w:r>
      <w:r w:rsidRPr="002C0C59">
        <w:rPr>
          <w:rFonts w:ascii="Times New Roman" w:eastAsia="楷体" w:hAnsi="Times New Roman" w:hint="eastAsia"/>
          <w:color w:val="000000" w:themeColor="text1"/>
          <w:sz w:val="24"/>
          <w:szCs w:val="24"/>
        </w:rPr>
        <w:t>，美元指数涨</w:t>
      </w:r>
      <w:r w:rsidRPr="002C0C59">
        <w:rPr>
          <w:rFonts w:ascii="Times New Roman" w:eastAsia="楷体" w:hAnsi="Times New Roman" w:hint="eastAsia"/>
          <w:color w:val="000000" w:themeColor="text1"/>
          <w:sz w:val="24"/>
          <w:szCs w:val="24"/>
        </w:rPr>
        <w:t>0.27%</w:t>
      </w:r>
      <w:r w:rsidRPr="002C0C59">
        <w:rPr>
          <w:rFonts w:ascii="Times New Roman" w:eastAsia="楷体" w:hAnsi="Times New Roman" w:hint="eastAsia"/>
          <w:color w:val="000000" w:themeColor="text1"/>
          <w:sz w:val="24"/>
          <w:szCs w:val="24"/>
        </w:rPr>
        <w:t>报</w:t>
      </w:r>
      <w:r w:rsidRPr="002C0C59">
        <w:rPr>
          <w:rFonts w:ascii="Times New Roman" w:eastAsia="楷体" w:hAnsi="Times New Roman" w:hint="eastAsia"/>
          <w:color w:val="000000" w:themeColor="text1"/>
          <w:sz w:val="24"/>
          <w:szCs w:val="24"/>
        </w:rPr>
        <w:t>106.56</w:t>
      </w:r>
      <w:r w:rsidRPr="002C0C59">
        <w:rPr>
          <w:rFonts w:ascii="Times New Roman" w:eastAsia="楷体" w:hAnsi="Times New Roman" w:hint="eastAsia"/>
          <w:color w:val="000000" w:themeColor="text1"/>
          <w:sz w:val="24"/>
          <w:szCs w:val="24"/>
        </w:rPr>
        <w:t>。美国</w:t>
      </w:r>
      <w:r w:rsidRPr="002C0C59">
        <w:rPr>
          <w:rFonts w:ascii="Times New Roman" w:eastAsia="楷体" w:hAnsi="Times New Roman" w:hint="eastAsia"/>
          <w:color w:val="000000" w:themeColor="text1"/>
          <w:sz w:val="24"/>
          <w:szCs w:val="24"/>
        </w:rPr>
        <w:t>10</w:t>
      </w:r>
      <w:r w:rsidRPr="002C0C59">
        <w:rPr>
          <w:rFonts w:ascii="Times New Roman" w:eastAsia="楷体" w:hAnsi="Times New Roman" w:hint="eastAsia"/>
          <w:color w:val="000000" w:themeColor="text1"/>
          <w:sz w:val="24"/>
          <w:szCs w:val="24"/>
        </w:rPr>
        <w:t>月</w:t>
      </w:r>
      <w:r w:rsidRPr="002C0C59">
        <w:rPr>
          <w:rFonts w:ascii="Times New Roman" w:eastAsia="楷体" w:hAnsi="Times New Roman" w:hint="eastAsia"/>
          <w:color w:val="000000" w:themeColor="text1"/>
          <w:sz w:val="24"/>
          <w:szCs w:val="24"/>
        </w:rPr>
        <w:t>Markit</w:t>
      </w:r>
      <w:r w:rsidRPr="002C0C59">
        <w:rPr>
          <w:rFonts w:ascii="Times New Roman" w:eastAsia="楷体" w:hAnsi="Times New Roman" w:hint="eastAsia"/>
          <w:color w:val="000000" w:themeColor="text1"/>
          <w:sz w:val="24"/>
          <w:szCs w:val="24"/>
        </w:rPr>
        <w:t>制造业</w:t>
      </w:r>
      <w:r w:rsidRPr="002C0C59">
        <w:rPr>
          <w:rFonts w:ascii="Times New Roman" w:eastAsia="楷体" w:hAnsi="Times New Roman" w:hint="eastAsia"/>
          <w:color w:val="000000" w:themeColor="text1"/>
          <w:sz w:val="24"/>
          <w:szCs w:val="24"/>
        </w:rPr>
        <w:t>PMI</w:t>
      </w:r>
      <w:r w:rsidRPr="002C0C59">
        <w:rPr>
          <w:rFonts w:ascii="Times New Roman" w:eastAsia="楷体" w:hAnsi="Times New Roman" w:hint="eastAsia"/>
          <w:color w:val="000000" w:themeColor="text1"/>
          <w:sz w:val="24"/>
          <w:szCs w:val="24"/>
        </w:rPr>
        <w:t>初值微涨至</w:t>
      </w:r>
      <w:r w:rsidRPr="002C0C59">
        <w:rPr>
          <w:rFonts w:ascii="Times New Roman" w:eastAsia="楷体" w:hAnsi="Times New Roman" w:hint="eastAsia"/>
          <w:color w:val="000000" w:themeColor="text1"/>
          <w:sz w:val="24"/>
          <w:szCs w:val="24"/>
        </w:rPr>
        <w:t>50</w:t>
      </w:r>
      <w:r w:rsidRPr="002C0C59">
        <w:rPr>
          <w:rFonts w:ascii="Times New Roman" w:eastAsia="楷体" w:hAnsi="Times New Roman" w:hint="eastAsia"/>
          <w:color w:val="000000" w:themeColor="text1"/>
          <w:sz w:val="24"/>
          <w:szCs w:val="24"/>
        </w:rPr>
        <w:t>的荣枯分界线水平，服务业</w:t>
      </w:r>
      <w:r w:rsidRPr="002C0C59">
        <w:rPr>
          <w:rFonts w:ascii="Times New Roman" w:eastAsia="楷体" w:hAnsi="Times New Roman" w:hint="eastAsia"/>
          <w:color w:val="000000" w:themeColor="text1"/>
          <w:sz w:val="24"/>
          <w:szCs w:val="24"/>
        </w:rPr>
        <w:t>PMI</w:t>
      </w:r>
      <w:r w:rsidRPr="002C0C59">
        <w:rPr>
          <w:rFonts w:ascii="Times New Roman" w:eastAsia="楷体" w:hAnsi="Times New Roman" w:hint="eastAsia"/>
          <w:color w:val="000000" w:themeColor="text1"/>
          <w:sz w:val="24"/>
          <w:szCs w:val="24"/>
        </w:rPr>
        <w:t>初值录得</w:t>
      </w:r>
      <w:r w:rsidRPr="002C0C59">
        <w:rPr>
          <w:rFonts w:ascii="Times New Roman" w:eastAsia="楷体" w:hAnsi="Times New Roman" w:hint="eastAsia"/>
          <w:color w:val="000000" w:themeColor="text1"/>
          <w:sz w:val="24"/>
          <w:szCs w:val="24"/>
        </w:rPr>
        <w:t>50.9</w:t>
      </w:r>
      <w:r w:rsidRPr="002C0C59">
        <w:rPr>
          <w:rFonts w:ascii="Times New Roman" w:eastAsia="楷体" w:hAnsi="Times New Roman" w:hint="eastAsia"/>
          <w:color w:val="000000" w:themeColor="text1"/>
          <w:sz w:val="24"/>
          <w:szCs w:val="24"/>
        </w:rPr>
        <w:t>，综合</w:t>
      </w:r>
      <w:r w:rsidRPr="002C0C59">
        <w:rPr>
          <w:rFonts w:ascii="Times New Roman" w:eastAsia="楷体" w:hAnsi="Times New Roman" w:hint="eastAsia"/>
          <w:color w:val="000000" w:themeColor="text1"/>
          <w:sz w:val="24"/>
          <w:szCs w:val="24"/>
        </w:rPr>
        <w:t>PMI</w:t>
      </w:r>
      <w:r w:rsidRPr="002C0C59">
        <w:rPr>
          <w:rFonts w:ascii="Times New Roman" w:eastAsia="楷体" w:hAnsi="Times New Roman" w:hint="eastAsia"/>
          <w:color w:val="000000" w:themeColor="text1"/>
          <w:sz w:val="24"/>
          <w:szCs w:val="24"/>
        </w:rPr>
        <w:t>初值</w:t>
      </w:r>
      <w:r w:rsidRPr="002C0C59">
        <w:rPr>
          <w:rFonts w:ascii="Times New Roman" w:eastAsia="楷体" w:hAnsi="Times New Roman" w:hint="eastAsia"/>
          <w:color w:val="000000" w:themeColor="text1"/>
          <w:sz w:val="24"/>
          <w:szCs w:val="24"/>
        </w:rPr>
        <w:t>51</w:t>
      </w:r>
      <w:r w:rsidRPr="002C0C59">
        <w:rPr>
          <w:rFonts w:ascii="Times New Roman" w:eastAsia="楷体" w:hAnsi="Times New Roman" w:hint="eastAsia"/>
          <w:color w:val="000000" w:themeColor="text1"/>
          <w:sz w:val="24"/>
          <w:szCs w:val="24"/>
        </w:rPr>
        <w:t>，均好于预期及前值。最新美国经济景气度数据偏强表现为美债带来卖压，</w:t>
      </w:r>
      <w:r w:rsidRPr="002C0C59">
        <w:rPr>
          <w:rFonts w:ascii="Times New Roman" w:eastAsia="楷体" w:hAnsi="Times New Roman" w:hint="eastAsia"/>
          <w:color w:val="000000" w:themeColor="text1"/>
          <w:sz w:val="24"/>
          <w:szCs w:val="24"/>
        </w:rPr>
        <w:t>2Y</w:t>
      </w:r>
      <w:r w:rsidRPr="002C0C59">
        <w:rPr>
          <w:rFonts w:ascii="Times New Roman" w:eastAsia="楷体" w:hAnsi="Times New Roman" w:hint="eastAsia"/>
          <w:color w:val="000000" w:themeColor="text1"/>
          <w:sz w:val="24"/>
          <w:szCs w:val="24"/>
        </w:rPr>
        <w:t>、</w:t>
      </w:r>
      <w:r w:rsidRPr="002C0C59">
        <w:rPr>
          <w:rFonts w:ascii="Times New Roman" w:eastAsia="楷体" w:hAnsi="Times New Roman" w:hint="eastAsia"/>
          <w:color w:val="000000" w:themeColor="text1"/>
          <w:sz w:val="24"/>
          <w:szCs w:val="24"/>
        </w:rPr>
        <w:t>10Y</w:t>
      </w:r>
      <w:r w:rsidRPr="002C0C59">
        <w:rPr>
          <w:rFonts w:ascii="Times New Roman" w:eastAsia="楷体" w:hAnsi="Times New Roman" w:hint="eastAsia"/>
          <w:color w:val="000000" w:themeColor="text1"/>
          <w:sz w:val="24"/>
          <w:szCs w:val="24"/>
        </w:rPr>
        <w:t>美债利差倒挂走阔至</w:t>
      </w:r>
      <w:r w:rsidRPr="002C0C59">
        <w:rPr>
          <w:rFonts w:ascii="Times New Roman" w:eastAsia="楷体" w:hAnsi="Times New Roman" w:hint="eastAsia"/>
          <w:color w:val="000000" w:themeColor="text1"/>
          <w:sz w:val="24"/>
          <w:szCs w:val="24"/>
        </w:rPr>
        <w:t>0.25%</w:t>
      </w:r>
      <w:r w:rsidRPr="002C0C59">
        <w:rPr>
          <w:rFonts w:ascii="Times New Roman" w:eastAsia="楷体" w:hAnsi="Times New Roman" w:hint="eastAsia"/>
          <w:color w:val="000000" w:themeColor="text1"/>
          <w:sz w:val="24"/>
          <w:szCs w:val="24"/>
        </w:rPr>
        <w:t>。近期留意美国三季度实际</w:t>
      </w:r>
      <w:r w:rsidRPr="002C0C59">
        <w:rPr>
          <w:rFonts w:ascii="Times New Roman" w:eastAsia="楷体" w:hAnsi="Times New Roman" w:hint="eastAsia"/>
          <w:color w:val="000000" w:themeColor="text1"/>
          <w:sz w:val="24"/>
          <w:szCs w:val="24"/>
        </w:rPr>
        <w:t>GDP</w:t>
      </w:r>
      <w:r w:rsidRPr="002C0C59">
        <w:rPr>
          <w:rFonts w:ascii="Times New Roman" w:eastAsia="楷体" w:hAnsi="Times New Roman" w:hint="eastAsia"/>
          <w:color w:val="000000" w:themeColor="text1"/>
          <w:sz w:val="24"/>
          <w:szCs w:val="24"/>
        </w:rPr>
        <w:t>及个人消费支出季率等经济数据公布情况，建议沪金、沪银中长线思路仍以偏多为主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20939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209399"/>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2C0C59" w:rsidRPr="002C0C59">
        <w:rPr>
          <w:rFonts w:ascii="楷体" w:eastAsia="楷体" w:hAnsi="楷体" w:hint="eastAsia"/>
          <w:b/>
          <w:color w:val="000000" w:themeColor="text1"/>
          <w:sz w:val="24"/>
          <w:szCs w:val="24"/>
        </w:rPr>
        <w:t>需求维持低迷，期价高开低走收跌</w:t>
      </w:r>
      <w:bookmarkEnd w:id="18"/>
    </w:p>
    <w:p w:rsidR="00F50569" w:rsidRDefault="002C0C59" w:rsidP="00F50569">
      <w:pPr>
        <w:ind w:leftChars="300" w:left="630"/>
        <w:rPr>
          <w:rFonts w:ascii="楷体" w:eastAsia="楷体" w:hAnsi="楷体"/>
          <w:color w:val="000000" w:themeColor="text1"/>
          <w:sz w:val="24"/>
          <w:szCs w:val="24"/>
        </w:rPr>
      </w:pPr>
      <w:r w:rsidRPr="002C0C59">
        <w:rPr>
          <w:rFonts w:ascii="楷体" w:eastAsia="楷体" w:hAnsi="楷体" w:hint="eastAsia"/>
          <w:color w:val="000000" w:themeColor="text1"/>
          <w:sz w:val="24"/>
          <w:szCs w:val="24"/>
        </w:rPr>
        <w:t>昨日期价高开低走最终小幅收跌，现货价格阴跌1000元/吨，下游需求维持低迷。基差调整主要体现于期货端，月中基差一度贴近平水，继本周周初回复到2万元/吨左右之后，近期基差在期价小幅上涨过程中有收敛的趋势，锂价或于前低水平至外采成本线之间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209400"/>
      <w:r>
        <w:rPr>
          <w:rFonts w:ascii="楷体" w:eastAsia="楷体" w:hAnsi="楷体" w:hint="eastAsia"/>
          <w:b/>
          <w:color w:val="000000" w:themeColor="text1"/>
          <w:sz w:val="24"/>
          <w:szCs w:val="24"/>
        </w:rPr>
        <w:t>螺纹钢：</w:t>
      </w:r>
      <w:bookmarkEnd w:id="16"/>
      <w:bookmarkEnd w:id="17"/>
      <w:r w:rsidR="00DC47C0" w:rsidRPr="00DC47C0">
        <w:rPr>
          <w:rFonts w:ascii="楷体" w:eastAsia="楷体" w:hAnsi="楷体" w:hint="eastAsia"/>
          <w:b/>
          <w:color w:val="000000" w:themeColor="text1"/>
          <w:sz w:val="24"/>
          <w:szCs w:val="24"/>
        </w:rPr>
        <w:t>宏观利多，低估值下修复估值</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DC47C0" w:rsidP="00201944">
      <w:pPr>
        <w:ind w:leftChars="300" w:left="630"/>
        <w:rPr>
          <w:rFonts w:ascii="楷体" w:eastAsia="楷体" w:hAnsi="楷体"/>
          <w:color w:val="000000" w:themeColor="text1"/>
          <w:sz w:val="24"/>
          <w:szCs w:val="24"/>
        </w:rPr>
      </w:pPr>
      <w:r w:rsidRPr="00DC47C0">
        <w:rPr>
          <w:rFonts w:ascii="楷体" w:eastAsia="楷体" w:hAnsi="楷体" w:hint="eastAsia"/>
          <w:color w:val="000000" w:themeColor="text1"/>
          <w:sz w:val="24"/>
          <w:szCs w:val="24"/>
        </w:rPr>
        <w:t>短期矛盾并不是特别突出，前期震荡向下测试价格底部。四季度国债增发改善需求预期，低估值下反弹修复，逢低可试多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209401"/>
      <w:r>
        <w:rPr>
          <w:rFonts w:ascii="楷体" w:eastAsia="楷体" w:hAnsi="楷体" w:hint="eastAsia"/>
          <w:b/>
          <w:color w:val="000000" w:themeColor="text1"/>
          <w:sz w:val="24"/>
          <w:szCs w:val="24"/>
        </w:rPr>
        <w:t>焦炭：</w:t>
      </w:r>
      <w:bookmarkEnd w:id="20"/>
      <w:bookmarkEnd w:id="21"/>
      <w:r w:rsidR="00DC47C0" w:rsidRPr="00DC47C0">
        <w:rPr>
          <w:rFonts w:ascii="楷体" w:eastAsia="楷体" w:hAnsi="楷体" w:hint="eastAsia"/>
          <w:b/>
          <w:color w:val="000000" w:themeColor="text1"/>
          <w:sz w:val="24"/>
          <w:szCs w:val="24"/>
        </w:rPr>
        <w:t>宏观利多，低估值下修复估值</w:t>
      </w:r>
      <w:bookmarkEnd w:id="22"/>
    </w:p>
    <w:p w:rsidR="003F56A5" w:rsidRDefault="00DC47C0" w:rsidP="00572E35">
      <w:pPr>
        <w:ind w:leftChars="300" w:left="630"/>
        <w:rPr>
          <w:rFonts w:ascii="楷体" w:eastAsia="楷体" w:hAnsi="楷体"/>
          <w:color w:val="000000" w:themeColor="text1"/>
          <w:sz w:val="24"/>
          <w:szCs w:val="24"/>
        </w:rPr>
      </w:pPr>
      <w:r w:rsidRPr="00DC47C0">
        <w:rPr>
          <w:rFonts w:ascii="楷体" w:eastAsia="楷体" w:hAnsi="楷体" w:hint="eastAsia"/>
          <w:color w:val="000000" w:themeColor="text1"/>
          <w:sz w:val="24"/>
          <w:szCs w:val="24"/>
        </w:rPr>
        <w:t>铁水缓慢减产，成材利润矛盾突出情况下，焦炭供需缺口收敛，下游采购意愿减弱。成材预期改善，带动估值修复，后续关注下游补库意愿改善情况，短期震荡偏强</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209402"/>
      <w:r>
        <w:rPr>
          <w:rFonts w:ascii="楷体" w:eastAsia="楷体" w:hAnsi="楷体" w:hint="eastAsia"/>
          <w:b/>
          <w:color w:val="000000" w:themeColor="text1"/>
          <w:sz w:val="24"/>
          <w:szCs w:val="24"/>
        </w:rPr>
        <w:t>焦煤：</w:t>
      </w:r>
      <w:r w:rsidR="00DC47C0" w:rsidRPr="00DC47C0">
        <w:rPr>
          <w:rFonts w:ascii="楷体" w:eastAsia="楷体" w:hAnsi="楷体" w:hint="eastAsia"/>
          <w:b/>
          <w:sz w:val="24"/>
          <w:szCs w:val="24"/>
        </w:rPr>
        <w:t>宏观利多，低估值下修复估值</w:t>
      </w:r>
      <w:bookmarkEnd w:id="23"/>
    </w:p>
    <w:p w:rsidR="003F56A5" w:rsidRDefault="00DC47C0">
      <w:pPr>
        <w:ind w:leftChars="300" w:left="630"/>
        <w:rPr>
          <w:rFonts w:ascii="楷体" w:eastAsia="楷体" w:hAnsi="楷体"/>
          <w:bCs/>
          <w:sz w:val="24"/>
          <w:szCs w:val="24"/>
        </w:rPr>
      </w:pPr>
      <w:r w:rsidRPr="00DC47C0">
        <w:rPr>
          <w:rFonts w:ascii="楷体" w:eastAsia="楷体" w:hAnsi="楷体" w:hint="eastAsia"/>
          <w:sz w:val="24"/>
          <w:szCs w:val="24"/>
        </w:rPr>
        <w:t>下游采购意愿减弱，煤矿产量小幅度回升，现货价格过高下，供需缺口收敛推动价格回落。昨日消息刺激，成材预期改善，带动估值修复，后续关注下游补库意愿改善情况，短期震荡偏强</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209403"/>
      <w:r>
        <w:rPr>
          <w:rFonts w:ascii="楷体" w:eastAsia="楷体" w:hAnsi="楷体" w:hint="eastAsia"/>
          <w:b/>
          <w:color w:val="000000" w:themeColor="text1"/>
          <w:sz w:val="24"/>
          <w:szCs w:val="24"/>
        </w:rPr>
        <w:t>铜：</w:t>
      </w:r>
      <w:bookmarkEnd w:id="24"/>
      <w:bookmarkEnd w:id="25"/>
      <w:r w:rsidR="00073CEF" w:rsidRPr="00073CEF">
        <w:rPr>
          <w:rFonts w:ascii="楷体" w:eastAsia="楷体" w:hAnsi="楷体" w:hint="eastAsia"/>
          <w:b/>
          <w:color w:val="000000" w:themeColor="text1"/>
          <w:sz w:val="24"/>
          <w:szCs w:val="24"/>
        </w:rPr>
        <w:t>国内仓单库存快速去化，现货升水走高支撑铜价</w:t>
      </w:r>
      <w:bookmarkEnd w:id="26"/>
    </w:p>
    <w:p w:rsidR="00073CEF" w:rsidRPr="00073CEF" w:rsidRDefault="00073CEF" w:rsidP="00073CEF">
      <w:pPr>
        <w:ind w:leftChars="300" w:left="630"/>
        <w:rPr>
          <w:rFonts w:ascii="楷体" w:eastAsia="楷体" w:hAnsi="楷体" w:hint="eastAsia"/>
          <w:color w:val="000000" w:themeColor="text1"/>
          <w:sz w:val="24"/>
          <w:szCs w:val="24"/>
        </w:rPr>
      </w:pPr>
      <w:r w:rsidRPr="00073CEF">
        <w:rPr>
          <w:rFonts w:ascii="楷体" w:eastAsia="楷体" w:hAnsi="楷体" w:hint="eastAsia"/>
          <w:color w:val="000000" w:themeColor="text1"/>
          <w:sz w:val="24"/>
          <w:szCs w:val="24"/>
        </w:rPr>
        <w:t>(1)宏观：根据标普全球（S&amp;P Global）的最新数据，美国10月Markit制造业PMI初值为50，创六个月新高，超过预期的49.5，前值为49.8。</w:t>
      </w:r>
    </w:p>
    <w:p w:rsidR="00073CEF" w:rsidRPr="00073CEF" w:rsidRDefault="00073CEF" w:rsidP="00073CEF">
      <w:pPr>
        <w:ind w:leftChars="300" w:left="630"/>
        <w:rPr>
          <w:rFonts w:ascii="楷体" w:eastAsia="楷体" w:hAnsi="楷体" w:hint="eastAsia"/>
          <w:color w:val="000000" w:themeColor="text1"/>
          <w:sz w:val="24"/>
          <w:szCs w:val="24"/>
        </w:rPr>
      </w:pPr>
      <w:r w:rsidRPr="00073CEF">
        <w:rPr>
          <w:rFonts w:ascii="楷体" w:eastAsia="楷体" w:hAnsi="楷体" w:hint="eastAsia"/>
          <w:color w:val="000000" w:themeColor="text1"/>
          <w:sz w:val="24"/>
          <w:szCs w:val="24"/>
        </w:rPr>
        <w:t>(2)库存：10月25日，SHFE仓单库存5574吨，减2916吨；LME仓单库存185175吨，减2300吨。</w:t>
      </w:r>
    </w:p>
    <w:p w:rsidR="00073CEF" w:rsidRPr="00073CEF" w:rsidRDefault="00073CEF" w:rsidP="00073CEF">
      <w:pPr>
        <w:ind w:leftChars="300" w:left="630"/>
        <w:rPr>
          <w:rFonts w:ascii="楷体" w:eastAsia="楷体" w:hAnsi="楷体" w:hint="eastAsia"/>
          <w:color w:val="000000" w:themeColor="text1"/>
          <w:sz w:val="24"/>
          <w:szCs w:val="24"/>
        </w:rPr>
      </w:pPr>
      <w:r w:rsidRPr="00073CEF">
        <w:rPr>
          <w:rFonts w:ascii="楷体" w:eastAsia="楷体" w:hAnsi="楷体" w:hint="eastAsia"/>
          <w:color w:val="000000" w:themeColor="text1"/>
          <w:sz w:val="24"/>
          <w:szCs w:val="24"/>
        </w:rPr>
        <w:t>(3)精废价差：10月25日，Mysteel精废价差1336，扩张562。目前价差在合理价差1375之下。</w:t>
      </w:r>
    </w:p>
    <w:p w:rsidR="00073CEF" w:rsidRPr="00073CEF" w:rsidRDefault="00073CEF" w:rsidP="00073CEF">
      <w:pPr>
        <w:ind w:leftChars="300" w:left="630"/>
        <w:rPr>
          <w:rFonts w:ascii="楷体" w:eastAsia="楷体" w:hAnsi="楷体"/>
          <w:color w:val="000000" w:themeColor="text1"/>
          <w:sz w:val="24"/>
          <w:szCs w:val="24"/>
        </w:rPr>
      </w:pPr>
    </w:p>
    <w:p w:rsidR="00127803" w:rsidRPr="00127803" w:rsidRDefault="00073CEF" w:rsidP="00073CEF">
      <w:pPr>
        <w:ind w:leftChars="300" w:left="630"/>
        <w:rPr>
          <w:rFonts w:ascii="楷体" w:eastAsia="楷体" w:hAnsi="楷体"/>
          <w:color w:val="000000" w:themeColor="text1"/>
          <w:sz w:val="24"/>
          <w:szCs w:val="24"/>
        </w:rPr>
      </w:pPr>
      <w:r w:rsidRPr="00073CEF">
        <w:rPr>
          <w:rFonts w:ascii="楷体" w:eastAsia="楷体" w:hAnsi="楷体" w:hint="eastAsia"/>
          <w:color w:val="000000" w:themeColor="text1"/>
          <w:sz w:val="24"/>
          <w:szCs w:val="24"/>
        </w:rPr>
        <w:t>综述：宏观面，美国制造业PMI好于预期，美指高位运行。国内发布利好政策，四季度增发1万亿国债，且主要用途预计在基建领域，需求预期抬高，提振铜市信心。基本面，价格下跌后，精废价差收窄，精铜消费替代明显，国内库存再次去化，现货升水走升，对价格形成提振。短期宏观利好支撑价格反弹，预计反弹力度不大，但继续下跌空间也不大，大概率阶段性筑底。企业可逢低适当备货</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209404"/>
      <w:r>
        <w:rPr>
          <w:rFonts w:ascii="楷体" w:eastAsia="楷体" w:hAnsi="楷体" w:hint="eastAsia"/>
          <w:b/>
          <w:color w:val="000000" w:themeColor="text1"/>
          <w:sz w:val="24"/>
          <w:szCs w:val="24"/>
        </w:rPr>
        <w:t>铝：</w:t>
      </w:r>
      <w:bookmarkEnd w:id="27"/>
      <w:bookmarkEnd w:id="28"/>
      <w:r w:rsidR="002C0C59" w:rsidRPr="002C0C59">
        <w:rPr>
          <w:rFonts w:ascii="楷体" w:eastAsia="楷体" w:hAnsi="楷体" w:hint="eastAsia"/>
          <w:b/>
          <w:color w:val="000000" w:themeColor="text1"/>
          <w:sz w:val="24"/>
          <w:szCs w:val="24"/>
        </w:rPr>
        <w:t>铝价偏强震荡运行</w:t>
      </w:r>
      <w:bookmarkEnd w:id="29"/>
    </w:p>
    <w:p w:rsidR="003F56A5" w:rsidRDefault="002C0C59" w:rsidP="00127803">
      <w:pPr>
        <w:ind w:leftChars="300" w:left="630"/>
        <w:rPr>
          <w:rFonts w:ascii="楷体" w:eastAsia="楷体" w:hAnsi="楷体"/>
          <w:color w:val="000000" w:themeColor="text1"/>
          <w:sz w:val="24"/>
          <w:szCs w:val="24"/>
        </w:rPr>
      </w:pPr>
      <w:r w:rsidRPr="002C0C59">
        <w:rPr>
          <w:rFonts w:ascii="楷体" w:eastAsia="楷体" w:hAnsi="楷体" w:hint="eastAsia"/>
          <w:color w:val="000000" w:themeColor="text1"/>
          <w:sz w:val="24"/>
          <w:szCs w:val="24"/>
        </w:rPr>
        <w:t>美国PMI数据好于预期，美元指数强势运行，国内增发万亿国债。市场反应情绪不强，宏观仍有压力。基本面上看，电解铝运行产能开工稳定，产量依旧维持高产，上游有原料供应紧缺限制，伴随氧化铝及冶炼辅料价格走增，电解铝理论成本增加，压缩冶炼端利润，但整体影响不大，铝锭绝对低库存现状无明显改善，下游铝棒、铝板带箔企业开工情况扰动，需求面有所修复表现强韧。金九银十叠加国家利多政策面支撑刺激需求表现强韧，供应高产能开工但库存累积程度不及预期，绝对低库存情况仍未改善，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209405"/>
      <w:r>
        <w:rPr>
          <w:rFonts w:ascii="楷体" w:eastAsia="楷体" w:hAnsi="楷体" w:hint="eastAsia"/>
          <w:b/>
          <w:color w:val="000000" w:themeColor="text1"/>
          <w:sz w:val="24"/>
          <w:szCs w:val="24"/>
        </w:rPr>
        <w:t>锌：</w:t>
      </w:r>
      <w:r w:rsidR="006755C1" w:rsidRPr="006755C1">
        <w:rPr>
          <w:rFonts w:ascii="楷体" w:eastAsia="楷体" w:hAnsi="楷体" w:hint="eastAsia"/>
          <w:b/>
          <w:color w:val="000000" w:themeColor="text1"/>
          <w:sz w:val="24"/>
          <w:szCs w:val="24"/>
        </w:rPr>
        <w:t>宏观情绪支撑锌价偏强震荡运行</w:t>
      </w:r>
      <w:bookmarkEnd w:id="30"/>
    </w:p>
    <w:p w:rsidR="003F56A5" w:rsidRDefault="006755C1" w:rsidP="000B0648">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美元指数走弱，国内增发万亿国债，市场情绪有效提振。全球精炼锌仍维持过剩，主因需求回落导致过剩这种过剩更多是由需求回落所致，海外经济疲软导致需求偏弱，国内需求保持韧性，依靠基建、汽车、家电等支撑消费。前期检修产能的炼厂基本恢复产能，产出将升至高位，同时因进口盈利窗口打开，进口锌加量流入，需求端韧性延续，但旺季效应偏弱，市场上现货供应偏宽松，在基本面供强需偏弱前提下，宏观释放的利多情绪或短期为锌价形成向上推动力，但可持续性有待验证</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209406"/>
      <w:r>
        <w:rPr>
          <w:rFonts w:ascii="楷体" w:eastAsia="楷体" w:hAnsi="楷体" w:hint="eastAsia"/>
          <w:b/>
          <w:color w:val="000000" w:themeColor="text1"/>
          <w:sz w:val="24"/>
          <w:szCs w:val="24"/>
        </w:rPr>
        <w:t>镍：</w:t>
      </w:r>
      <w:r w:rsidR="00073CEF" w:rsidRPr="00073CEF">
        <w:rPr>
          <w:rFonts w:ascii="楷体" w:eastAsia="楷体" w:hAnsi="楷体" w:hint="eastAsia"/>
          <w:b/>
          <w:color w:val="000000" w:themeColor="text1"/>
          <w:sz w:val="24"/>
          <w:szCs w:val="24"/>
        </w:rPr>
        <w:t>供需矛盾凸显，但宏观利好及成本端提供支撑</w:t>
      </w:r>
      <w:bookmarkEnd w:id="31"/>
    </w:p>
    <w:p w:rsidR="003F56A5" w:rsidRDefault="00073CEF">
      <w:pPr>
        <w:ind w:leftChars="300" w:left="630"/>
        <w:rPr>
          <w:rFonts w:ascii="楷体" w:eastAsia="楷体" w:hAnsi="楷体"/>
          <w:color w:val="000000" w:themeColor="text1"/>
          <w:sz w:val="24"/>
          <w:szCs w:val="24"/>
        </w:rPr>
      </w:pPr>
      <w:r w:rsidRPr="00073CEF">
        <w:rPr>
          <w:rFonts w:ascii="楷体" w:eastAsia="楷体" w:hAnsi="楷体" w:hint="eastAsia"/>
          <w:color w:val="000000" w:themeColor="text1"/>
          <w:sz w:val="24"/>
          <w:szCs w:val="24"/>
        </w:rPr>
        <w:t>国内央行将增发一亿元国债，有助于巩固经济回升，提振市场情绪，宏观氛围转暖；但海外仍受美债收益率高位、美元指数强势和巴以冲突持续加剧的影响，给有色金属带来压力。近期镍的需求转弱，不锈钢厂陆续减产；新能源汽车对镍的消费维持疲软；合金和电镀对镍维持一定程度的刚性需求。供应方面，外采硫酸镍生产精炼镍为亏损状态，但生产精炼镍的主流工艺仍有利润，精炼镍产量仍在逐步释放，镍中长期显著过剩预期较明晰。库存方面，全球精炼镍显性库存维持累库趋势，供应压力凸显。综合而言，在基本面逐步走弱的态势下，对镍价中长期维持偏空思路。但短期来看，</w:t>
      </w:r>
      <w:r w:rsidRPr="00073CEF">
        <w:rPr>
          <w:rFonts w:ascii="楷体" w:eastAsia="楷体" w:hAnsi="楷体" w:hint="eastAsia"/>
          <w:color w:val="000000" w:themeColor="text1"/>
          <w:sz w:val="24"/>
          <w:szCs w:val="24"/>
        </w:rPr>
        <w:lastRenderedPageBreak/>
        <w:t>由于库存仍处于历史低位，镍价在连续下跌后估值偏低，且电积镍成本带来一定的支撑作用，镍价短期继续下跌的动能不足，预计以偏弱震荡运行为主。短期操作上不建议追空，暂时观望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20940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209408"/>
      <w:r>
        <w:rPr>
          <w:rFonts w:ascii="楷体" w:eastAsia="楷体" w:hAnsi="楷体" w:hint="eastAsia"/>
          <w:b/>
          <w:color w:val="000000" w:themeColor="text1"/>
          <w:sz w:val="24"/>
          <w:szCs w:val="24"/>
        </w:rPr>
        <w:t>不锈钢：</w:t>
      </w:r>
      <w:r w:rsidR="00073CEF" w:rsidRPr="00073CEF">
        <w:rPr>
          <w:rFonts w:ascii="楷体" w:eastAsia="楷体" w:hAnsi="楷体" w:hint="eastAsia"/>
          <w:b/>
          <w:color w:val="000000" w:themeColor="text1"/>
          <w:sz w:val="24"/>
          <w:szCs w:val="24"/>
        </w:rPr>
        <w:t>产业负反馈传导持续，上下空间皆有限</w:t>
      </w:r>
      <w:bookmarkEnd w:id="33"/>
    </w:p>
    <w:p w:rsidR="003F56A5" w:rsidRDefault="00073CEF">
      <w:pPr>
        <w:ind w:leftChars="300" w:left="630"/>
        <w:rPr>
          <w:rFonts w:ascii="楷体" w:eastAsia="楷体" w:hAnsi="楷体"/>
          <w:color w:val="000000" w:themeColor="text1"/>
          <w:sz w:val="24"/>
          <w:szCs w:val="24"/>
        </w:rPr>
      </w:pPr>
      <w:r w:rsidRPr="00073CEF">
        <w:rPr>
          <w:rFonts w:ascii="楷体" w:eastAsia="楷体" w:hAnsi="楷体" w:hint="eastAsia"/>
          <w:color w:val="000000" w:themeColor="text1"/>
          <w:sz w:val="24"/>
          <w:szCs w:val="24"/>
        </w:rPr>
        <w:t>宏观方面，中央汇金买入ETF并将在未来继续增持，央行将增发一亿元国债，国内宏观情绪边际好转。由于不锈钢九月传统旺季预期落空，且冶炼成本被印尼RKAB政策扰动抬高，钢厂冶炼利润不断收窄，因此陆续开始减产。钢厂减产的负反馈由下往上传导至镍铁，叠加印尼回流压力，国内镍铁价格偏弱运行，镍矿价格也承受产业压力。但在镍矿今年四季度供应偏紧局势下，成本端下跌空间有限。库存方面，由于钢厂发货节奏放缓，且贸易商低价促进出货，不锈钢社会库存前两周连续去库。综合来看，需求不振因素给不锈钢价带来明显压制，但减产因素及生产成本给不锈钢价带来支撑，不锈钢上下空间皆有限，短期预计震荡偏弱为主。若后续减产幅度进一步扩大，且需求在政策推动下转暖，不锈钢价有望反弹修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209409"/>
      <w:r>
        <w:rPr>
          <w:rFonts w:ascii="楷体" w:eastAsia="楷体" w:hAnsi="楷体" w:hint="eastAsia"/>
          <w:b/>
          <w:color w:val="000000" w:themeColor="text1"/>
          <w:sz w:val="24"/>
          <w:szCs w:val="24"/>
        </w:rPr>
        <w:t>工业硅：</w:t>
      </w:r>
      <w:r w:rsidR="00073CEF" w:rsidRPr="00073CEF">
        <w:rPr>
          <w:rFonts w:ascii="楷体" w:eastAsia="楷体" w:hAnsi="楷体" w:hint="eastAsia"/>
          <w:b/>
          <w:sz w:val="24"/>
          <w:szCs w:val="24"/>
        </w:rPr>
        <w:t>多空因素交织，盘面或维持震荡</w:t>
      </w:r>
      <w:bookmarkEnd w:id="34"/>
    </w:p>
    <w:p w:rsidR="003F56A5" w:rsidRDefault="00073CEF" w:rsidP="00827E8A">
      <w:pPr>
        <w:ind w:leftChars="300" w:left="630"/>
        <w:rPr>
          <w:rFonts w:ascii="楷体" w:eastAsia="楷体" w:hAnsi="楷体"/>
          <w:sz w:val="24"/>
          <w:szCs w:val="24"/>
        </w:rPr>
      </w:pPr>
      <w:r w:rsidRPr="00073CEF">
        <w:rPr>
          <w:rFonts w:ascii="楷体" w:eastAsia="楷体" w:hAnsi="楷体" w:hint="eastAsia"/>
          <w:sz w:val="24"/>
          <w:szCs w:val="24"/>
        </w:rPr>
        <w:t>10月25日，Si2312主力合约呈冲高回落走势，收盘价14440元/吨，较上一收盘价涨跌幅-0.07%。从基本面来看，西南地区即将进入枯水期，成本抬升较为确定，同时存在供应减产预期，或对盘面有一定支撑。同时，近期终端客户出现采购仓单现象，但仓单总量依旧高位，对盘面反弹存在较大压制作用。整体来看，当前市场多空因素交织，单边驱动动能暂时不足，盘面或维持震荡走势。策略上，建议以波段操作为主，参考区间（14400，14700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2094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20941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73CEF" w:rsidRPr="00073CEF">
        <w:rPr>
          <w:rFonts w:ascii="楷体" w:eastAsia="楷体" w:hAnsi="楷体" w:hint="eastAsia"/>
          <w:b/>
          <w:sz w:val="24"/>
          <w:szCs w:val="24"/>
        </w:rPr>
        <w:t>向上驱动力不明显，天胶或高位震荡为主</w:t>
      </w:r>
      <w:bookmarkEnd w:id="37"/>
    </w:p>
    <w:p w:rsidR="003F56A5" w:rsidRDefault="00073CEF">
      <w:pPr>
        <w:ind w:leftChars="300" w:left="630"/>
        <w:rPr>
          <w:rFonts w:ascii="楷体" w:eastAsia="楷体" w:hAnsi="楷体"/>
          <w:sz w:val="24"/>
          <w:szCs w:val="24"/>
        </w:rPr>
      </w:pPr>
      <w:r w:rsidRPr="00073CEF">
        <w:rPr>
          <w:rFonts w:ascii="楷体" w:eastAsia="楷体" w:hAnsi="楷体" w:hint="eastAsia"/>
          <w:sz w:val="24"/>
          <w:szCs w:val="24"/>
        </w:rPr>
        <w:t>点评：近期天然橡胶回调后企稳回暖，但市场做多情绪依旧不强。供应方</w:t>
      </w:r>
      <w:r w:rsidRPr="00073CEF">
        <w:rPr>
          <w:rFonts w:ascii="楷体" w:eastAsia="楷体" w:hAnsi="楷体" w:hint="eastAsia"/>
          <w:sz w:val="24"/>
          <w:szCs w:val="24"/>
        </w:rPr>
        <w:lastRenderedPageBreak/>
        <w:t>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或高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20941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F4417" w:rsidRPr="00BF4417">
        <w:rPr>
          <w:rFonts w:ascii="Calibri" w:eastAsia="楷体" w:hAnsi="Calibri" w:cs="Calibri"/>
          <w:b/>
          <w:color w:val="000000" w:themeColor="text1"/>
          <w:sz w:val="24"/>
          <w:szCs w:val="24"/>
        </w:rPr>
        <w:t> </w:t>
      </w:r>
      <w:r w:rsidR="006755C1" w:rsidRPr="006755C1">
        <w:rPr>
          <w:rFonts w:ascii="楷体" w:eastAsia="楷体" w:hAnsi="楷体" w:hint="eastAsia"/>
          <w:b/>
          <w:color w:val="000000" w:themeColor="text1"/>
          <w:sz w:val="24"/>
          <w:szCs w:val="24"/>
        </w:rPr>
        <w:t>供需矛盾暂时缓解 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6755C1" w:rsidP="002C73FE">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原油方面，巴以局势的地缘利好弱化，侧重留意宏观及供需转弱的风险。PX方面，盛虹石化400万吨及广东石化260万吨装置预计近日提负，海外10-11月装置重启较多，PX供应充足卖盘旺盛。随着调油需求走弱，歧化装置开工率有望进一步提升，近期PX N仍将偏弱运行。PTA供应方面，新材料360万吨装置重启，英力士110万吨停车检修，其他个别装置恢复，至10.19 PTA负荷调整至77%（+2.3%)。本周随着萧山两家聚酯装置的恢复，聚酯负荷整体有所回升，其他装置暂未听闻变动计划。综合来看，10.19初步核算国内大陆地区聚酯负荷在90.5%，环比小幅提升。终端开工率尚可但涤纶长丝库存节后累库节奏较快，随着聚酯原料价格走低，工厂出货意愿较大。10月PTA装置检修计划较多，供需矛盾暂时缓解，PTA或会企稳但不看太高。随着11月份新产能投放供应回归及需求季节性走弱预期，供需承压。一旦PTA成本端趋势偏弱叠加供增需减预期，PTA仍存回落风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9209413"/>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9209414"/>
      <w:r>
        <w:rPr>
          <w:rFonts w:ascii="楷体" w:eastAsia="楷体" w:hAnsi="楷体" w:hint="eastAsia"/>
          <w:b/>
          <w:color w:val="000000" w:themeColor="text1"/>
          <w:sz w:val="24"/>
          <w:szCs w:val="24"/>
        </w:rPr>
        <w:t>聚烯烃：</w:t>
      </w:r>
      <w:r w:rsidR="00740BD1" w:rsidRPr="00740BD1">
        <w:rPr>
          <w:rFonts w:ascii="楷体" w:eastAsia="楷体" w:hAnsi="楷体" w:hint="eastAsia"/>
          <w:b/>
          <w:color w:val="000000" w:themeColor="text1"/>
          <w:sz w:val="24"/>
          <w:szCs w:val="24"/>
        </w:rPr>
        <w:t>传统旺季尾声 聚烯烃偏弱整理为主</w:t>
      </w:r>
      <w:bookmarkEnd w:id="40"/>
    </w:p>
    <w:p w:rsidR="003F56A5" w:rsidRDefault="00740BD1">
      <w:pPr>
        <w:ind w:leftChars="300" w:left="630"/>
        <w:rPr>
          <w:rFonts w:ascii="楷体" w:eastAsia="楷体" w:hAnsi="楷体"/>
          <w:bCs/>
          <w:sz w:val="24"/>
          <w:szCs w:val="24"/>
        </w:rPr>
      </w:pPr>
      <w:r w:rsidRPr="00740BD1">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w:t>
      </w:r>
      <w:r w:rsidRPr="00740BD1">
        <w:rPr>
          <w:rFonts w:ascii="楷体" w:eastAsia="楷体" w:hAnsi="楷体" w:hint="eastAsia"/>
          <w:color w:val="000000" w:themeColor="text1"/>
          <w:sz w:val="24"/>
          <w:szCs w:val="24"/>
        </w:rPr>
        <w:lastRenderedPageBreak/>
        <w:t>成本方面，对中东原油供应可能中断的担忧再度升温，欧美原油期货上涨约2%，然而美国原油库存增加和欧洲经济前景黯淡限制了油价涨势。需求方面，PE下游方面，农膜整体需求平平，工厂生产清淡。棚膜工厂多停机检修；PP下游方面，BOPP市场成交刚需有量，整体量较上一交易日增加，BOPP企业未交付订单多数在一周以内，个别可至八月中。综合来看，PE方面，短期来看，进口套利窗口多数关闭的前提下，加之石化装置停车较多，国内整体供应压力减小，但临近传统需求旺季尾声，工厂多按需采购，市场仍维持低价成交。预计今日PE价格维持窄幅震荡。PP方面，叠加近期检修影响量偏低，供应压力较大。市场虽然依旧处在银十旺季，但订单以及需求呈现缩水态势，利空影响逐渐渗透。短期看，市场月底积极去库持续进行中，但市场缺乏价格向上驱动下，大概率会向下调整</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9209415"/>
      <w:r>
        <w:rPr>
          <w:rFonts w:ascii="楷体" w:eastAsia="楷体" w:hAnsi="楷体" w:hint="eastAsia"/>
          <w:b/>
          <w:color w:val="000000" w:themeColor="text1"/>
          <w:sz w:val="24"/>
          <w:szCs w:val="24"/>
        </w:rPr>
        <w:t>MEG：</w:t>
      </w:r>
      <w:r w:rsidR="006755C1" w:rsidRPr="006755C1">
        <w:rPr>
          <w:rFonts w:ascii="楷体" w:eastAsia="楷体" w:hAnsi="楷体" w:hint="eastAsia"/>
          <w:b/>
          <w:color w:val="000000" w:themeColor="text1"/>
          <w:sz w:val="24"/>
          <w:szCs w:val="24"/>
        </w:rPr>
        <w:t>跟随煤价估值修复反弹</w:t>
      </w:r>
      <w:bookmarkEnd w:id="41"/>
    </w:p>
    <w:p w:rsidR="003F56A5" w:rsidRDefault="006755C1" w:rsidP="00152664">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供需情况，10.24华东主港地区MEG港口库存约115.9万吨附近，环比上期去库2.6万吨。截至10月19日，中国大陆地区乙二醇整体开工负荷在58.18%（-4.57%），其中煤制乙二醇开工负荷在60.98%（-2.86%）。镇海炼化（65）预计停车2周左右、古雷石化（70）7-8成运行、中海壳牌（40）停车计划2个月、三江石化（100）临时停车，存量装置开工率将进一步下滑。截至10月19日，国内大陆地区聚酯负荷在90.5%，环比小幅提升。终端来看，节后江浙加弹综合开工已回升至86%（+2%），江浙织机综合开工提升至80%，江浙印染综合开工小幅下滑至82%，随着原料价格走弱及节后库存累积，涤纶近期出货意愿较强。综合来看，成本端煤价走高，低估值下乙二醇期价重心抬升。部分装置落实检修，近期供给端开工率大幅下滑。四季度新投产装置推迟，后续存量供应收缩及聚酯开工回升，或维持动态平衡的节奏，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20941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73CEF" w:rsidRPr="00073CEF">
        <w:rPr>
          <w:rFonts w:ascii="楷体" w:eastAsia="楷体" w:hAnsi="楷体" w:hint="eastAsia"/>
          <w:b/>
          <w:color w:val="000000" w:themeColor="text1"/>
          <w:sz w:val="24"/>
          <w:szCs w:val="24"/>
        </w:rPr>
        <w:t>宏观情绪利好，等待高空机会</w:t>
      </w:r>
      <w:bookmarkEnd w:id="42"/>
    </w:p>
    <w:p w:rsidR="00A71A7E" w:rsidRDefault="00073CEF" w:rsidP="001F79C6">
      <w:pPr>
        <w:ind w:leftChars="300" w:left="630"/>
        <w:rPr>
          <w:rFonts w:ascii="楷体" w:eastAsia="楷体" w:hAnsi="楷体"/>
          <w:color w:val="000000" w:themeColor="text1"/>
          <w:sz w:val="24"/>
          <w:szCs w:val="24"/>
        </w:rPr>
      </w:pPr>
      <w:r w:rsidRPr="00073CEF">
        <w:rPr>
          <w:rFonts w:ascii="楷体" w:eastAsia="楷体" w:hAnsi="楷体" w:hint="eastAsia"/>
          <w:color w:val="000000" w:themeColor="text1"/>
          <w:sz w:val="24"/>
          <w:szCs w:val="24"/>
        </w:rPr>
        <w:t>隆众资讯10月25日报道：今日浮法玻璃现货价格2086元/吨，较上一交易日-1元/吨。。库存上，截止到20231019，全国浮法玻璃样本企业总库存4030.4万重箱，环比减少3.6万重箱，环比-0.09%。月底现货价格松动，产销表现一般，原片厂以优惠出货居多，尤其是华南和广西区域企业加大优惠力度，下游普遍拿货谨慎；供给端维持高位，供需短期维持弱平衡。成本端纯碱和煤价较上月价格下移，打开下行空间。宏观政策发力。盘面受财政部增发略超1万亿元国债消息影响反弹，但影响持续性表现较弱，短线等待反弹高空机会</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920941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73CEF" w:rsidRPr="00073CEF">
        <w:rPr>
          <w:rFonts w:ascii="楷体" w:eastAsia="楷体" w:hAnsi="楷体" w:hint="eastAsia"/>
          <w:b/>
          <w:color w:val="000000" w:themeColor="text1"/>
          <w:sz w:val="24"/>
          <w:szCs w:val="24"/>
        </w:rPr>
        <w:t>等待累库逻辑兑现，逢高做空</w:t>
      </w:r>
      <w:bookmarkEnd w:id="43"/>
    </w:p>
    <w:p w:rsidR="00A71A7E" w:rsidRDefault="00073CEF" w:rsidP="00A71A7E">
      <w:pPr>
        <w:ind w:leftChars="300" w:left="630"/>
        <w:rPr>
          <w:rFonts w:ascii="楷体" w:eastAsia="楷体" w:hAnsi="楷体"/>
          <w:bCs/>
          <w:sz w:val="24"/>
          <w:szCs w:val="24"/>
        </w:rPr>
      </w:pPr>
      <w:r w:rsidRPr="00073CEF">
        <w:rPr>
          <w:rFonts w:ascii="楷体" w:eastAsia="楷体" w:hAnsi="楷体" w:hint="eastAsia"/>
          <w:color w:val="000000" w:themeColor="text1"/>
          <w:sz w:val="24"/>
          <w:szCs w:val="24"/>
        </w:rPr>
        <w:t>纯碱价格继续下移。华东和西南地区轻重碱报价普跌100-200元/吨。华中地区重碱报价2500元/吨，青海地区重碱报价2200元/吨（日环比-100）。供给方面，纯碱周产量接近70万吨。库存上，截至10月12日，周库存31.47万吨，环比+3.97吨，涨幅14.44%，持续累库，预计本周度继续累库6-7万吨左右。需求上，中下游观望情绪渐浓，采购谨慎。进出口上，月中进口陆续到港，10月累计进口约10万吨，盘面远月受宏观影响小幅反弹，等待现货抢跑和累库逻辑兑现，仍建议反弹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920941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920941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73CEF" w:rsidRPr="00073CEF">
        <w:rPr>
          <w:rFonts w:ascii="楷体" w:eastAsia="楷体" w:hAnsi="楷体" w:hint="eastAsia"/>
          <w:b/>
          <w:sz w:val="24"/>
          <w:szCs w:val="24"/>
        </w:rPr>
        <w:t>跟随美豆震荡整理</w:t>
      </w:r>
      <w:bookmarkEnd w:id="45"/>
    </w:p>
    <w:p w:rsidR="003F56A5" w:rsidRDefault="00073CEF">
      <w:pPr>
        <w:ind w:leftChars="300" w:left="630"/>
        <w:rPr>
          <w:rFonts w:ascii="楷体" w:eastAsia="楷体" w:hAnsi="楷体"/>
          <w:sz w:val="24"/>
          <w:szCs w:val="24"/>
        </w:rPr>
      </w:pPr>
      <w:r w:rsidRPr="00073CEF">
        <w:rPr>
          <w:rFonts w:ascii="楷体" w:eastAsia="楷体" w:hAnsi="楷体" w:hint="eastAsia"/>
          <w:sz w:val="24"/>
          <w:szCs w:val="24"/>
        </w:rPr>
        <w:t>南美种植区迎来降水，CBOT大豆收跌，但当前进口成本仍高企，支撑豆粕期价。虽美豆新季平衡表偏紧，现阶段对盘面影响有限，美豆当前出口及国内压榨改善，但仍面临着巴西大豆的出口竞争，当前收割快速推进阶段性卖压仍存，CBOT大豆价格预计上方空间有限。后续关注巴西大豆播种情况及美豆出口，南美当前仍维持丰产预期。国内现货基差继续承压运行，近一周远月成交放量。供应端在9-10月份大豆阶段性到港减少下，当前油厂大豆库存维持偏低水平，随着油厂开机恢复，豆粕产出缓增，但部分油厂存断豆停机情况，油厂豆粕库存高于去年同期值为74.09万吨，当前沿海主流油厂豆粕现货报价小幅上调至4070-4240元/吨。9月份进口大豆到港量为715万吨，环比减23.6%，11-12月预计会增至月均950万吨的到港，但对美豆新作整体买船偏慢，仍要关注后续大豆是否会有延迟到港情况。需求，下游生猪养殖利润不佳，但在能繁存栏高位下，下游维持刚需补库，保持安全库存，现货成交情况不佳。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短线可在60日均线附近逢高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9209420"/>
      <w:r>
        <w:rPr>
          <w:rFonts w:ascii="楷体" w:eastAsia="楷体" w:hAnsi="楷体" w:hint="eastAsia"/>
          <w:b/>
          <w:color w:val="000000" w:themeColor="text1"/>
          <w:sz w:val="24"/>
          <w:szCs w:val="24"/>
        </w:rPr>
        <w:t>油脂：</w:t>
      </w:r>
      <w:r w:rsidR="006755C1" w:rsidRPr="006755C1">
        <w:rPr>
          <w:rFonts w:ascii="楷体" w:eastAsia="楷体" w:hAnsi="楷体" w:hint="eastAsia"/>
          <w:b/>
          <w:sz w:val="24"/>
          <w:szCs w:val="24"/>
        </w:rPr>
        <w:t>短期缺乏驱动，宽幅震荡</w:t>
      </w:r>
      <w:bookmarkEnd w:id="46"/>
    </w:p>
    <w:p w:rsidR="003F56A5" w:rsidRDefault="00073CEF" w:rsidP="00792D31">
      <w:pPr>
        <w:ind w:leftChars="300" w:left="630"/>
        <w:rPr>
          <w:rFonts w:ascii="楷体" w:eastAsia="楷体" w:hAnsi="楷体"/>
          <w:sz w:val="24"/>
          <w:szCs w:val="24"/>
        </w:rPr>
      </w:pPr>
      <w:r w:rsidRPr="00073CEF">
        <w:rPr>
          <w:rFonts w:ascii="楷体" w:eastAsia="楷体" w:hAnsi="楷体" w:hint="eastAsia"/>
          <w:sz w:val="24"/>
          <w:szCs w:val="24"/>
        </w:rPr>
        <w:t>虽外盘油脂止跌回升或提振内盘走势，但三大油脂供过于求格局尚未改变，在库存相对高位压制下，仍缺乏上行驱动。棕榈油，产地季节性增产周期下10月存继续累库预期，印尼棕榈油7月份因产量增幅不及需求增幅，库存继续下降。而马棕9月库存增至新高，基本符合市场预期。马棕10月前25日出口环比减少，因此在产量环比增加下，预计10月仍将保持累库趋势；但11月将进入产地季节性减产阶段，关注厄尔尼诺对产量的影响，为中长期潜在利多因素。国内棕榈油7-8月份进口到港维持高位，在买船积极下，供应端稳增，最新商业库存为80.91万吨。需求端，随着各地气温下降，棕榈油逐步进入消费淡季，掺混需求预计减少，棕榈油10月份预计表现偏弱。豆油库存去化仍需看需求增量。国内受9-10月大豆到港减少大豆库存偏低影响，虽油厂开机陆续恢复，但整体压榨水平偏低，豆油供应缓增。需求端，终端存在一定补库需求，且四季度为豆油消费旺季，部分掺混需求预计转向豆油，但当前价格优势并不明显，限制替代需求，近期成交未见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库存去化仍需看到替代需求出现。短期油脂维持宽幅震荡，上行驱动不足，建议在连日下跌后关注下方支撑或关注豆棕套利低多机会；后续关注天气及需求表</w:t>
      </w:r>
      <w:r w:rsidRPr="00073CEF">
        <w:rPr>
          <w:rFonts w:ascii="楷体" w:eastAsia="楷体" w:hAnsi="楷体" w:hint="eastAsia"/>
          <w:sz w:val="24"/>
          <w:szCs w:val="24"/>
        </w:rPr>
        <w:lastRenderedPageBreak/>
        <w:t>现，中长期维持谨慎看多观点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9209421"/>
      <w:r>
        <w:rPr>
          <w:rFonts w:ascii="楷体" w:eastAsia="楷体" w:hAnsi="楷体" w:hint="eastAsia"/>
          <w:b/>
          <w:bCs/>
          <w:color w:val="000000" w:themeColor="text1"/>
        </w:rPr>
        <w:t>玉米与淀粉：</w:t>
      </w:r>
      <w:r w:rsidR="002C0C59" w:rsidRPr="002C0C59">
        <w:rPr>
          <w:rFonts w:ascii="楷体" w:eastAsia="楷体" w:hAnsi="楷体" w:hint="eastAsia"/>
          <w:b/>
        </w:rPr>
        <w:t>夜盘期价大幅回落</w:t>
      </w:r>
      <w:bookmarkEnd w:id="47"/>
    </w:p>
    <w:p w:rsidR="002C0C59" w:rsidRPr="002C0C59" w:rsidRDefault="002C0C59" w:rsidP="002C0C59">
      <w:pPr>
        <w:pStyle w:val="paragraph"/>
        <w:spacing w:before="60" w:after="60"/>
        <w:ind w:leftChars="300" w:left="630"/>
        <w:rPr>
          <w:rFonts w:ascii="楷体" w:eastAsia="楷体" w:hAnsi="楷体" w:hint="eastAsia"/>
        </w:rPr>
      </w:pPr>
      <w:r w:rsidRPr="002C0C59">
        <w:rPr>
          <w:rFonts w:ascii="楷体" w:eastAsia="楷体" w:hAnsi="楷体" w:hint="eastAsia"/>
        </w:rPr>
        <w:t>对于玉米而言，在期价持续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综上所述，我们维持谨慎看多观点，建议谨慎投资者观望，激进投资者择机做多，或持有前期多单。</w:t>
      </w:r>
    </w:p>
    <w:p w:rsidR="003F56A5" w:rsidRDefault="002C0C59" w:rsidP="002C0C59">
      <w:pPr>
        <w:pStyle w:val="paragraph"/>
        <w:spacing w:before="60" w:beforeAutospacing="0" w:after="60" w:afterAutospacing="0"/>
        <w:ind w:leftChars="300" w:left="630"/>
        <w:rPr>
          <w:rFonts w:ascii="楷体" w:eastAsia="楷体" w:hAnsi="楷体"/>
        </w:rPr>
      </w:pPr>
      <w:r w:rsidRPr="002C0C59">
        <w:rPr>
          <w:rFonts w:ascii="楷体" w:eastAsia="楷体" w:hAnsi="楷体" w:hint="eastAsia"/>
        </w:rPr>
        <w:t>对于淀粉而言，近期淀粉-玉米价差整体收窄，主要源于原料成本端的担忧，但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再度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9209422"/>
      <w:r>
        <w:rPr>
          <w:rFonts w:ascii="楷体" w:eastAsia="楷体" w:hAnsi="楷体" w:hint="eastAsia"/>
          <w:b/>
          <w:bCs/>
          <w:color w:val="000000" w:themeColor="text1"/>
        </w:rPr>
        <w:t>畜禽养殖：</w:t>
      </w:r>
      <w:r w:rsidR="00073CEF" w:rsidRPr="00073CEF">
        <w:rPr>
          <w:rFonts w:ascii="楷体" w:eastAsia="楷体" w:hAnsi="楷体" w:hint="eastAsia"/>
          <w:b/>
          <w:bCs/>
          <w:color w:val="000000" w:themeColor="text1"/>
        </w:rPr>
        <w:t>生猪期价继续近弱远强严重分化</w:t>
      </w:r>
      <w:bookmarkEnd w:id="48"/>
    </w:p>
    <w:p w:rsidR="002C0C59" w:rsidRPr="002C0C59" w:rsidRDefault="002C0C59" w:rsidP="002C0C59">
      <w:pPr>
        <w:pStyle w:val="paragraph"/>
        <w:spacing w:before="60" w:after="60"/>
        <w:ind w:leftChars="300" w:left="630"/>
        <w:rPr>
          <w:rFonts w:ascii="楷体" w:eastAsia="楷体" w:hAnsi="楷体" w:hint="eastAsia"/>
        </w:rPr>
      </w:pPr>
      <w:r w:rsidRPr="002C0C59">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2C0C59" w:rsidP="002C0C59">
      <w:pPr>
        <w:pStyle w:val="paragraph"/>
        <w:spacing w:before="60" w:beforeAutospacing="0" w:after="60" w:afterAutospacing="0"/>
        <w:ind w:leftChars="300" w:left="630"/>
        <w:rPr>
          <w:rFonts w:ascii="楷体" w:eastAsia="楷体" w:hAnsi="楷体"/>
        </w:rPr>
      </w:pPr>
      <w:r w:rsidRPr="002C0C59">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w:t>
      </w:r>
      <w:r w:rsidRPr="002C0C59">
        <w:rPr>
          <w:rFonts w:ascii="楷体" w:eastAsia="楷体" w:hAnsi="楷体" w:hint="eastAsia"/>
        </w:rPr>
        <w:lastRenderedPageBreak/>
        <w:t>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9209423"/>
      <w:r>
        <w:rPr>
          <w:rFonts w:ascii="楷体" w:eastAsia="楷体" w:hAnsi="楷体" w:hint="eastAsia"/>
          <w:b/>
          <w:sz w:val="24"/>
          <w:szCs w:val="24"/>
        </w:rPr>
        <w:t>郑棉：</w:t>
      </w:r>
      <w:r w:rsidR="00073CEF" w:rsidRPr="00073CEF">
        <w:rPr>
          <w:rFonts w:ascii="楷体" w:eastAsia="楷体" w:hAnsi="楷体" w:hint="eastAsia"/>
          <w:b/>
          <w:sz w:val="24"/>
          <w:szCs w:val="24"/>
        </w:rPr>
        <w:t>预计郑棉围绕1.6万关口震荡，再度试探其支撑力度，谨慎观望</w:t>
      </w:r>
      <w:bookmarkEnd w:id="49"/>
    </w:p>
    <w:p w:rsidR="003F56A5" w:rsidRDefault="00073CEF" w:rsidP="007B3290">
      <w:pPr>
        <w:ind w:leftChars="300" w:left="630"/>
        <w:rPr>
          <w:rFonts w:ascii="楷体" w:eastAsia="楷体" w:hAnsi="楷体"/>
          <w:sz w:val="24"/>
          <w:szCs w:val="24"/>
        </w:rPr>
      </w:pPr>
      <w:r w:rsidRPr="00073CEF">
        <w:rPr>
          <w:rFonts w:ascii="楷体" w:eastAsia="楷体" w:hAnsi="楷体" w:hint="eastAsia"/>
          <w:sz w:val="24"/>
          <w:szCs w:val="24"/>
        </w:rPr>
        <w:t>供应端方面随着进口的增加和新棉上市预期，棉花供应已趋宽松。下游旺季不旺，纺织厂和印染、布料皆维持着较低开机率。社会大量库存压制，棉纱价格走弱，亏损加深。且由于担忧新棉上市时原料价格大幅升高，纺织企业都已囤积了相对足量的棉花原料。供强需弱格局下，新棉的成本支撑表现不强，轧花厂紧随期货价格走势，主流价格集中在7.3—.7.5/公斤。不过，近两周时间郑棉主力已跌去2000多，期现基差升至高位，仓单同比锐减过半给予棉价一定支撑。后续关注抛储政策是否发生调整改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9209424"/>
      <w:r>
        <w:rPr>
          <w:rFonts w:ascii="楷体" w:eastAsia="楷体" w:hAnsi="楷体" w:hint="eastAsia"/>
          <w:b/>
          <w:sz w:val="24"/>
          <w:szCs w:val="24"/>
        </w:rPr>
        <w:t>白糖：</w:t>
      </w:r>
      <w:r w:rsidR="00073CEF" w:rsidRPr="00073CEF">
        <w:rPr>
          <w:rFonts w:ascii="楷体" w:eastAsia="楷体" w:hAnsi="楷体" w:hint="eastAsia"/>
          <w:b/>
          <w:sz w:val="24"/>
          <w:szCs w:val="24"/>
        </w:rPr>
        <w:t>6800以上新空单持有</w:t>
      </w:r>
      <w:bookmarkEnd w:id="50"/>
    </w:p>
    <w:p w:rsidR="00296325" w:rsidRDefault="00073CEF" w:rsidP="00296325">
      <w:pPr>
        <w:ind w:leftChars="300" w:left="630"/>
        <w:rPr>
          <w:rFonts w:ascii="楷体" w:eastAsia="楷体" w:hAnsi="楷体"/>
          <w:sz w:val="24"/>
          <w:szCs w:val="24"/>
        </w:rPr>
      </w:pPr>
      <w:r w:rsidRPr="00073CEF">
        <w:rPr>
          <w:rFonts w:ascii="楷体" w:eastAsia="楷体" w:hAnsi="楷体" w:hint="eastAsia"/>
          <w:sz w:val="24"/>
          <w:szCs w:val="24"/>
        </w:rPr>
        <w:t>巴西甘蔗行业协会( Unica ）周三公布的数据显示，巴西中南部地区10月上半月的糖产量同比增长22%，达到225万吨。Unica 在一份报告中称，10月上半月甘蔗压榨量为3277万吨，较上年同期增长17.6%。但厄尔尼诺天气影响下，市场对新季白糖的供应依然感到担忧，ICE原糖再度触及高位。主要产糖大国印度的乙醇燃料计划使其甘蔗使用量大增，此外新季减产概率较大。泰国的产糖前景也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1" w:name="_Toc149209425"/>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1"/>
    </w:p>
    <w:p w:rsidR="00152664" w:rsidRDefault="00152664" w:rsidP="00152664">
      <w:pPr>
        <w:ind w:leftChars="200" w:left="420"/>
        <w:outlineLvl w:val="1"/>
        <w:rPr>
          <w:rFonts w:ascii="Times New Roman" w:eastAsia="楷体" w:hAnsi="Times New Roman"/>
          <w:b/>
          <w:color w:val="000000" w:themeColor="text1"/>
          <w:sz w:val="24"/>
          <w:szCs w:val="24"/>
        </w:rPr>
      </w:pPr>
      <w:bookmarkStart w:id="52" w:name="_Toc149209426"/>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073CEF" w:rsidRPr="00073CEF">
        <w:rPr>
          <w:rFonts w:ascii="Times New Roman" w:eastAsia="楷体" w:hAnsi="Times New Roman" w:hint="eastAsia"/>
          <w:b/>
          <w:color w:val="000000" w:themeColor="text1"/>
          <w:sz w:val="24"/>
          <w:szCs w:val="24"/>
        </w:rPr>
        <w:t>多空双方博弈激烈，</w:t>
      </w:r>
      <w:r w:rsidR="00073CEF" w:rsidRPr="00073CEF">
        <w:rPr>
          <w:rFonts w:ascii="Times New Roman" w:eastAsia="楷体" w:hAnsi="Times New Roman" w:hint="eastAsia"/>
          <w:b/>
          <w:color w:val="000000" w:themeColor="text1"/>
          <w:sz w:val="24"/>
          <w:szCs w:val="24"/>
        </w:rPr>
        <w:t>EC</w:t>
      </w:r>
      <w:r w:rsidR="00073CEF" w:rsidRPr="00073CEF">
        <w:rPr>
          <w:rFonts w:ascii="Times New Roman" w:eastAsia="楷体" w:hAnsi="Times New Roman" w:hint="eastAsia"/>
          <w:b/>
          <w:color w:val="000000" w:themeColor="text1"/>
          <w:sz w:val="24"/>
          <w:szCs w:val="24"/>
        </w:rPr>
        <w:t>震荡僵局待破</w:t>
      </w:r>
      <w:bookmarkEnd w:id="52"/>
    </w:p>
    <w:p w:rsidR="00073CEF" w:rsidRPr="00073CEF" w:rsidRDefault="00073CEF" w:rsidP="00073CEF">
      <w:pPr>
        <w:ind w:leftChars="300" w:left="630"/>
        <w:rPr>
          <w:rFonts w:ascii="Times New Roman" w:eastAsia="楷体" w:hAnsi="Times New Roman" w:hint="eastAsia"/>
          <w:color w:val="000000" w:themeColor="text1"/>
          <w:sz w:val="24"/>
          <w:szCs w:val="24"/>
        </w:rPr>
      </w:pPr>
      <w:r w:rsidRPr="00073CEF">
        <w:rPr>
          <w:rFonts w:ascii="Times New Roman" w:eastAsia="楷体" w:hAnsi="Times New Roman" w:hint="eastAsia"/>
          <w:color w:val="000000" w:themeColor="text1"/>
          <w:sz w:val="24"/>
          <w:szCs w:val="24"/>
        </w:rPr>
        <w:t>在供应端，船公司在进入第四季度后不断实施缩减航线与涨价计划，一是为未来签长协价格提供更高的基准，二是向市场注入信心。外需方面，欧洲</w:t>
      </w:r>
      <w:r w:rsidRPr="00073CEF">
        <w:rPr>
          <w:rFonts w:ascii="Times New Roman" w:eastAsia="楷体" w:hAnsi="Times New Roman" w:hint="eastAsia"/>
          <w:color w:val="000000" w:themeColor="text1"/>
          <w:sz w:val="24"/>
          <w:szCs w:val="24"/>
        </w:rPr>
        <w:t>10</w:t>
      </w:r>
      <w:r w:rsidRPr="00073CEF">
        <w:rPr>
          <w:rFonts w:ascii="Times New Roman" w:eastAsia="楷体" w:hAnsi="Times New Roman" w:hint="eastAsia"/>
          <w:color w:val="000000" w:themeColor="text1"/>
          <w:sz w:val="24"/>
          <w:szCs w:val="24"/>
        </w:rPr>
        <w:t>月</w:t>
      </w:r>
      <w:r w:rsidRPr="00073CEF">
        <w:rPr>
          <w:rFonts w:ascii="Times New Roman" w:eastAsia="楷体" w:hAnsi="Times New Roman" w:hint="eastAsia"/>
          <w:color w:val="000000" w:themeColor="text1"/>
          <w:sz w:val="24"/>
          <w:szCs w:val="24"/>
        </w:rPr>
        <w:t>Sentix</w:t>
      </w:r>
      <w:r w:rsidRPr="00073CEF">
        <w:rPr>
          <w:rFonts w:ascii="Times New Roman" w:eastAsia="楷体" w:hAnsi="Times New Roman" w:hint="eastAsia"/>
          <w:color w:val="000000" w:themeColor="text1"/>
          <w:sz w:val="24"/>
          <w:szCs w:val="24"/>
        </w:rPr>
        <w:t>投资者信心指数进一步走低，欧洲经济疲软将延续至四季度，从而对欧洲需求产生抑制，四季度欧洲需求难以出现改善。</w:t>
      </w:r>
    </w:p>
    <w:p w:rsidR="00152664" w:rsidRDefault="00073CEF" w:rsidP="00073CEF">
      <w:pPr>
        <w:ind w:leftChars="300" w:left="630"/>
        <w:rPr>
          <w:rFonts w:ascii="Times New Roman" w:eastAsia="楷体" w:hAnsi="Times New Roman"/>
          <w:color w:val="000000" w:themeColor="text1"/>
          <w:sz w:val="24"/>
          <w:szCs w:val="24"/>
        </w:rPr>
      </w:pPr>
      <w:r w:rsidRPr="00073CEF">
        <w:rPr>
          <w:rFonts w:ascii="Times New Roman" w:eastAsia="楷体" w:hAnsi="Times New Roman" w:hint="eastAsia"/>
          <w:color w:val="000000" w:themeColor="text1"/>
          <w:sz w:val="24"/>
          <w:szCs w:val="24"/>
        </w:rPr>
        <w:t>长期来看供强需弱的长期逻辑难改变，但短期欧线船公司运力缩减应对需求疲弱，因此近日</w:t>
      </w:r>
      <w:r w:rsidRPr="00073CEF">
        <w:rPr>
          <w:rFonts w:ascii="Times New Roman" w:eastAsia="楷体" w:hAnsi="Times New Roman" w:hint="eastAsia"/>
          <w:color w:val="000000" w:themeColor="text1"/>
          <w:sz w:val="24"/>
          <w:szCs w:val="24"/>
        </w:rPr>
        <w:t>EC</w:t>
      </w:r>
      <w:r w:rsidRPr="00073CEF">
        <w:rPr>
          <w:rFonts w:ascii="Times New Roman" w:eastAsia="楷体" w:hAnsi="Times New Roman" w:hint="eastAsia"/>
          <w:color w:val="000000" w:themeColor="text1"/>
          <w:sz w:val="24"/>
          <w:szCs w:val="24"/>
        </w:rPr>
        <w:t>多空博弈激烈持续震荡，还未有其中一方打破平衡。长远看供应端大概率回归弱势，未来仍然保持弱势震荡思路，建议操作上等待机会高空为主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3" w:name="_Toc71212556"/>
      <w:bookmarkStart w:id="54" w:name="_Toc19667"/>
      <w:bookmarkStart w:id="55" w:name="_Toc98426751"/>
      <w:bookmarkStart w:id="56" w:name="_Toc12779"/>
      <w:bookmarkStart w:id="57" w:name="_Toc72481108"/>
      <w:r>
        <w:rPr>
          <w:rFonts w:ascii="Times New Roman" w:eastAsia="楷体" w:hAnsi="Times New Roman"/>
          <w:b/>
          <w:color w:val="411D05"/>
          <w:sz w:val="30"/>
          <w:szCs w:val="30"/>
        </w:rPr>
        <w:lastRenderedPageBreak/>
        <w:t>免责声明</w:t>
      </w:r>
      <w:bookmarkEnd w:id="53"/>
      <w:bookmarkEnd w:id="54"/>
      <w:bookmarkEnd w:id="55"/>
      <w:bookmarkEnd w:id="56"/>
      <w:bookmarkEnd w:id="57"/>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00" w:rsidRDefault="00795500">
      <w:r>
        <w:separator/>
      </w:r>
    </w:p>
  </w:endnote>
  <w:endnote w:type="continuationSeparator" w:id="0">
    <w:p w:rsidR="00795500" w:rsidRDefault="0079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7E1C14F" wp14:editId="2AC1FC5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40BD1">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40BD1">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00" w:rsidRDefault="00795500">
      <w:r>
        <w:separator/>
      </w:r>
    </w:p>
  </w:footnote>
  <w:footnote w:type="continuationSeparator" w:id="0">
    <w:p w:rsidR="00795500" w:rsidRDefault="00795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02D20B7" wp14:editId="4E4CEB0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EFB87F9" wp14:editId="429C55E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73CEF">
      <w:rPr>
        <w:rFonts w:ascii="Times New Roman" w:eastAsia="楷体" w:hAnsi="Times New Roman" w:hint="eastAsia"/>
        <w:b/>
        <w:bCs/>
        <w:noProof/>
        <w:color w:val="833C0B"/>
        <w:sz w:val="21"/>
      </w:rPr>
      <w:t>2023</w:t>
    </w:r>
    <w:r w:rsidR="00073CEF">
      <w:rPr>
        <w:rFonts w:ascii="Times New Roman" w:eastAsia="楷体" w:hAnsi="Times New Roman" w:hint="eastAsia"/>
        <w:b/>
        <w:bCs/>
        <w:noProof/>
        <w:color w:val="833C0B"/>
        <w:sz w:val="21"/>
      </w:rPr>
      <w:t>年</w:t>
    </w:r>
    <w:r w:rsidR="00073CEF">
      <w:rPr>
        <w:rFonts w:ascii="Times New Roman" w:eastAsia="楷体" w:hAnsi="Times New Roman" w:hint="eastAsia"/>
        <w:b/>
        <w:bCs/>
        <w:noProof/>
        <w:color w:val="833C0B"/>
        <w:sz w:val="21"/>
      </w:rPr>
      <w:t>10</w:t>
    </w:r>
    <w:r w:rsidR="00073CEF">
      <w:rPr>
        <w:rFonts w:ascii="Times New Roman" w:eastAsia="楷体" w:hAnsi="Times New Roman" w:hint="eastAsia"/>
        <w:b/>
        <w:bCs/>
        <w:noProof/>
        <w:color w:val="833C0B"/>
        <w:sz w:val="21"/>
      </w:rPr>
      <w:t>月</w:t>
    </w:r>
    <w:r w:rsidR="00073CEF">
      <w:rPr>
        <w:rFonts w:ascii="Times New Roman" w:eastAsia="楷体" w:hAnsi="Times New Roman" w:hint="eastAsia"/>
        <w:b/>
        <w:bCs/>
        <w:noProof/>
        <w:color w:val="833C0B"/>
        <w:sz w:val="21"/>
      </w:rPr>
      <w:t>26</w:t>
    </w:r>
    <w:r w:rsidR="00073CEF">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C47C0"/>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95E24-626A-4215-A86A-A0EC6A24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4329</TotalTime>
  <Pages>10</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118</cp:revision>
  <cp:lastPrinted>2023-06-08T02:23:00Z</cp:lastPrinted>
  <dcterms:created xsi:type="dcterms:W3CDTF">2022-11-15T10:06:00Z</dcterms:created>
  <dcterms:modified xsi:type="dcterms:W3CDTF">2023-10-26T02:42:00Z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