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Pr="00152664" w:rsidRDefault="00CC3FFA" w:rsidP="00152664">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DC47C0"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DC47C0" w:rsidRPr="00411118">
            <w:rPr>
              <w:rStyle w:val="a9"/>
              <w:noProof/>
            </w:rPr>
            <w:fldChar w:fldCharType="begin"/>
          </w:r>
          <w:r w:rsidR="00DC47C0" w:rsidRPr="00411118">
            <w:rPr>
              <w:rStyle w:val="a9"/>
              <w:noProof/>
            </w:rPr>
            <w:instrText xml:space="preserve"> </w:instrText>
          </w:r>
          <w:r w:rsidR="00DC47C0">
            <w:rPr>
              <w:noProof/>
            </w:rPr>
            <w:instrText>HYPERLINK \l "_Toc149122846"</w:instrText>
          </w:r>
          <w:r w:rsidR="00DC47C0" w:rsidRPr="00411118">
            <w:rPr>
              <w:rStyle w:val="a9"/>
              <w:noProof/>
            </w:rPr>
            <w:instrText xml:space="preserve"> </w:instrText>
          </w:r>
          <w:r w:rsidR="00DC47C0" w:rsidRPr="00411118">
            <w:rPr>
              <w:rStyle w:val="a9"/>
              <w:noProof/>
            </w:rPr>
          </w:r>
          <w:r w:rsidR="00DC47C0" w:rsidRPr="00411118">
            <w:rPr>
              <w:rStyle w:val="a9"/>
              <w:noProof/>
            </w:rPr>
            <w:fldChar w:fldCharType="separate"/>
          </w:r>
          <w:r w:rsidR="00DC47C0" w:rsidRPr="00411118">
            <w:rPr>
              <w:rStyle w:val="a9"/>
              <w:rFonts w:ascii="Times New Roman" w:eastAsia="楷体" w:hAnsi="Times New Roman"/>
              <w:b/>
              <w:noProof/>
            </w:rPr>
            <w:t>[</w:t>
          </w:r>
          <w:r w:rsidR="00DC47C0" w:rsidRPr="00411118">
            <w:rPr>
              <w:rStyle w:val="a9"/>
              <w:rFonts w:ascii="Times New Roman" w:eastAsia="楷体" w:hAnsi="Times New Roman"/>
              <w:b/>
              <w:noProof/>
            </w:rPr>
            <w:t>金融</w:t>
          </w:r>
          <w:r w:rsidR="00DC47C0" w:rsidRPr="00411118">
            <w:rPr>
              <w:rStyle w:val="a9"/>
              <w:rFonts w:ascii="Times New Roman" w:eastAsia="楷体" w:hAnsi="Times New Roman"/>
              <w:b/>
              <w:noProof/>
            </w:rPr>
            <w:t>]</w:t>
          </w:r>
          <w:r w:rsidR="00DC47C0" w:rsidRPr="00411118">
            <w:rPr>
              <w:rStyle w:val="a9"/>
              <w:noProof/>
            </w:rPr>
            <w:fldChar w:fldCharType="end"/>
          </w:r>
        </w:p>
        <w:p w:rsidR="00DC47C0" w:rsidRDefault="00DC47C0">
          <w:pPr>
            <w:pStyle w:val="23"/>
            <w:tabs>
              <w:tab w:val="right" w:leader="dot" w:pos="8296"/>
            </w:tabs>
            <w:rPr>
              <w:rFonts w:eastAsiaTheme="minorEastAsia"/>
              <w:noProof/>
              <w:szCs w:val="22"/>
            </w:rPr>
          </w:pPr>
          <w:hyperlink w:anchor="_Toc149122847" w:history="1">
            <w:r w:rsidRPr="00411118">
              <w:rPr>
                <w:rStyle w:val="a9"/>
                <w:rFonts w:ascii="Times New Roman" w:eastAsia="楷体" w:hAnsi="Times New Roman"/>
                <w:b/>
                <w:noProof/>
              </w:rPr>
              <w:t>股指：逢低分批布局指数多单</w:t>
            </w:r>
          </w:hyperlink>
        </w:p>
        <w:p w:rsidR="00DC47C0" w:rsidRDefault="00DC47C0">
          <w:pPr>
            <w:pStyle w:val="11"/>
            <w:tabs>
              <w:tab w:val="right" w:leader="dot" w:pos="8296"/>
            </w:tabs>
            <w:rPr>
              <w:rFonts w:eastAsiaTheme="minorEastAsia"/>
              <w:noProof/>
              <w:szCs w:val="22"/>
            </w:rPr>
          </w:pPr>
          <w:hyperlink w:anchor="_Toc149122848" w:history="1">
            <w:r w:rsidRPr="00411118">
              <w:rPr>
                <w:rStyle w:val="a9"/>
                <w:rFonts w:ascii="Times New Roman" w:eastAsia="楷体" w:hAnsi="Times New Roman"/>
                <w:b/>
                <w:noProof/>
              </w:rPr>
              <w:t>[</w:t>
            </w:r>
            <w:r w:rsidRPr="00411118">
              <w:rPr>
                <w:rStyle w:val="a9"/>
                <w:rFonts w:ascii="Times New Roman" w:eastAsia="楷体" w:hAnsi="Times New Roman"/>
                <w:b/>
                <w:noProof/>
              </w:rPr>
              <w:t>贵金属</w:t>
            </w:r>
            <w:r w:rsidRPr="00411118">
              <w:rPr>
                <w:rStyle w:val="a9"/>
                <w:rFonts w:ascii="Times New Roman" w:eastAsia="楷体" w:hAnsi="Times New Roman"/>
                <w:b/>
                <w:noProof/>
              </w:rPr>
              <w:t>]</w:t>
            </w:r>
          </w:hyperlink>
        </w:p>
        <w:p w:rsidR="00DC47C0" w:rsidRDefault="00DC47C0">
          <w:pPr>
            <w:pStyle w:val="23"/>
            <w:tabs>
              <w:tab w:val="right" w:leader="dot" w:pos="8296"/>
            </w:tabs>
            <w:rPr>
              <w:rFonts w:eastAsiaTheme="minorEastAsia"/>
              <w:noProof/>
              <w:szCs w:val="22"/>
            </w:rPr>
          </w:pPr>
          <w:hyperlink w:anchor="_Toc149122849" w:history="1">
            <w:r w:rsidRPr="00411118">
              <w:rPr>
                <w:rStyle w:val="a9"/>
                <w:rFonts w:ascii="Times New Roman" w:eastAsia="楷体" w:hAnsi="Times New Roman"/>
                <w:b/>
                <w:noProof/>
              </w:rPr>
              <w:t>贵金属：欧元区</w:t>
            </w:r>
            <w:r w:rsidRPr="00411118">
              <w:rPr>
                <w:rStyle w:val="a9"/>
                <w:rFonts w:ascii="Times New Roman" w:eastAsia="楷体" w:hAnsi="Times New Roman"/>
                <w:b/>
                <w:noProof/>
              </w:rPr>
              <w:t>PMI</w:t>
            </w:r>
            <w:r w:rsidRPr="00411118">
              <w:rPr>
                <w:rStyle w:val="a9"/>
                <w:rFonts w:ascii="Times New Roman" w:eastAsia="楷体" w:hAnsi="Times New Roman"/>
                <w:b/>
                <w:noProof/>
              </w:rPr>
              <w:t>不及预期，内盘贵金属窄幅震荡</w:t>
            </w:r>
          </w:hyperlink>
        </w:p>
        <w:p w:rsidR="00DC47C0" w:rsidRDefault="00DC47C0">
          <w:pPr>
            <w:pStyle w:val="11"/>
            <w:tabs>
              <w:tab w:val="right" w:leader="dot" w:pos="8296"/>
            </w:tabs>
            <w:rPr>
              <w:rFonts w:eastAsiaTheme="minorEastAsia"/>
              <w:noProof/>
              <w:szCs w:val="22"/>
            </w:rPr>
          </w:pPr>
          <w:hyperlink w:anchor="_Toc149122850" w:history="1">
            <w:r w:rsidRPr="00411118">
              <w:rPr>
                <w:rStyle w:val="a9"/>
                <w:rFonts w:ascii="Times New Roman" w:eastAsia="楷体" w:hAnsi="Times New Roman"/>
                <w:b/>
                <w:noProof/>
              </w:rPr>
              <w:t>[</w:t>
            </w:r>
            <w:r w:rsidRPr="00411118">
              <w:rPr>
                <w:rStyle w:val="a9"/>
                <w:rFonts w:ascii="Times New Roman" w:eastAsia="楷体" w:hAnsi="Times New Roman"/>
                <w:b/>
                <w:noProof/>
              </w:rPr>
              <w:t>金属</w:t>
            </w:r>
            <w:r w:rsidRPr="00411118">
              <w:rPr>
                <w:rStyle w:val="a9"/>
                <w:rFonts w:ascii="Times New Roman" w:eastAsia="楷体" w:hAnsi="Times New Roman"/>
                <w:b/>
                <w:noProof/>
              </w:rPr>
              <w:t>]</w:t>
            </w:r>
          </w:hyperlink>
        </w:p>
        <w:p w:rsidR="00DC47C0" w:rsidRDefault="00DC47C0">
          <w:pPr>
            <w:pStyle w:val="23"/>
            <w:tabs>
              <w:tab w:val="right" w:leader="dot" w:pos="8296"/>
            </w:tabs>
            <w:rPr>
              <w:rFonts w:eastAsiaTheme="minorEastAsia"/>
              <w:noProof/>
              <w:szCs w:val="22"/>
            </w:rPr>
          </w:pPr>
          <w:hyperlink w:anchor="_Toc149122851" w:history="1">
            <w:r w:rsidRPr="00411118">
              <w:rPr>
                <w:rStyle w:val="a9"/>
                <w:rFonts w:ascii="楷体" w:eastAsia="楷体" w:hAnsi="楷体"/>
                <w:b/>
                <w:noProof/>
              </w:rPr>
              <w:t>碳酸锂：基差收敛，期价大幅反弹</w:t>
            </w:r>
          </w:hyperlink>
        </w:p>
        <w:p w:rsidR="00DC47C0" w:rsidRDefault="00DC47C0">
          <w:pPr>
            <w:pStyle w:val="23"/>
            <w:tabs>
              <w:tab w:val="right" w:leader="dot" w:pos="8296"/>
            </w:tabs>
            <w:rPr>
              <w:rFonts w:eastAsiaTheme="minorEastAsia"/>
              <w:noProof/>
              <w:szCs w:val="22"/>
            </w:rPr>
          </w:pPr>
          <w:hyperlink w:anchor="_Toc149122852" w:history="1">
            <w:r w:rsidRPr="00411118">
              <w:rPr>
                <w:rStyle w:val="a9"/>
                <w:rFonts w:ascii="楷体" w:eastAsia="楷体" w:hAnsi="楷体"/>
                <w:b/>
                <w:noProof/>
              </w:rPr>
              <w:t>螺纹钢：宏观利多，低估值下修复估值</w:t>
            </w:r>
          </w:hyperlink>
        </w:p>
        <w:p w:rsidR="00DC47C0" w:rsidRDefault="00DC47C0">
          <w:pPr>
            <w:pStyle w:val="23"/>
            <w:tabs>
              <w:tab w:val="right" w:leader="dot" w:pos="8296"/>
            </w:tabs>
            <w:rPr>
              <w:rFonts w:eastAsiaTheme="minorEastAsia"/>
              <w:noProof/>
              <w:szCs w:val="22"/>
            </w:rPr>
          </w:pPr>
          <w:hyperlink w:anchor="_Toc149122853" w:history="1">
            <w:r w:rsidRPr="00411118">
              <w:rPr>
                <w:rStyle w:val="a9"/>
                <w:rFonts w:ascii="楷体" w:eastAsia="楷体" w:hAnsi="楷体"/>
                <w:b/>
                <w:noProof/>
              </w:rPr>
              <w:t>焦炭：宏观利多，低估值下修复估值</w:t>
            </w:r>
          </w:hyperlink>
        </w:p>
        <w:p w:rsidR="00DC47C0" w:rsidRDefault="00DC47C0">
          <w:pPr>
            <w:pStyle w:val="23"/>
            <w:tabs>
              <w:tab w:val="right" w:leader="dot" w:pos="8296"/>
            </w:tabs>
            <w:rPr>
              <w:rFonts w:eastAsiaTheme="minorEastAsia"/>
              <w:noProof/>
              <w:szCs w:val="22"/>
            </w:rPr>
          </w:pPr>
          <w:hyperlink w:anchor="_Toc149122854" w:history="1">
            <w:r w:rsidRPr="00411118">
              <w:rPr>
                <w:rStyle w:val="a9"/>
                <w:rFonts w:ascii="楷体" w:eastAsia="楷体" w:hAnsi="楷体"/>
                <w:b/>
                <w:noProof/>
              </w:rPr>
              <w:t>焦煤：宏观利多，低估值下修复估值</w:t>
            </w:r>
          </w:hyperlink>
        </w:p>
        <w:p w:rsidR="00DC47C0" w:rsidRDefault="00DC47C0">
          <w:pPr>
            <w:pStyle w:val="23"/>
            <w:tabs>
              <w:tab w:val="right" w:leader="dot" w:pos="8296"/>
            </w:tabs>
            <w:rPr>
              <w:rFonts w:eastAsiaTheme="minorEastAsia"/>
              <w:noProof/>
              <w:szCs w:val="22"/>
            </w:rPr>
          </w:pPr>
          <w:hyperlink w:anchor="_Toc149122855" w:history="1">
            <w:r w:rsidRPr="00411118">
              <w:rPr>
                <w:rStyle w:val="a9"/>
                <w:rFonts w:ascii="楷体" w:eastAsia="楷体" w:hAnsi="楷体"/>
                <w:b/>
                <w:noProof/>
              </w:rPr>
              <w:t>铜：宏观利好支撑铜价低位反弹</w:t>
            </w:r>
          </w:hyperlink>
        </w:p>
        <w:p w:rsidR="00DC47C0" w:rsidRDefault="00DC47C0">
          <w:pPr>
            <w:pStyle w:val="23"/>
            <w:tabs>
              <w:tab w:val="right" w:leader="dot" w:pos="8296"/>
            </w:tabs>
            <w:rPr>
              <w:rFonts w:eastAsiaTheme="minorEastAsia"/>
              <w:noProof/>
              <w:szCs w:val="22"/>
            </w:rPr>
          </w:pPr>
          <w:hyperlink w:anchor="_Toc149122856" w:history="1">
            <w:r w:rsidRPr="00411118">
              <w:rPr>
                <w:rStyle w:val="a9"/>
                <w:rFonts w:ascii="楷体" w:eastAsia="楷体" w:hAnsi="楷体"/>
                <w:b/>
                <w:noProof/>
              </w:rPr>
              <w:t>铝：宏观情绪走强，铝价下方支撑仍有韧性</w:t>
            </w:r>
          </w:hyperlink>
        </w:p>
        <w:p w:rsidR="00DC47C0" w:rsidRDefault="00DC47C0">
          <w:pPr>
            <w:pStyle w:val="23"/>
            <w:tabs>
              <w:tab w:val="right" w:leader="dot" w:pos="8296"/>
            </w:tabs>
            <w:rPr>
              <w:rFonts w:eastAsiaTheme="minorEastAsia"/>
              <w:noProof/>
              <w:szCs w:val="22"/>
            </w:rPr>
          </w:pPr>
          <w:hyperlink w:anchor="_Toc149122857" w:history="1">
            <w:r w:rsidRPr="00411118">
              <w:rPr>
                <w:rStyle w:val="a9"/>
                <w:rFonts w:ascii="楷体" w:eastAsia="楷体" w:hAnsi="楷体"/>
                <w:b/>
                <w:noProof/>
              </w:rPr>
              <w:t>锌：宏观情绪支撑锌价偏强震荡运行</w:t>
            </w:r>
          </w:hyperlink>
        </w:p>
        <w:p w:rsidR="00DC47C0" w:rsidRDefault="00DC47C0">
          <w:pPr>
            <w:pStyle w:val="23"/>
            <w:tabs>
              <w:tab w:val="right" w:leader="dot" w:pos="8296"/>
            </w:tabs>
            <w:rPr>
              <w:rFonts w:eastAsiaTheme="minorEastAsia"/>
              <w:noProof/>
              <w:szCs w:val="22"/>
            </w:rPr>
          </w:pPr>
          <w:hyperlink w:anchor="_Toc149122858" w:history="1">
            <w:r w:rsidRPr="00411118">
              <w:rPr>
                <w:rStyle w:val="a9"/>
                <w:rFonts w:ascii="楷体" w:eastAsia="楷体" w:hAnsi="楷体"/>
                <w:b/>
                <w:noProof/>
              </w:rPr>
              <w:t>镍：基本面弱势依旧，但短期内继续深跌动能不足</w:t>
            </w:r>
          </w:hyperlink>
        </w:p>
        <w:p w:rsidR="00DC47C0" w:rsidRDefault="00DC47C0">
          <w:pPr>
            <w:pStyle w:val="23"/>
            <w:tabs>
              <w:tab w:val="right" w:leader="dot" w:pos="8296"/>
            </w:tabs>
            <w:rPr>
              <w:rFonts w:eastAsiaTheme="minorEastAsia"/>
              <w:noProof/>
              <w:szCs w:val="22"/>
            </w:rPr>
          </w:pPr>
          <w:hyperlink w:anchor="_Toc149122859" w:history="1">
            <w:r w:rsidRPr="00411118">
              <w:rPr>
                <w:rStyle w:val="a9"/>
                <w:rFonts w:ascii="楷体" w:eastAsia="楷体" w:hAnsi="楷体"/>
                <w:b/>
                <w:noProof/>
              </w:rPr>
              <w:t>铅：铝价上方压力仍存</w:t>
            </w:r>
          </w:hyperlink>
        </w:p>
        <w:p w:rsidR="00DC47C0" w:rsidRDefault="00DC47C0">
          <w:pPr>
            <w:pStyle w:val="23"/>
            <w:tabs>
              <w:tab w:val="right" w:leader="dot" w:pos="8296"/>
            </w:tabs>
            <w:rPr>
              <w:rFonts w:eastAsiaTheme="minorEastAsia"/>
              <w:noProof/>
              <w:szCs w:val="22"/>
            </w:rPr>
          </w:pPr>
          <w:hyperlink w:anchor="_Toc149122860" w:history="1">
            <w:r w:rsidRPr="00411118">
              <w:rPr>
                <w:rStyle w:val="a9"/>
                <w:rFonts w:ascii="楷体" w:eastAsia="楷体" w:hAnsi="楷体"/>
                <w:b/>
                <w:noProof/>
              </w:rPr>
              <w:t>不锈钢：产业负反馈传导持续，上下空间皆有限</w:t>
            </w:r>
          </w:hyperlink>
        </w:p>
        <w:p w:rsidR="00DC47C0" w:rsidRDefault="00DC47C0">
          <w:pPr>
            <w:pStyle w:val="23"/>
            <w:tabs>
              <w:tab w:val="right" w:leader="dot" w:pos="8296"/>
            </w:tabs>
            <w:rPr>
              <w:rFonts w:eastAsiaTheme="minorEastAsia"/>
              <w:noProof/>
              <w:szCs w:val="22"/>
            </w:rPr>
          </w:pPr>
          <w:hyperlink w:anchor="_Toc149122861" w:history="1">
            <w:r w:rsidRPr="00411118">
              <w:rPr>
                <w:rStyle w:val="a9"/>
                <w:rFonts w:ascii="楷体" w:eastAsia="楷体" w:hAnsi="楷体"/>
                <w:b/>
                <w:noProof/>
              </w:rPr>
              <w:t>工业硅：多空因素交织，盘面或维持震荡</w:t>
            </w:r>
          </w:hyperlink>
        </w:p>
        <w:p w:rsidR="00DC47C0" w:rsidRDefault="00DC47C0">
          <w:pPr>
            <w:pStyle w:val="11"/>
            <w:tabs>
              <w:tab w:val="right" w:leader="dot" w:pos="8296"/>
            </w:tabs>
            <w:rPr>
              <w:rFonts w:eastAsiaTheme="minorEastAsia"/>
              <w:noProof/>
              <w:szCs w:val="22"/>
            </w:rPr>
          </w:pPr>
          <w:hyperlink w:anchor="_Toc149122862" w:history="1">
            <w:r w:rsidRPr="00411118">
              <w:rPr>
                <w:rStyle w:val="a9"/>
                <w:rFonts w:ascii="Times New Roman" w:eastAsia="楷体" w:hAnsi="Times New Roman"/>
                <w:b/>
                <w:noProof/>
              </w:rPr>
              <w:t>[</w:t>
            </w:r>
            <w:r w:rsidRPr="00411118">
              <w:rPr>
                <w:rStyle w:val="a9"/>
                <w:rFonts w:ascii="Times New Roman" w:eastAsia="楷体" w:hAnsi="Times New Roman"/>
                <w:b/>
                <w:noProof/>
              </w:rPr>
              <w:t>化工</w:t>
            </w:r>
            <w:r w:rsidRPr="00411118">
              <w:rPr>
                <w:rStyle w:val="a9"/>
                <w:rFonts w:ascii="Times New Roman" w:eastAsia="楷体" w:hAnsi="Times New Roman"/>
                <w:b/>
                <w:noProof/>
              </w:rPr>
              <w:t>]</w:t>
            </w:r>
          </w:hyperlink>
        </w:p>
        <w:p w:rsidR="00DC47C0" w:rsidRDefault="00DC47C0">
          <w:pPr>
            <w:pStyle w:val="23"/>
            <w:tabs>
              <w:tab w:val="right" w:leader="dot" w:pos="8296"/>
            </w:tabs>
            <w:rPr>
              <w:rFonts w:eastAsiaTheme="minorEastAsia"/>
              <w:noProof/>
              <w:szCs w:val="22"/>
            </w:rPr>
          </w:pPr>
          <w:hyperlink w:anchor="_Toc149122863" w:history="1">
            <w:r w:rsidRPr="00411118">
              <w:rPr>
                <w:rStyle w:val="a9"/>
                <w:rFonts w:ascii="Times New Roman" w:eastAsia="楷体" w:hAnsi="Times New Roman"/>
                <w:b/>
                <w:noProof/>
              </w:rPr>
              <w:t>天然橡胶</w:t>
            </w:r>
            <w:r w:rsidRPr="00411118">
              <w:rPr>
                <w:rStyle w:val="a9"/>
                <w:rFonts w:ascii="Times New Roman" w:eastAsia="楷体" w:hAnsi="Times New Roman"/>
                <w:b/>
                <w:noProof/>
              </w:rPr>
              <w:t>:</w:t>
            </w:r>
            <w:r w:rsidRPr="00411118">
              <w:rPr>
                <w:rStyle w:val="a9"/>
                <w:rFonts w:ascii="楷体" w:eastAsia="楷体" w:hAnsi="楷体"/>
                <w:b/>
                <w:noProof/>
              </w:rPr>
              <w:t xml:space="preserve"> 向上驱动力不明显，天胶或区间震荡为主</w:t>
            </w:r>
          </w:hyperlink>
        </w:p>
        <w:p w:rsidR="00DC47C0" w:rsidRDefault="00DC47C0">
          <w:pPr>
            <w:pStyle w:val="23"/>
            <w:tabs>
              <w:tab w:val="right" w:leader="dot" w:pos="8296"/>
            </w:tabs>
            <w:rPr>
              <w:rFonts w:eastAsiaTheme="minorEastAsia"/>
              <w:noProof/>
              <w:szCs w:val="22"/>
            </w:rPr>
          </w:pPr>
          <w:hyperlink w:anchor="_Toc149122864" w:history="1">
            <w:r w:rsidRPr="00411118">
              <w:rPr>
                <w:rStyle w:val="a9"/>
                <w:rFonts w:ascii="楷体" w:eastAsia="楷体" w:hAnsi="楷体"/>
                <w:b/>
                <w:noProof/>
              </w:rPr>
              <w:t>PTA：</w:t>
            </w:r>
            <w:r w:rsidRPr="00411118">
              <w:rPr>
                <w:rStyle w:val="a9"/>
                <w:rFonts w:ascii="Calibri" w:eastAsia="楷体" w:hAnsi="Calibri" w:cs="Calibri"/>
                <w:b/>
                <w:noProof/>
              </w:rPr>
              <w:t> </w:t>
            </w:r>
            <w:r w:rsidRPr="00411118">
              <w:rPr>
                <w:rStyle w:val="a9"/>
                <w:rFonts w:ascii="楷体" w:eastAsia="楷体" w:hAnsi="楷体"/>
                <w:b/>
                <w:noProof/>
              </w:rPr>
              <w:t>供需矛盾暂时缓解 但向上驱动仍不足</w:t>
            </w:r>
          </w:hyperlink>
        </w:p>
        <w:p w:rsidR="00DC47C0" w:rsidRDefault="00DC47C0">
          <w:pPr>
            <w:pStyle w:val="23"/>
            <w:tabs>
              <w:tab w:val="right" w:leader="dot" w:pos="8296"/>
            </w:tabs>
            <w:rPr>
              <w:rFonts w:eastAsiaTheme="minorEastAsia"/>
              <w:noProof/>
              <w:szCs w:val="22"/>
            </w:rPr>
          </w:pPr>
          <w:hyperlink w:anchor="_Toc149122865" w:history="1">
            <w:r w:rsidRPr="00411118">
              <w:rPr>
                <w:rStyle w:val="a9"/>
                <w:rFonts w:ascii="楷体" w:eastAsia="楷体" w:hAnsi="楷体"/>
                <w:b/>
                <w:noProof/>
              </w:rPr>
              <w:t>PVC：高库存+弱复苏 驱动不足</w:t>
            </w:r>
          </w:hyperlink>
        </w:p>
        <w:p w:rsidR="00DC47C0" w:rsidRDefault="00DC47C0">
          <w:pPr>
            <w:pStyle w:val="23"/>
            <w:tabs>
              <w:tab w:val="right" w:leader="dot" w:pos="8296"/>
            </w:tabs>
            <w:rPr>
              <w:rFonts w:eastAsiaTheme="minorEastAsia"/>
              <w:noProof/>
              <w:szCs w:val="22"/>
            </w:rPr>
          </w:pPr>
          <w:hyperlink w:anchor="_Toc149122866" w:history="1">
            <w:r w:rsidRPr="00411118">
              <w:rPr>
                <w:rStyle w:val="a9"/>
                <w:rFonts w:ascii="楷体" w:eastAsia="楷体" w:hAnsi="楷体"/>
                <w:b/>
                <w:noProof/>
              </w:rPr>
              <w:t>聚烯烃：成本支撑继续减弱 聚烯烃偏弱整理为主</w:t>
            </w:r>
          </w:hyperlink>
        </w:p>
        <w:p w:rsidR="00DC47C0" w:rsidRDefault="00DC47C0">
          <w:pPr>
            <w:pStyle w:val="23"/>
            <w:tabs>
              <w:tab w:val="right" w:leader="dot" w:pos="8296"/>
            </w:tabs>
            <w:rPr>
              <w:rFonts w:eastAsiaTheme="minorEastAsia"/>
              <w:noProof/>
              <w:szCs w:val="22"/>
            </w:rPr>
          </w:pPr>
          <w:hyperlink w:anchor="_Toc149122867" w:history="1">
            <w:r w:rsidRPr="00411118">
              <w:rPr>
                <w:rStyle w:val="a9"/>
                <w:rFonts w:ascii="楷体" w:eastAsia="楷体" w:hAnsi="楷体"/>
                <w:b/>
                <w:noProof/>
              </w:rPr>
              <w:t>MEG：跟随煤价估值修复反弹</w:t>
            </w:r>
          </w:hyperlink>
        </w:p>
        <w:p w:rsidR="00DC47C0" w:rsidRDefault="00DC47C0">
          <w:pPr>
            <w:pStyle w:val="23"/>
            <w:tabs>
              <w:tab w:val="right" w:leader="dot" w:pos="8296"/>
            </w:tabs>
            <w:rPr>
              <w:rFonts w:eastAsiaTheme="minorEastAsia"/>
              <w:noProof/>
              <w:szCs w:val="22"/>
            </w:rPr>
          </w:pPr>
          <w:hyperlink w:anchor="_Toc149122868" w:history="1">
            <w:r w:rsidRPr="00411118">
              <w:rPr>
                <w:rStyle w:val="a9"/>
                <w:rFonts w:ascii="楷体" w:eastAsia="楷体" w:hAnsi="楷体"/>
                <w:b/>
                <w:noProof/>
              </w:rPr>
              <w:t>玻璃：宏观情绪利好，震荡反弹</w:t>
            </w:r>
          </w:hyperlink>
        </w:p>
        <w:p w:rsidR="00DC47C0" w:rsidRDefault="00DC47C0">
          <w:pPr>
            <w:pStyle w:val="23"/>
            <w:tabs>
              <w:tab w:val="right" w:leader="dot" w:pos="8296"/>
            </w:tabs>
            <w:rPr>
              <w:rFonts w:eastAsiaTheme="minorEastAsia"/>
              <w:noProof/>
              <w:szCs w:val="22"/>
            </w:rPr>
          </w:pPr>
          <w:hyperlink w:anchor="_Toc149122869" w:history="1">
            <w:r w:rsidRPr="00411118">
              <w:rPr>
                <w:rStyle w:val="a9"/>
                <w:rFonts w:ascii="楷体" w:eastAsia="楷体" w:hAnsi="楷体"/>
                <w:b/>
                <w:noProof/>
              </w:rPr>
              <w:t>纯碱：现货价格延续下跌，震荡走弱</w:t>
            </w:r>
          </w:hyperlink>
        </w:p>
        <w:p w:rsidR="00DC47C0" w:rsidRDefault="00DC47C0">
          <w:pPr>
            <w:pStyle w:val="11"/>
            <w:tabs>
              <w:tab w:val="right" w:leader="dot" w:pos="8296"/>
            </w:tabs>
            <w:rPr>
              <w:rFonts w:eastAsiaTheme="minorEastAsia"/>
              <w:noProof/>
              <w:szCs w:val="22"/>
            </w:rPr>
          </w:pPr>
          <w:hyperlink w:anchor="_Toc149122870" w:history="1">
            <w:r w:rsidRPr="00411118">
              <w:rPr>
                <w:rStyle w:val="a9"/>
                <w:rFonts w:ascii="Times New Roman" w:eastAsia="楷体" w:hAnsi="Times New Roman"/>
                <w:b/>
                <w:noProof/>
              </w:rPr>
              <w:t>[</w:t>
            </w:r>
            <w:r w:rsidRPr="00411118">
              <w:rPr>
                <w:rStyle w:val="a9"/>
                <w:rFonts w:ascii="Times New Roman" w:eastAsia="楷体" w:hAnsi="Times New Roman"/>
                <w:b/>
                <w:noProof/>
              </w:rPr>
              <w:t>农产品</w:t>
            </w:r>
            <w:r w:rsidRPr="00411118">
              <w:rPr>
                <w:rStyle w:val="a9"/>
                <w:rFonts w:ascii="Times New Roman" w:eastAsia="楷体" w:hAnsi="Times New Roman"/>
                <w:b/>
                <w:noProof/>
              </w:rPr>
              <w:t>]</w:t>
            </w:r>
          </w:hyperlink>
        </w:p>
        <w:p w:rsidR="00DC47C0" w:rsidRDefault="00DC47C0">
          <w:pPr>
            <w:pStyle w:val="23"/>
            <w:tabs>
              <w:tab w:val="right" w:leader="dot" w:pos="8296"/>
            </w:tabs>
            <w:rPr>
              <w:rFonts w:eastAsiaTheme="minorEastAsia"/>
              <w:noProof/>
              <w:szCs w:val="22"/>
            </w:rPr>
          </w:pPr>
          <w:hyperlink w:anchor="_Toc149122871" w:history="1">
            <w:r w:rsidRPr="00411118">
              <w:rPr>
                <w:rStyle w:val="a9"/>
                <w:rFonts w:ascii="楷体" w:eastAsia="楷体" w:hAnsi="楷体"/>
                <w:b/>
                <w:noProof/>
              </w:rPr>
              <w:t>豆粕/菜粕：跟随美豆震荡整理</w:t>
            </w:r>
          </w:hyperlink>
        </w:p>
        <w:p w:rsidR="00DC47C0" w:rsidRDefault="00DC47C0">
          <w:pPr>
            <w:pStyle w:val="23"/>
            <w:tabs>
              <w:tab w:val="right" w:leader="dot" w:pos="8296"/>
            </w:tabs>
            <w:rPr>
              <w:rFonts w:eastAsiaTheme="minorEastAsia"/>
              <w:noProof/>
              <w:szCs w:val="22"/>
            </w:rPr>
          </w:pPr>
          <w:hyperlink w:anchor="_Toc149122872" w:history="1">
            <w:r w:rsidRPr="00411118">
              <w:rPr>
                <w:rStyle w:val="a9"/>
                <w:rFonts w:ascii="楷体" w:eastAsia="楷体" w:hAnsi="楷体"/>
                <w:b/>
                <w:noProof/>
              </w:rPr>
              <w:t>油脂：短期缺乏驱动，宽幅震荡</w:t>
            </w:r>
          </w:hyperlink>
        </w:p>
        <w:p w:rsidR="00DC47C0" w:rsidRDefault="00DC47C0">
          <w:pPr>
            <w:pStyle w:val="23"/>
            <w:tabs>
              <w:tab w:val="right" w:leader="dot" w:pos="8296"/>
            </w:tabs>
            <w:rPr>
              <w:rFonts w:eastAsiaTheme="minorEastAsia"/>
              <w:noProof/>
              <w:szCs w:val="22"/>
            </w:rPr>
          </w:pPr>
          <w:hyperlink w:anchor="_Toc149122873" w:history="1">
            <w:r w:rsidRPr="00411118">
              <w:rPr>
                <w:rStyle w:val="a9"/>
                <w:rFonts w:ascii="楷体" w:eastAsia="楷体" w:hAnsi="楷体"/>
                <w:b/>
                <w:bCs/>
                <w:noProof/>
              </w:rPr>
              <w:t>玉米与淀粉：</w:t>
            </w:r>
            <w:r w:rsidRPr="00411118">
              <w:rPr>
                <w:rStyle w:val="a9"/>
                <w:rFonts w:ascii="楷体" w:eastAsia="楷体" w:hAnsi="楷体"/>
                <w:b/>
                <w:noProof/>
              </w:rPr>
              <w:t>期价继续震荡反弹</w:t>
            </w:r>
          </w:hyperlink>
        </w:p>
        <w:p w:rsidR="00DC47C0" w:rsidRDefault="00DC47C0">
          <w:pPr>
            <w:pStyle w:val="23"/>
            <w:tabs>
              <w:tab w:val="right" w:leader="dot" w:pos="8296"/>
            </w:tabs>
            <w:rPr>
              <w:rFonts w:eastAsiaTheme="minorEastAsia"/>
              <w:noProof/>
              <w:szCs w:val="22"/>
            </w:rPr>
          </w:pPr>
          <w:hyperlink w:anchor="_Toc149122874" w:history="1">
            <w:r w:rsidRPr="00411118">
              <w:rPr>
                <w:rStyle w:val="a9"/>
                <w:rFonts w:ascii="楷体" w:eastAsia="楷体" w:hAnsi="楷体"/>
                <w:b/>
                <w:bCs/>
                <w:noProof/>
              </w:rPr>
              <w:t>畜禽养殖：鸡蛋现货带动期价继续下跌</w:t>
            </w:r>
          </w:hyperlink>
        </w:p>
        <w:p w:rsidR="00DC47C0" w:rsidRDefault="00DC47C0">
          <w:pPr>
            <w:pStyle w:val="23"/>
            <w:tabs>
              <w:tab w:val="right" w:leader="dot" w:pos="8296"/>
            </w:tabs>
            <w:rPr>
              <w:rFonts w:eastAsiaTheme="minorEastAsia"/>
              <w:noProof/>
              <w:szCs w:val="22"/>
            </w:rPr>
          </w:pPr>
          <w:hyperlink w:anchor="_Toc149122875" w:history="1">
            <w:r w:rsidRPr="00411118">
              <w:rPr>
                <w:rStyle w:val="a9"/>
                <w:rFonts w:ascii="楷体" w:eastAsia="楷体" w:hAnsi="楷体"/>
                <w:b/>
                <w:noProof/>
              </w:rPr>
              <w:t>郑棉：金叉后短期技术性反弹，短多或观望</w:t>
            </w:r>
          </w:hyperlink>
        </w:p>
        <w:p w:rsidR="00DC47C0" w:rsidRDefault="00DC47C0">
          <w:pPr>
            <w:pStyle w:val="23"/>
            <w:tabs>
              <w:tab w:val="right" w:leader="dot" w:pos="8296"/>
            </w:tabs>
            <w:rPr>
              <w:rFonts w:eastAsiaTheme="minorEastAsia"/>
              <w:noProof/>
              <w:szCs w:val="22"/>
            </w:rPr>
          </w:pPr>
          <w:hyperlink w:anchor="_Toc149122876" w:history="1">
            <w:r w:rsidRPr="00411118">
              <w:rPr>
                <w:rStyle w:val="a9"/>
                <w:rFonts w:ascii="楷体" w:eastAsia="楷体" w:hAnsi="楷体"/>
                <w:b/>
                <w:noProof/>
              </w:rPr>
              <w:t>白糖：6900附近逢高布局空单</w:t>
            </w:r>
          </w:hyperlink>
        </w:p>
        <w:p w:rsidR="00DC47C0" w:rsidRDefault="00DC47C0">
          <w:pPr>
            <w:pStyle w:val="11"/>
            <w:tabs>
              <w:tab w:val="right" w:leader="dot" w:pos="8296"/>
            </w:tabs>
            <w:rPr>
              <w:rFonts w:eastAsiaTheme="minorEastAsia"/>
              <w:noProof/>
              <w:szCs w:val="22"/>
            </w:rPr>
          </w:pPr>
          <w:hyperlink w:anchor="_Toc149122877" w:history="1">
            <w:r w:rsidRPr="00411118">
              <w:rPr>
                <w:rStyle w:val="a9"/>
                <w:rFonts w:ascii="Times New Roman" w:eastAsia="楷体" w:hAnsi="Times New Roman"/>
                <w:b/>
                <w:noProof/>
              </w:rPr>
              <w:t>[</w:t>
            </w:r>
            <w:r w:rsidRPr="00411118">
              <w:rPr>
                <w:rStyle w:val="a9"/>
                <w:rFonts w:ascii="Times New Roman" w:eastAsia="楷体" w:hAnsi="Times New Roman"/>
                <w:b/>
                <w:noProof/>
              </w:rPr>
              <w:t>指数</w:t>
            </w:r>
            <w:r w:rsidRPr="00411118">
              <w:rPr>
                <w:rStyle w:val="a9"/>
                <w:rFonts w:ascii="Times New Roman" w:eastAsia="楷体" w:hAnsi="Times New Roman"/>
                <w:b/>
                <w:noProof/>
              </w:rPr>
              <w:t>]</w:t>
            </w:r>
          </w:hyperlink>
        </w:p>
        <w:p w:rsidR="00DC47C0" w:rsidRDefault="00DC47C0">
          <w:pPr>
            <w:pStyle w:val="23"/>
            <w:tabs>
              <w:tab w:val="right" w:leader="dot" w:pos="8296"/>
            </w:tabs>
            <w:rPr>
              <w:rFonts w:eastAsiaTheme="minorEastAsia"/>
              <w:noProof/>
              <w:szCs w:val="22"/>
            </w:rPr>
          </w:pPr>
          <w:hyperlink w:anchor="_Toc149122878" w:history="1">
            <w:r w:rsidRPr="00411118">
              <w:rPr>
                <w:rStyle w:val="a9"/>
                <w:rFonts w:ascii="Times New Roman" w:eastAsia="楷体" w:hAnsi="Times New Roman"/>
                <w:b/>
                <w:noProof/>
              </w:rPr>
              <w:t>集运指数（欧线）：即期运价有所支撑，船东挺价效果初现，但或难以持续</w:t>
            </w:r>
          </w:hyperlink>
        </w:p>
        <w:p w:rsidR="003F56A5" w:rsidRPr="00152664" w:rsidRDefault="00CC3FFA" w:rsidP="00152664">
          <w:pPr>
            <w:pStyle w:val="11"/>
            <w:tabs>
              <w:tab w:val="right" w:leader="dot" w:pos="8296"/>
            </w:tabs>
            <w:rPr>
              <w:rFonts w:eastAsiaTheme="minorEastAsia"/>
              <w:noProof/>
              <w:szCs w:val="22"/>
            </w:rPr>
          </w:pPr>
          <w:r>
            <w:rPr>
              <w:bCs/>
            </w:rPr>
            <w:fldChar w:fldCharType="end"/>
          </w:r>
          <w:r w:rsidR="00152664">
            <w:rPr>
              <w:rFonts w:eastAsiaTheme="minorEastAsia"/>
              <w:noProof/>
              <w:szCs w:val="22"/>
            </w:rPr>
            <w:t xml:space="preserve"> </w:t>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912284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9122847"/>
      <w:bookmarkEnd w:id="4"/>
      <w:r>
        <w:rPr>
          <w:rFonts w:ascii="Times New Roman" w:eastAsia="楷体" w:hAnsi="Times New Roman" w:hint="eastAsia"/>
          <w:b/>
          <w:color w:val="000000" w:themeColor="text1"/>
          <w:sz w:val="24"/>
          <w:szCs w:val="24"/>
        </w:rPr>
        <w:t>股指：</w:t>
      </w:r>
      <w:bookmarkEnd w:id="6"/>
      <w:bookmarkEnd w:id="7"/>
      <w:r w:rsidR="00DC47C0" w:rsidRPr="00DC47C0">
        <w:rPr>
          <w:rFonts w:ascii="Times New Roman" w:eastAsia="楷体" w:hAnsi="Times New Roman" w:hint="eastAsia"/>
          <w:b/>
          <w:color w:val="000000" w:themeColor="text1"/>
          <w:sz w:val="24"/>
          <w:szCs w:val="24"/>
        </w:rPr>
        <w:t>逢低分批布局指数多单</w:t>
      </w:r>
      <w:bookmarkEnd w:id="8"/>
    </w:p>
    <w:p w:rsidR="003F56A5" w:rsidRDefault="00DC47C0" w:rsidP="00D14B3E">
      <w:pPr>
        <w:ind w:leftChars="300" w:left="630"/>
        <w:rPr>
          <w:rFonts w:ascii="Times New Roman" w:eastAsia="楷体" w:hAnsi="Times New Roman"/>
          <w:color w:val="000000" w:themeColor="text1"/>
          <w:sz w:val="24"/>
          <w:szCs w:val="24"/>
        </w:rPr>
      </w:pPr>
      <w:r w:rsidRPr="00DC47C0">
        <w:rPr>
          <w:rFonts w:ascii="Times New Roman" w:eastAsia="楷体" w:hAnsi="Times New Roman" w:hint="eastAsia"/>
          <w:color w:val="000000" w:themeColor="text1"/>
          <w:sz w:val="24"/>
          <w:szCs w:val="24"/>
        </w:rPr>
        <w:t>万亿国债增发释放中央财政开始加杠杆的积极信号，汇金继续增持</w:t>
      </w:r>
      <w:r w:rsidRPr="00DC47C0">
        <w:rPr>
          <w:rFonts w:ascii="Times New Roman" w:eastAsia="楷体" w:hAnsi="Times New Roman" w:hint="eastAsia"/>
          <w:color w:val="000000" w:themeColor="text1"/>
          <w:sz w:val="24"/>
          <w:szCs w:val="24"/>
        </w:rPr>
        <w:t>A</w:t>
      </w:r>
      <w:r w:rsidRPr="00DC47C0">
        <w:rPr>
          <w:rFonts w:ascii="Times New Roman" w:eastAsia="楷体" w:hAnsi="Times New Roman" w:hint="eastAsia"/>
          <w:color w:val="000000" w:themeColor="text1"/>
          <w:sz w:val="24"/>
          <w:szCs w:val="24"/>
        </w:rPr>
        <w:t>股，富时</w:t>
      </w:r>
      <w:r w:rsidRPr="00DC47C0">
        <w:rPr>
          <w:rFonts w:ascii="Times New Roman" w:eastAsia="楷体" w:hAnsi="Times New Roman" w:hint="eastAsia"/>
          <w:color w:val="000000" w:themeColor="text1"/>
          <w:sz w:val="24"/>
          <w:szCs w:val="24"/>
        </w:rPr>
        <w:t>A50</w:t>
      </w:r>
      <w:r w:rsidRPr="00DC47C0">
        <w:rPr>
          <w:rFonts w:ascii="Times New Roman" w:eastAsia="楷体" w:hAnsi="Times New Roman" w:hint="eastAsia"/>
          <w:color w:val="000000" w:themeColor="text1"/>
          <w:sz w:val="24"/>
          <w:szCs w:val="24"/>
        </w:rPr>
        <w:t>期货拉涨近</w:t>
      </w:r>
      <w:r w:rsidRPr="00DC47C0">
        <w:rPr>
          <w:rFonts w:ascii="Times New Roman" w:eastAsia="楷体" w:hAnsi="Times New Roman" w:hint="eastAsia"/>
          <w:color w:val="000000" w:themeColor="text1"/>
          <w:sz w:val="24"/>
          <w:szCs w:val="24"/>
        </w:rPr>
        <w:t>2%</w:t>
      </w:r>
      <w:r w:rsidRPr="00DC47C0">
        <w:rPr>
          <w:rFonts w:ascii="Times New Roman" w:eastAsia="楷体" w:hAnsi="Times New Roman" w:hint="eastAsia"/>
          <w:color w:val="000000" w:themeColor="text1"/>
          <w:sz w:val="24"/>
          <w:szCs w:val="24"/>
        </w:rPr>
        <w:t>，有利于市场风险偏好回升，打破市场信心负反馈，但外资流出问题尚未解决，建议逢低分批布局指数多单</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912284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9122849"/>
      <w:r>
        <w:rPr>
          <w:rFonts w:ascii="Times New Roman" w:eastAsia="楷体" w:hAnsi="Times New Roman" w:hint="eastAsia"/>
          <w:b/>
          <w:color w:val="000000" w:themeColor="text1"/>
          <w:sz w:val="24"/>
          <w:szCs w:val="24"/>
        </w:rPr>
        <w:t>贵金属：</w:t>
      </w:r>
      <w:r w:rsidR="006755C1" w:rsidRPr="006755C1">
        <w:rPr>
          <w:rFonts w:ascii="Times New Roman" w:eastAsia="楷体" w:hAnsi="Times New Roman" w:hint="eastAsia"/>
          <w:b/>
          <w:color w:val="000000" w:themeColor="text1"/>
          <w:sz w:val="24"/>
          <w:szCs w:val="24"/>
        </w:rPr>
        <w:t>欧元区</w:t>
      </w:r>
      <w:r w:rsidR="006755C1" w:rsidRPr="006755C1">
        <w:rPr>
          <w:rFonts w:ascii="Times New Roman" w:eastAsia="楷体" w:hAnsi="Times New Roman" w:hint="eastAsia"/>
          <w:b/>
          <w:color w:val="000000" w:themeColor="text1"/>
          <w:sz w:val="24"/>
          <w:szCs w:val="24"/>
        </w:rPr>
        <w:t>PMI</w:t>
      </w:r>
      <w:r w:rsidR="006755C1" w:rsidRPr="006755C1">
        <w:rPr>
          <w:rFonts w:ascii="Times New Roman" w:eastAsia="楷体" w:hAnsi="Times New Roman" w:hint="eastAsia"/>
          <w:b/>
          <w:color w:val="000000" w:themeColor="text1"/>
          <w:sz w:val="24"/>
          <w:szCs w:val="24"/>
        </w:rPr>
        <w:t>不及预期，内盘贵金属窄幅震荡</w:t>
      </w:r>
      <w:bookmarkEnd w:id="10"/>
    </w:p>
    <w:p w:rsidR="003F56A5" w:rsidRDefault="006755C1">
      <w:pPr>
        <w:ind w:leftChars="300" w:left="630"/>
        <w:rPr>
          <w:rFonts w:ascii="Times New Roman" w:eastAsia="楷体" w:hAnsi="Times New Roman"/>
          <w:sz w:val="24"/>
          <w:szCs w:val="24"/>
        </w:rPr>
      </w:pPr>
      <w:r w:rsidRPr="006755C1">
        <w:rPr>
          <w:rFonts w:ascii="Times New Roman" w:eastAsia="楷体" w:hAnsi="Times New Roman" w:hint="eastAsia"/>
          <w:color w:val="000000" w:themeColor="text1"/>
          <w:sz w:val="24"/>
          <w:szCs w:val="24"/>
        </w:rPr>
        <w:t>10</w:t>
      </w:r>
      <w:r w:rsidRPr="006755C1">
        <w:rPr>
          <w:rFonts w:ascii="Times New Roman" w:eastAsia="楷体" w:hAnsi="Times New Roman" w:hint="eastAsia"/>
          <w:color w:val="000000" w:themeColor="text1"/>
          <w:sz w:val="24"/>
          <w:szCs w:val="24"/>
        </w:rPr>
        <w:t>年期美债收益率跌</w:t>
      </w:r>
      <w:r w:rsidRPr="006755C1">
        <w:rPr>
          <w:rFonts w:ascii="Times New Roman" w:eastAsia="楷体" w:hAnsi="Times New Roman" w:hint="eastAsia"/>
          <w:color w:val="000000" w:themeColor="text1"/>
          <w:sz w:val="24"/>
          <w:szCs w:val="24"/>
        </w:rPr>
        <w:t>2.2</w:t>
      </w:r>
      <w:r w:rsidRPr="006755C1">
        <w:rPr>
          <w:rFonts w:ascii="Times New Roman" w:eastAsia="楷体" w:hAnsi="Times New Roman" w:hint="eastAsia"/>
          <w:color w:val="000000" w:themeColor="text1"/>
          <w:sz w:val="24"/>
          <w:szCs w:val="24"/>
        </w:rPr>
        <w:t>个基点报</w:t>
      </w:r>
      <w:r w:rsidRPr="006755C1">
        <w:rPr>
          <w:rFonts w:ascii="Times New Roman" w:eastAsia="楷体" w:hAnsi="Times New Roman" w:hint="eastAsia"/>
          <w:color w:val="000000" w:themeColor="text1"/>
          <w:sz w:val="24"/>
          <w:szCs w:val="24"/>
        </w:rPr>
        <w:t>4.827%</w:t>
      </w:r>
      <w:r w:rsidRPr="006755C1">
        <w:rPr>
          <w:rFonts w:ascii="Times New Roman" w:eastAsia="楷体" w:hAnsi="Times New Roman" w:hint="eastAsia"/>
          <w:color w:val="000000" w:themeColor="text1"/>
          <w:sz w:val="24"/>
          <w:szCs w:val="24"/>
        </w:rPr>
        <w:t>，沪金、沪银窄幅震荡。欧元区</w:t>
      </w:r>
      <w:r w:rsidRPr="006755C1">
        <w:rPr>
          <w:rFonts w:ascii="Times New Roman" w:eastAsia="楷体" w:hAnsi="Times New Roman" w:hint="eastAsia"/>
          <w:color w:val="000000" w:themeColor="text1"/>
          <w:sz w:val="24"/>
          <w:szCs w:val="24"/>
        </w:rPr>
        <w:t>10</w:t>
      </w:r>
      <w:r w:rsidRPr="006755C1">
        <w:rPr>
          <w:rFonts w:ascii="Times New Roman" w:eastAsia="楷体" w:hAnsi="Times New Roman" w:hint="eastAsia"/>
          <w:color w:val="000000" w:themeColor="text1"/>
          <w:sz w:val="24"/>
          <w:szCs w:val="24"/>
        </w:rPr>
        <w:t>月制造业</w:t>
      </w:r>
      <w:r w:rsidRPr="006755C1">
        <w:rPr>
          <w:rFonts w:ascii="Times New Roman" w:eastAsia="楷体" w:hAnsi="Times New Roman" w:hint="eastAsia"/>
          <w:color w:val="000000" w:themeColor="text1"/>
          <w:sz w:val="24"/>
          <w:szCs w:val="24"/>
        </w:rPr>
        <w:t>PMI</w:t>
      </w:r>
      <w:r w:rsidRPr="006755C1">
        <w:rPr>
          <w:rFonts w:ascii="Times New Roman" w:eastAsia="楷体" w:hAnsi="Times New Roman" w:hint="eastAsia"/>
          <w:color w:val="000000" w:themeColor="text1"/>
          <w:sz w:val="24"/>
          <w:szCs w:val="24"/>
        </w:rPr>
        <w:t>初值录得</w:t>
      </w:r>
      <w:r w:rsidRPr="006755C1">
        <w:rPr>
          <w:rFonts w:ascii="Times New Roman" w:eastAsia="楷体" w:hAnsi="Times New Roman" w:hint="eastAsia"/>
          <w:color w:val="000000" w:themeColor="text1"/>
          <w:sz w:val="24"/>
          <w:szCs w:val="24"/>
        </w:rPr>
        <w:t>43</w:t>
      </w:r>
      <w:r w:rsidRPr="006755C1">
        <w:rPr>
          <w:rFonts w:ascii="Times New Roman" w:eastAsia="楷体" w:hAnsi="Times New Roman" w:hint="eastAsia"/>
          <w:color w:val="000000" w:themeColor="text1"/>
          <w:sz w:val="24"/>
          <w:szCs w:val="24"/>
        </w:rPr>
        <w:t>，服务业</w:t>
      </w:r>
      <w:r w:rsidRPr="006755C1">
        <w:rPr>
          <w:rFonts w:ascii="Times New Roman" w:eastAsia="楷体" w:hAnsi="Times New Roman" w:hint="eastAsia"/>
          <w:color w:val="000000" w:themeColor="text1"/>
          <w:sz w:val="24"/>
          <w:szCs w:val="24"/>
        </w:rPr>
        <w:t>PMI</w:t>
      </w:r>
      <w:r w:rsidRPr="006755C1">
        <w:rPr>
          <w:rFonts w:ascii="Times New Roman" w:eastAsia="楷体" w:hAnsi="Times New Roman" w:hint="eastAsia"/>
          <w:color w:val="000000" w:themeColor="text1"/>
          <w:sz w:val="24"/>
          <w:szCs w:val="24"/>
        </w:rPr>
        <w:t>初值录得</w:t>
      </w:r>
      <w:r w:rsidRPr="006755C1">
        <w:rPr>
          <w:rFonts w:ascii="Times New Roman" w:eastAsia="楷体" w:hAnsi="Times New Roman" w:hint="eastAsia"/>
          <w:color w:val="000000" w:themeColor="text1"/>
          <w:sz w:val="24"/>
          <w:szCs w:val="24"/>
        </w:rPr>
        <w:t>47.8</w:t>
      </w:r>
      <w:r w:rsidRPr="006755C1">
        <w:rPr>
          <w:rFonts w:ascii="Times New Roman" w:eastAsia="楷体" w:hAnsi="Times New Roman" w:hint="eastAsia"/>
          <w:color w:val="000000" w:themeColor="text1"/>
          <w:sz w:val="24"/>
          <w:szCs w:val="24"/>
        </w:rPr>
        <w:t>，综合</w:t>
      </w:r>
      <w:r w:rsidRPr="006755C1">
        <w:rPr>
          <w:rFonts w:ascii="Times New Roman" w:eastAsia="楷体" w:hAnsi="Times New Roman" w:hint="eastAsia"/>
          <w:color w:val="000000" w:themeColor="text1"/>
          <w:sz w:val="24"/>
          <w:szCs w:val="24"/>
        </w:rPr>
        <w:t>PMI</w:t>
      </w:r>
      <w:r w:rsidRPr="006755C1">
        <w:rPr>
          <w:rFonts w:ascii="Times New Roman" w:eastAsia="楷体" w:hAnsi="Times New Roman" w:hint="eastAsia"/>
          <w:color w:val="000000" w:themeColor="text1"/>
          <w:sz w:val="24"/>
          <w:szCs w:val="24"/>
        </w:rPr>
        <w:t>初值</w:t>
      </w:r>
      <w:r w:rsidRPr="006755C1">
        <w:rPr>
          <w:rFonts w:ascii="Times New Roman" w:eastAsia="楷体" w:hAnsi="Times New Roman" w:hint="eastAsia"/>
          <w:color w:val="000000" w:themeColor="text1"/>
          <w:sz w:val="24"/>
          <w:szCs w:val="24"/>
        </w:rPr>
        <w:t>46.5</w:t>
      </w:r>
      <w:r w:rsidRPr="006755C1">
        <w:rPr>
          <w:rFonts w:ascii="Times New Roman" w:eastAsia="楷体" w:hAnsi="Times New Roman" w:hint="eastAsia"/>
          <w:color w:val="000000" w:themeColor="text1"/>
          <w:sz w:val="24"/>
          <w:szCs w:val="24"/>
        </w:rPr>
        <w:t>，不及预期及前值。美债收益率日内小幅回落，周内留意美国</w:t>
      </w:r>
      <w:r w:rsidRPr="006755C1">
        <w:rPr>
          <w:rFonts w:ascii="Times New Roman" w:eastAsia="楷体" w:hAnsi="Times New Roman" w:hint="eastAsia"/>
          <w:color w:val="000000" w:themeColor="text1"/>
          <w:sz w:val="24"/>
          <w:szCs w:val="24"/>
        </w:rPr>
        <w:t>MarkitPMI</w:t>
      </w:r>
      <w:r w:rsidRPr="006755C1">
        <w:rPr>
          <w:rFonts w:ascii="Times New Roman" w:eastAsia="楷体" w:hAnsi="Times New Roman" w:hint="eastAsia"/>
          <w:color w:val="000000" w:themeColor="text1"/>
          <w:sz w:val="24"/>
          <w:szCs w:val="24"/>
        </w:rPr>
        <w:t>、美国三季度实际</w:t>
      </w:r>
      <w:r w:rsidRPr="006755C1">
        <w:rPr>
          <w:rFonts w:ascii="Times New Roman" w:eastAsia="楷体" w:hAnsi="Times New Roman" w:hint="eastAsia"/>
          <w:color w:val="000000" w:themeColor="text1"/>
          <w:sz w:val="24"/>
          <w:szCs w:val="24"/>
        </w:rPr>
        <w:t>GDP</w:t>
      </w:r>
      <w:r w:rsidRPr="006755C1">
        <w:rPr>
          <w:rFonts w:ascii="Times New Roman" w:eastAsia="楷体" w:hAnsi="Times New Roman" w:hint="eastAsia"/>
          <w:color w:val="000000" w:themeColor="text1"/>
          <w:sz w:val="24"/>
          <w:szCs w:val="24"/>
        </w:rPr>
        <w:t>及个人消费支出季率等多项经济数据公布情况，建议沪金、沪银中长线思路仍以偏多为主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912285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9122851"/>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6755C1" w:rsidRPr="006755C1">
        <w:rPr>
          <w:rFonts w:ascii="楷体" w:eastAsia="楷体" w:hAnsi="楷体" w:hint="eastAsia"/>
          <w:b/>
          <w:color w:val="000000" w:themeColor="text1"/>
          <w:sz w:val="24"/>
          <w:szCs w:val="24"/>
        </w:rPr>
        <w:t>基差收敛，期价大幅反弹</w:t>
      </w:r>
      <w:bookmarkEnd w:id="18"/>
    </w:p>
    <w:p w:rsidR="00F50569" w:rsidRDefault="006755C1" w:rsidP="00F50569">
      <w:pPr>
        <w:ind w:leftChars="300" w:left="630"/>
        <w:rPr>
          <w:rFonts w:ascii="楷体" w:eastAsia="楷体" w:hAnsi="楷体"/>
          <w:color w:val="000000" w:themeColor="text1"/>
          <w:sz w:val="24"/>
          <w:szCs w:val="24"/>
        </w:rPr>
      </w:pPr>
      <w:r w:rsidRPr="006755C1">
        <w:rPr>
          <w:rFonts w:ascii="楷体" w:eastAsia="楷体" w:hAnsi="楷体" w:hint="eastAsia"/>
          <w:color w:val="000000" w:themeColor="text1"/>
          <w:sz w:val="24"/>
          <w:szCs w:val="24"/>
        </w:rPr>
        <w:t>现货价格小幅走弱，基差收敛至接近上月平均水平，期价大幅反弹。终端需求不及预期，现货市场成交寡淡，供大于求环境下现货价格小幅下跌。近期锂盐期现价格大幅波动，基差一度扩大至2万元/吨以上，今日基差回归至1.5万元/吨，接近上月平均的16.4万元/吨。未来海外锂辉石价格或因定价机制调整而进一步下降，期价或于前低及外采成本线之间维持区间震荡</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9122852"/>
      <w:r>
        <w:rPr>
          <w:rFonts w:ascii="楷体" w:eastAsia="楷体" w:hAnsi="楷体" w:hint="eastAsia"/>
          <w:b/>
          <w:color w:val="000000" w:themeColor="text1"/>
          <w:sz w:val="24"/>
          <w:szCs w:val="24"/>
        </w:rPr>
        <w:t>螺纹钢：</w:t>
      </w:r>
      <w:bookmarkEnd w:id="16"/>
      <w:bookmarkEnd w:id="17"/>
      <w:r w:rsidR="00DC47C0" w:rsidRPr="00DC47C0">
        <w:rPr>
          <w:rFonts w:ascii="楷体" w:eastAsia="楷体" w:hAnsi="楷体" w:hint="eastAsia"/>
          <w:b/>
          <w:color w:val="000000" w:themeColor="text1"/>
          <w:sz w:val="24"/>
          <w:szCs w:val="24"/>
        </w:rPr>
        <w:t>宏观利多，低估值下修复估值</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DC47C0" w:rsidP="00201944">
      <w:pPr>
        <w:ind w:leftChars="300" w:left="630"/>
        <w:rPr>
          <w:rFonts w:ascii="楷体" w:eastAsia="楷体" w:hAnsi="楷体"/>
          <w:color w:val="000000" w:themeColor="text1"/>
          <w:sz w:val="24"/>
          <w:szCs w:val="24"/>
        </w:rPr>
      </w:pPr>
      <w:r w:rsidRPr="00DC47C0">
        <w:rPr>
          <w:rFonts w:ascii="楷体" w:eastAsia="楷体" w:hAnsi="楷体" w:hint="eastAsia"/>
          <w:color w:val="000000" w:themeColor="text1"/>
          <w:sz w:val="24"/>
          <w:szCs w:val="24"/>
        </w:rPr>
        <w:t>短期矛盾并不是特别突出，前期震荡向下测试价格底部。四季度国债增发改善需求预期，低估值下反弹修复，逢低可试多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9122853"/>
      <w:r>
        <w:rPr>
          <w:rFonts w:ascii="楷体" w:eastAsia="楷体" w:hAnsi="楷体" w:hint="eastAsia"/>
          <w:b/>
          <w:color w:val="000000" w:themeColor="text1"/>
          <w:sz w:val="24"/>
          <w:szCs w:val="24"/>
        </w:rPr>
        <w:t>焦炭：</w:t>
      </w:r>
      <w:bookmarkEnd w:id="20"/>
      <w:bookmarkEnd w:id="21"/>
      <w:r w:rsidR="00DC47C0" w:rsidRPr="00DC47C0">
        <w:rPr>
          <w:rFonts w:ascii="楷体" w:eastAsia="楷体" w:hAnsi="楷体" w:hint="eastAsia"/>
          <w:b/>
          <w:color w:val="000000" w:themeColor="text1"/>
          <w:sz w:val="24"/>
          <w:szCs w:val="24"/>
        </w:rPr>
        <w:t>宏观利多，低估值下修复估值</w:t>
      </w:r>
      <w:bookmarkEnd w:id="22"/>
    </w:p>
    <w:p w:rsidR="003F56A5" w:rsidRDefault="00DC47C0" w:rsidP="00572E35">
      <w:pPr>
        <w:ind w:leftChars="300" w:left="630"/>
        <w:rPr>
          <w:rFonts w:ascii="楷体" w:eastAsia="楷体" w:hAnsi="楷体"/>
          <w:color w:val="000000" w:themeColor="text1"/>
          <w:sz w:val="24"/>
          <w:szCs w:val="24"/>
        </w:rPr>
      </w:pPr>
      <w:r w:rsidRPr="00DC47C0">
        <w:rPr>
          <w:rFonts w:ascii="楷体" w:eastAsia="楷体" w:hAnsi="楷体" w:hint="eastAsia"/>
          <w:color w:val="000000" w:themeColor="text1"/>
          <w:sz w:val="24"/>
          <w:szCs w:val="24"/>
        </w:rPr>
        <w:t>铁水缓慢减产，成材利润矛盾突出情况下，焦炭供需缺口收敛，下游采购意愿减弱。成材预期改善，带动估值修复，后续关注下游补库意愿改善情况，短期震荡偏强</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9122854"/>
      <w:r>
        <w:rPr>
          <w:rFonts w:ascii="楷体" w:eastAsia="楷体" w:hAnsi="楷体" w:hint="eastAsia"/>
          <w:b/>
          <w:color w:val="000000" w:themeColor="text1"/>
          <w:sz w:val="24"/>
          <w:szCs w:val="24"/>
        </w:rPr>
        <w:t>焦煤：</w:t>
      </w:r>
      <w:r w:rsidR="00DC47C0" w:rsidRPr="00DC47C0">
        <w:rPr>
          <w:rFonts w:ascii="楷体" w:eastAsia="楷体" w:hAnsi="楷体" w:hint="eastAsia"/>
          <w:b/>
          <w:sz w:val="24"/>
          <w:szCs w:val="24"/>
        </w:rPr>
        <w:t>宏观利多，低估值下修复估值</w:t>
      </w:r>
      <w:bookmarkEnd w:id="23"/>
    </w:p>
    <w:p w:rsidR="003F56A5" w:rsidRDefault="00DC47C0">
      <w:pPr>
        <w:ind w:leftChars="300" w:left="630"/>
        <w:rPr>
          <w:rFonts w:ascii="楷体" w:eastAsia="楷体" w:hAnsi="楷体"/>
          <w:bCs/>
          <w:sz w:val="24"/>
          <w:szCs w:val="24"/>
        </w:rPr>
      </w:pPr>
      <w:r w:rsidRPr="00DC47C0">
        <w:rPr>
          <w:rFonts w:ascii="楷体" w:eastAsia="楷体" w:hAnsi="楷体" w:hint="eastAsia"/>
          <w:sz w:val="24"/>
          <w:szCs w:val="24"/>
        </w:rPr>
        <w:t>下游采购意愿减弱，煤矿产量小幅度回升，现货价格过高下，供需缺口收敛推动价格回落。昨日消息刺激，成材预期改善，带动估值修复，后续关注下游补库意愿改善情况，短期震荡偏强</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9122855"/>
      <w:r>
        <w:rPr>
          <w:rFonts w:ascii="楷体" w:eastAsia="楷体" w:hAnsi="楷体" w:hint="eastAsia"/>
          <w:b/>
          <w:color w:val="000000" w:themeColor="text1"/>
          <w:sz w:val="24"/>
          <w:szCs w:val="24"/>
        </w:rPr>
        <w:t>铜：</w:t>
      </w:r>
      <w:bookmarkEnd w:id="24"/>
      <w:bookmarkEnd w:id="25"/>
      <w:r w:rsidR="006755C1" w:rsidRPr="006755C1">
        <w:rPr>
          <w:rFonts w:ascii="楷体" w:eastAsia="楷体" w:hAnsi="楷体" w:hint="eastAsia"/>
          <w:b/>
          <w:color w:val="000000" w:themeColor="text1"/>
          <w:sz w:val="24"/>
          <w:szCs w:val="24"/>
        </w:rPr>
        <w:t>宏观利好支撑铜价低位反弹</w:t>
      </w:r>
      <w:bookmarkEnd w:id="26"/>
    </w:p>
    <w:p w:rsidR="006755C1" w:rsidRPr="006755C1" w:rsidRDefault="006755C1" w:rsidP="006755C1">
      <w:pPr>
        <w:ind w:leftChars="300" w:left="630"/>
        <w:rPr>
          <w:rFonts w:ascii="楷体" w:eastAsia="楷体" w:hAnsi="楷体" w:hint="eastAsia"/>
          <w:color w:val="000000" w:themeColor="text1"/>
          <w:sz w:val="24"/>
          <w:szCs w:val="24"/>
        </w:rPr>
      </w:pPr>
      <w:r w:rsidRPr="006755C1">
        <w:rPr>
          <w:rFonts w:ascii="楷体" w:eastAsia="楷体" w:hAnsi="楷体" w:hint="eastAsia"/>
          <w:color w:val="000000" w:themeColor="text1"/>
          <w:sz w:val="24"/>
          <w:szCs w:val="24"/>
        </w:rPr>
        <w:lastRenderedPageBreak/>
        <w:t>(1)宏观：中央财政将在今年四季度增发2023年国债10000亿元，作为特别国债管理。全国财政赤字将由38800亿元增加到48800亿元，预计赤字率由3%提高到3.8%左右。</w:t>
      </w:r>
    </w:p>
    <w:p w:rsidR="006755C1" w:rsidRPr="006755C1" w:rsidRDefault="006755C1" w:rsidP="006755C1">
      <w:pPr>
        <w:ind w:leftChars="300" w:left="630"/>
        <w:rPr>
          <w:rFonts w:ascii="楷体" w:eastAsia="楷体" w:hAnsi="楷体" w:hint="eastAsia"/>
          <w:color w:val="000000" w:themeColor="text1"/>
          <w:sz w:val="24"/>
          <w:szCs w:val="24"/>
        </w:rPr>
      </w:pPr>
      <w:r w:rsidRPr="006755C1">
        <w:rPr>
          <w:rFonts w:ascii="楷体" w:eastAsia="楷体" w:hAnsi="楷体" w:hint="eastAsia"/>
          <w:color w:val="000000" w:themeColor="text1"/>
          <w:sz w:val="24"/>
          <w:szCs w:val="24"/>
        </w:rPr>
        <w:t>(2)库存：10月24日，SHFE仓单库存8490吨，减1780吨；LME仓单库存187475吨，减2975吨。</w:t>
      </w:r>
    </w:p>
    <w:p w:rsidR="006755C1" w:rsidRPr="006755C1" w:rsidRDefault="006755C1" w:rsidP="006755C1">
      <w:pPr>
        <w:ind w:leftChars="300" w:left="630"/>
        <w:rPr>
          <w:rFonts w:ascii="楷体" w:eastAsia="楷体" w:hAnsi="楷体" w:hint="eastAsia"/>
          <w:color w:val="000000" w:themeColor="text1"/>
          <w:sz w:val="24"/>
          <w:szCs w:val="24"/>
        </w:rPr>
      </w:pPr>
      <w:r w:rsidRPr="006755C1">
        <w:rPr>
          <w:rFonts w:ascii="楷体" w:eastAsia="楷体" w:hAnsi="楷体" w:hint="eastAsia"/>
          <w:color w:val="000000" w:themeColor="text1"/>
          <w:sz w:val="24"/>
          <w:szCs w:val="24"/>
        </w:rPr>
        <w:t>(3)精废价差：10月24日，Mysteel精废价差774，扩张58。目前价差在合理价差1366之下。</w:t>
      </w:r>
    </w:p>
    <w:p w:rsidR="006755C1" w:rsidRPr="006755C1" w:rsidRDefault="006755C1" w:rsidP="006755C1">
      <w:pPr>
        <w:ind w:leftChars="300" w:left="630"/>
        <w:rPr>
          <w:rFonts w:ascii="楷体" w:eastAsia="楷体" w:hAnsi="楷体"/>
          <w:color w:val="000000" w:themeColor="text1"/>
          <w:sz w:val="24"/>
          <w:szCs w:val="24"/>
        </w:rPr>
      </w:pPr>
    </w:p>
    <w:p w:rsidR="00127803" w:rsidRPr="00127803" w:rsidRDefault="006755C1" w:rsidP="006755C1">
      <w:pPr>
        <w:ind w:leftChars="300" w:left="630"/>
        <w:rPr>
          <w:rFonts w:ascii="楷体" w:eastAsia="楷体" w:hAnsi="楷体"/>
          <w:color w:val="000000" w:themeColor="text1"/>
          <w:sz w:val="24"/>
          <w:szCs w:val="24"/>
        </w:rPr>
      </w:pPr>
      <w:r w:rsidRPr="006755C1">
        <w:rPr>
          <w:rFonts w:ascii="楷体" w:eastAsia="楷体" w:hAnsi="楷体" w:hint="eastAsia"/>
          <w:color w:val="000000" w:themeColor="text1"/>
          <w:sz w:val="24"/>
          <w:szCs w:val="24"/>
        </w:rPr>
        <w:t>综述：国内中央汇金大量买入ETF救市，中国将增发1万亿元国债，提振市场信心。海外方面，美债收益率和美元有所回落，对有色压力减轻。基本面，供需偏松，现货升水受抑， 铜价承压，但精废价差低位下，精铜替代消费明显，一定程度上给与价格支撑。短期宏观利好支撑价格反弹，预计反弹力度不大，但继续下跌空间也不大，大概率阶段性筑底。企业可逢低适当备货</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9122856"/>
      <w:r>
        <w:rPr>
          <w:rFonts w:ascii="楷体" w:eastAsia="楷体" w:hAnsi="楷体" w:hint="eastAsia"/>
          <w:b/>
          <w:color w:val="000000" w:themeColor="text1"/>
          <w:sz w:val="24"/>
          <w:szCs w:val="24"/>
        </w:rPr>
        <w:t>铝：</w:t>
      </w:r>
      <w:bookmarkEnd w:id="27"/>
      <w:bookmarkEnd w:id="28"/>
      <w:r w:rsidR="006755C1" w:rsidRPr="006755C1">
        <w:rPr>
          <w:rFonts w:ascii="楷体" w:eastAsia="楷体" w:hAnsi="楷体" w:hint="eastAsia"/>
          <w:b/>
          <w:color w:val="000000" w:themeColor="text1"/>
          <w:sz w:val="24"/>
          <w:szCs w:val="24"/>
        </w:rPr>
        <w:t>宏观情绪走强，铝价下方支撑仍有韧性</w:t>
      </w:r>
      <w:bookmarkEnd w:id="29"/>
    </w:p>
    <w:p w:rsidR="003F56A5" w:rsidRDefault="006755C1" w:rsidP="00127803">
      <w:pPr>
        <w:ind w:leftChars="300" w:left="630"/>
        <w:rPr>
          <w:rFonts w:ascii="楷体" w:eastAsia="楷体" w:hAnsi="楷体"/>
          <w:color w:val="000000" w:themeColor="text1"/>
          <w:sz w:val="24"/>
          <w:szCs w:val="24"/>
        </w:rPr>
      </w:pPr>
      <w:r w:rsidRPr="006755C1">
        <w:rPr>
          <w:rFonts w:ascii="楷体" w:eastAsia="楷体" w:hAnsi="楷体" w:hint="eastAsia"/>
          <w:color w:val="000000" w:themeColor="text1"/>
          <w:sz w:val="24"/>
          <w:szCs w:val="24"/>
        </w:rPr>
        <w:t>国内增发万亿国债，市场情绪提振。电解铝运行产能开工稳定，产量依旧高产，上游有原料供应紧缺限制，伴随氧化铝及冶炼辅料价格走增，电解铝理论成本增加，铝价现货走弱，压缩冶炼端利润，但整体影响不大，铝锭库存小幅累增，绝对低库存现状无明显改善，下游铝棒、铝板带箔企业开工情况扰动，需求面有所修复表现强韧。金九银十叠加国家利多政策面支撑刺激需求表现强韧，供应高产能开工但库存累积程度不及预期，绝对低库存情况仍未改善，铝价仍有较强支撑</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9122857"/>
      <w:r>
        <w:rPr>
          <w:rFonts w:ascii="楷体" w:eastAsia="楷体" w:hAnsi="楷体" w:hint="eastAsia"/>
          <w:b/>
          <w:color w:val="000000" w:themeColor="text1"/>
          <w:sz w:val="24"/>
          <w:szCs w:val="24"/>
        </w:rPr>
        <w:t>锌：</w:t>
      </w:r>
      <w:r w:rsidR="006755C1" w:rsidRPr="006755C1">
        <w:rPr>
          <w:rFonts w:ascii="楷体" w:eastAsia="楷体" w:hAnsi="楷体" w:hint="eastAsia"/>
          <w:b/>
          <w:color w:val="000000" w:themeColor="text1"/>
          <w:sz w:val="24"/>
          <w:szCs w:val="24"/>
        </w:rPr>
        <w:t>宏观情绪支撑锌价偏强震荡运行</w:t>
      </w:r>
      <w:bookmarkEnd w:id="30"/>
    </w:p>
    <w:p w:rsidR="003F56A5" w:rsidRDefault="006755C1" w:rsidP="000B0648">
      <w:pPr>
        <w:ind w:leftChars="300" w:left="630"/>
        <w:rPr>
          <w:rFonts w:ascii="楷体" w:eastAsia="楷体" w:hAnsi="楷体"/>
          <w:color w:val="000000" w:themeColor="text1"/>
          <w:sz w:val="24"/>
          <w:szCs w:val="24"/>
        </w:rPr>
      </w:pPr>
      <w:r w:rsidRPr="006755C1">
        <w:rPr>
          <w:rFonts w:ascii="楷体" w:eastAsia="楷体" w:hAnsi="楷体" w:hint="eastAsia"/>
          <w:color w:val="000000" w:themeColor="text1"/>
          <w:sz w:val="24"/>
          <w:szCs w:val="24"/>
        </w:rPr>
        <w:t>美元指数走弱，国内增发万亿国债，市场情绪有效提振。全球精炼锌仍维持过剩，主因需求回落导致过剩这种过剩更多是由需求回落所致，海外经济疲软导致需求偏弱，国内需求保持韧性，依靠基建、汽车、家电等支撑消费。前期检修产能的炼厂基本恢复产能，产出将升至高位，同时因进口盈利窗口打开，进口锌加量流入，需求端韧性延续，但旺季效应偏弱，市场上现货供应偏宽松，在基本面供强需偏弱前提下，宏观释放的利多情绪或短期为锌价形成向上推动力，但可持续性有待验证</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9122858"/>
      <w:r>
        <w:rPr>
          <w:rFonts w:ascii="楷体" w:eastAsia="楷体" w:hAnsi="楷体" w:hint="eastAsia"/>
          <w:b/>
          <w:color w:val="000000" w:themeColor="text1"/>
          <w:sz w:val="24"/>
          <w:szCs w:val="24"/>
        </w:rPr>
        <w:t>镍：</w:t>
      </w:r>
      <w:r w:rsidR="00DC47C0" w:rsidRPr="00DC47C0">
        <w:rPr>
          <w:rFonts w:ascii="楷体" w:eastAsia="楷体" w:hAnsi="楷体" w:hint="eastAsia"/>
          <w:b/>
          <w:color w:val="000000" w:themeColor="text1"/>
          <w:sz w:val="24"/>
          <w:szCs w:val="24"/>
        </w:rPr>
        <w:t>基本面弱势依旧，但短期内继续深跌动能不足</w:t>
      </w:r>
      <w:bookmarkEnd w:id="31"/>
    </w:p>
    <w:p w:rsidR="003F56A5" w:rsidRDefault="00DC47C0">
      <w:pPr>
        <w:ind w:leftChars="300" w:left="630"/>
        <w:rPr>
          <w:rFonts w:ascii="楷体" w:eastAsia="楷体" w:hAnsi="楷体"/>
          <w:color w:val="000000" w:themeColor="text1"/>
          <w:sz w:val="24"/>
          <w:szCs w:val="24"/>
        </w:rPr>
      </w:pPr>
      <w:r w:rsidRPr="00DC47C0">
        <w:rPr>
          <w:rFonts w:ascii="楷体" w:eastAsia="楷体" w:hAnsi="楷体" w:hint="eastAsia"/>
          <w:color w:val="000000" w:themeColor="text1"/>
          <w:sz w:val="24"/>
          <w:szCs w:val="24"/>
        </w:rPr>
        <w:t>海内外宏观情绪分化，海外受美债收益率近期大幅上升和巴以冲突持续加剧影响，施压有色金属；国内，中央汇金继增持四大行后，又买入ETF并将在未来继续增持，央行将在四季度发现一万亿元国债，以提升防灾救灾能力，这些宏观利好提振市场情绪。镍的需求难有起色，不锈钢厂陆续减产；新能源汽车对镍的消费维持疲软；合金和电镀对镍维持一定程度的刚性需求。供应方面，外采硫酸镍生产精炼镍为亏损状态，但生产精炼镍的主流工艺仍有利润，精炼镍的存量项目和新投产项目产量逐步释放，镍中长期显著过剩预期较明晰。库存方面，全球精炼镍显性库存维持累库趋势，供应压力凸显。综合而言，在供需矛盾凸显、基本面逐步走弱的态势下，对镍价中长期维持偏空思路。但由于库存仍处于历史低位，且电积镍成本</w:t>
      </w:r>
      <w:r w:rsidRPr="00DC47C0">
        <w:rPr>
          <w:rFonts w:ascii="楷体" w:eastAsia="楷体" w:hAnsi="楷体" w:hint="eastAsia"/>
          <w:color w:val="000000" w:themeColor="text1"/>
          <w:sz w:val="24"/>
          <w:szCs w:val="24"/>
        </w:rPr>
        <w:lastRenderedPageBreak/>
        <w:t>带来一定的支撑作用，镍价短期内继续深跌的动能不足，预计以偏弱震荡运行为主。短期操作上不建议追空，暂时观望</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9122859"/>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铝价上方压力仍存</w:t>
      </w:r>
      <w:bookmarkEnd w:id="32"/>
    </w:p>
    <w:p w:rsidR="008B13D2" w:rsidRPr="008B13D2" w:rsidRDefault="00DB4E25" w:rsidP="008B13D2">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9122860"/>
      <w:r>
        <w:rPr>
          <w:rFonts w:ascii="楷体" w:eastAsia="楷体" w:hAnsi="楷体" w:hint="eastAsia"/>
          <w:b/>
          <w:color w:val="000000" w:themeColor="text1"/>
          <w:sz w:val="24"/>
          <w:szCs w:val="24"/>
        </w:rPr>
        <w:t>不锈钢：</w:t>
      </w:r>
      <w:r w:rsidR="00DC47C0" w:rsidRPr="00DC47C0">
        <w:rPr>
          <w:rFonts w:ascii="楷体" w:eastAsia="楷体" w:hAnsi="楷体" w:hint="eastAsia"/>
          <w:b/>
          <w:color w:val="000000" w:themeColor="text1"/>
          <w:sz w:val="24"/>
          <w:szCs w:val="24"/>
        </w:rPr>
        <w:t>产业负反馈传导持续，上下空间皆有限</w:t>
      </w:r>
      <w:bookmarkEnd w:id="33"/>
    </w:p>
    <w:p w:rsidR="003F56A5" w:rsidRDefault="00DC47C0">
      <w:pPr>
        <w:ind w:leftChars="300" w:left="630"/>
        <w:rPr>
          <w:rFonts w:ascii="楷体" w:eastAsia="楷体" w:hAnsi="楷体"/>
          <w:color w:val="000000" w:themeColor="text1"/>
          <w:sz w:val="24"/>
          <w:szCs w:val="24"/>
        </w:rPr>
      </w:pPr>
      <w:r w:rsidRPr="00DC47C0">
        <w:rPr>
          <w:rFonts w:ascii="楷体" w:eastAsia="楷体" w:hAnsi="楷体" w:hint="eastAsia"/>
          <w:color w:val="000000" w:themeColor="text1"/>
          <w:sz w:val="24"/>
          <w:szCs w:val="24"/>
        </w:rPr>
        <w:t>宏观方面，中央汇金买入ETF并将在未来继续增持，加上央行将在四季度发行一亿元国债，国内宏观情绪边际好转。由于不锈钢九月传统旺季预期落空，且冶炼成本被印尼RKAB政策扰动抬高，钢厂冶炼利润不断收窄，因此陆续开始减产。钢厂减产的负反馈由下往上传导至镍铁，叠加印尼回流压力，国内镍铁价格偏弱运行，镍铁厂开始减产，镍矿价格也承受产业压力。但在镍矿今年四季度供应偏紧局势下，镍矿价格后续下跌空间有限。库存方面，由于钢厂发货节奏放缓，且贸易商低价促进出货，不锈钢社会库存前两周连续去库。综合来看，需求不振因素给不锈钢价带来明显压制，但减产因素及生产成本让利空间有限给不锈钢价带来支撑，不锈钢上下空间皆有限，短期预计震荡偏弱为主。若后续减产幅度进一步扩大，且需求在政策推动下转暖，不锈钢价有望反弹修复</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9122861"/>
      <w:r>
        <w:rPr>
          <w:rFonts w:ascii="楷体" w:eastAsia="楷体" w:hAnsi="楷体" w:hint="eastAsia"/>
          <w:b/>
          <w:color w:val="000000" w:themeColor="text1"/>
          <w:sz w:val="24"/>
          <w:szCs w:val="24"/>
        </w:rPr>
        <w:t>工业硅：</w:t>
      </w:r>
      <w:r w:rsidR="006755C1" w:rsidRPr="006755C1">
        <w:rPr>
          <w:rFonts w:ascii="楷体" w:eastAsia="楷体" w:hAnsi="楷体" w:hint="eastAsia"/>
          <w:b/>
          <w:sz w:val="24"/>
          <w:szCs w:val="24"/>
        </w:rPr>
        <w:t>多空因素交织，盘面或维持震荡</w:t>
      </w:r>
      <w:bookmarkEnd w:id="34"/>
    </w:p>
    <w:p w:rsidR="003F56A5" w:rsidRDefault="006755C1" w:rsidP="00827E8A">
      <w:pPr>
        <w:ind w:leftChars="300" w:left="630"/>
        <w:rPr>
          <w:rFonts w:ascii="楷体" w:eastAsia="楷体" w:hAnsi="楷体"/>
          <w:sz w:val="24"/>
          <w:szCs w:val="24"/>
        </w:rPr>
      </w:pPr>
      <w:r w:rsidRPr="006755C1">
        <w:rPr>
          <w:rFonts w:ascii="楷体" w:eastAsia="楷体" w:hAnsi="楷体" w:hint="eastAsia"/>
          <w:sz w:val="24"/>
          <w:szCs w:val="24"/>
        </w:rPr>
        <w:t>10月24日，Si2312主力合约呈冲高回落走势，收盘价14450元/吨，较上一收盘价涨跌幅-0.52%。近期，盘面价格大幅下行，终端客户出现采购仓单现象，而昨日仓单注销大幅减少，仓单总量再度增加，对盘面反弹存在较大压制作用。但西南地区即将进入枯水期，成本抬升较为确定，同时存在供应减产预期，或对盘面有一定支撑。整体来看，当前市场多空因素交织，暂无明显单边驱动，盘面或维持震荡走势。策略上，建议波段操作为主，参考区间（14400，14800）</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912286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024C21" w:rsidRDefault="00CC3FFA" w:rsidP="00024C21">
      <w:pPr>
        <w:ind w:firstLineChars="200" w:firstLine="482"/>
        <w:outlineLvl w:val="1"/>
        <w:rPr>
          <w:rFonts w:ascii="楷体" w:eastAsia="楷体" w:hAnsi="楷体"/>
          <w:b/>
          <w:sz w:val="24"/>
          <w:szCs w:val="24"/>
        </w:rPr>
      </w:pPr>
      <w:bookmarkStart w:id="37" w:name="_Toc149122863"/>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DC47C0" w:rsidRPr="00DC47C0">
        <w:rPr>
          <w:rFonts w:ascii="楷体" w:eastAsia="楷体" w:hAnsi="楷体" w:hint="eastAsia"/>
          <w:b/>
          <w:sz w:val="24"/>
          <w:szCs w:val="24"/>
        </w:rPr>
        <w:t>向上驱动力不明显，天胶或区间震荡为主</w:t>
      </w:r>
      <w:bookmarkEnd w:id="37"/>
    </w:p>
    <w:p w:rsidR="003F56A5" w:rsidRDefault="00DC47C0">
      <w:pPr>
        <w:ind w:leftChars="300" w:left="630"/>
        <w:rPr>
          <w:rFonts w:ascii="楷体" w:eastAsia="楷体" w:hAnsi="楷体"/>
          <w:sz w:val="24"/>
          <w:szCs w:val="24"/>
        </w:rPr>
      </w:pPr>
      <w:r w:rsidRPr="00DC47C0">
        <w:rPr>
          <w:rFonts w:ascii="楷体" w:eastAsia="楷体" w:hAnsi="楷体" w:hint="eastAsia"/>
          <w:sz w:val="24"/>
          <w:szCs w:val="24"/>
        </w:rPr>
        <w:t>点评：近期天然橡胶回调后止跌企稳，但市场做多情绪明显减弱。供应方</w:t>
      </w:r>
      <w:r w:rsidRPr="00DC47C0">
        <w:rPr>
          <w:rFonts w:ascii="楷体" w:eastAsia="楷体" w:hAnsi="楷体" w:hint="eastAsia"/>
          <w:sz w:val="24"/>
          <w:szCs w:val="24"/>
        </w:rPr>
        <w:lastRenderedPageBreak/>
        <w:t>面，东南亚主产区降雨天气缓解，原料产出持续上量，原料收购价格存下降预期，供应端利好削弱。库存方面，国内天然橡胶库存虽仍在去库，但去库幅度偏缓，下游工厂对原材料高价抵触心理。需求端来看，下游轮胎企业开工率高位维持，假期放假天数较去年明显缩减。半钢胎略好于全钢胎，国内稳经济政策将有利于轮胎替换及配套需求的改善。节后工厂开工处于恢复提升状态，对原材料补库积极性提高，提振天胶市场。终端汽车方面，9月数据同环比继续走强，创过去十年同期历史新高，十月汽车消费旺季再度来临下汽车市场景气度高。整体看，近期基本面转好幅度有所减弱，在新的利好支撑出现前，橡胶或高位震荡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9122864"/>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BF4417" w:rsidRPr="00BF4417">
        <w:rPr>
          <w:rFonts w:ascii="Calibri" w:eastAsia="楷体" w:hAnsi="Calibri" w:cs="Calibri"/>
          <w:b/>
          <w:color w:val="000000" w:themeColor="text1"/>
          <w:sz w:val="24"/>
          <w:szCs w:val="24"/>
        </w:rPr>
        <w:t> </w:t>
      </w:r>
      <w:r w:rsidR="006755C1" w:rsidRPr="006755C1">
        <w:rPr>
          <w:rFonts w:ascii="楷体" w:eastAsia="楷体" w:hAnsi="楷体" w:hint="eastAsia"/>
          <w:b/>
          <w:color w:val="000000" w:themeColor="text1"/>
          <w:sz w:val="24"/>
          <w:szCs w:val="24"/>
        </w:rPr>
        <w:t>供需矛盾暂时缓解 但向上驱动仍不足</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6755C1" w:rsidP="002C73FE">
      <w:pPr>
        <w:ind w:leftChars="300" w:left="630"/>
        <w:rPr>
          <w:rFonts w:ascii="楷体" w:eastAsia="楷体" w:hAnsi="楷体"/>
          <w:color w:val="000000" w:themeColor="text1"/>
          <w:sz w:val="24"/>
          <w:szCs w:val="24"/>
        </w:rPr>
      </w:pPr>
      <w:r w:rsidRPr="006755C1">
        <w:rPr>
          <w:rFonts w:ascii="楷体" w:eastAsia="楷体" w:hAnsi="楷体" w:hint="eastAsia"/>
          <w:color w:val="000000" w:themeColor="text1"/>
          <w:sz w:val="24"/>
          <w:szCs w:val="24"/>
        </w:rPr>
        <w:t>原油方面，巴以局势的地缘利好弱化，侧重留意宏观及供需转弱的风险。PX方面，盛虹石化400万吨及广东石化260万吨装置预计近日提负，海外10-11月装置重启较多，PX供应充足卖盘旺盛。随着调油需求走弱，歧化装置开工率有望进一步提升，近期PX N仍将偏弱运行。PTA供应方面，新材料360万吨装置重启，英力士110万吨停车检修，其他个别装置恢复，至10.19 PTA负荷调整至77%（+2.3%)。本周随着萧山两家聚酯装置的恢复，聚酯负荷整体有所回升，其他装置暂未听闻变动计划。综合来看，10.19初步核算国内大陆地区聚酯负荷在90.5%，环比小幅提升。终端开工率尚可但涤纶长丝库存节后累库节奏较快，随着聚酯原料价格走低，工厂出货意愿较大。10月PTA装置检修计划较多，供需矛盾暂时缓解，PTA或会企稳但不看太高。随着11月份新产能投放供应回归及需求季节性走弱预期，供需承压。一旦PTA成本端趋势偏弱叠加供增需减预期，PTA仍存回落风险。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9122865"/>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DF164D" w:rsidRDefault="00CC3FFA" w:rsidP="00DF164D">
      <w:pPr>
        <w:ind w:leftChars="200" w:left="420"/>
        <w:outlineLvl w:val="1"/>
        <w:rPr>
          <w:rFonts w:ascii="楷体" w:eastAsia="楷体" w:hAnsi="楷体"/>
          <w:b/>
          <w:color w:val="000000" w:themeColor="text1"/>
          <w:sz w:val="24"/>
          <w:szCs w:val="24"/>
        </w:rPr>
      </w:pPr>
      <w:bookmarkStart w:id="40" w:name="_Toc149122866"/>
      <w:r>
        <w:rPr>
          <w:rFonts w:ascii="楷体" w:eastAsia="楷体" w:hAnsi="楷体" w:hint="eastAsia"/>
          <w:b/>
          <w:color w:val="000000" w:themeColor="text1"/>
          <w:sz w:val="24"/>
          <w:szCs w:val="24"/>
        </w:rPr>
        <w:t>聚烯烃：</w:t>
      </w:r>
      <w:r w:rsidR="00DC47C0" w:rsidRPr="00DC47C0">
        <w:rPr>
          <w:rFonts w:ascii="楷体" w:eastAsia="楷体" w:hAnsi="楷体" w:hint="eastAsia"/>
          <w:b/>
          <w:color w:val="000000" w:themeColor="text1"/>
          <w:sz w:val="24"/>
          <w:szCs w:val="24"/>
        </w:rPr>
        <w:t>成本支撑继续减弱 聚烯烃偏弱整理为主</w:t>
      </w:r>
      <w:bookmarkEnd w:id="40"/>
    </w:p>
    <w:p w:rsidR="003F56A5" w:rsidRDefault="00DC47C0">
      <w:pPr>
        <w:ind w:leftChars="300" w:left="630"/>
        <w:rPr>
          <w:rFonts w:ascii="楷体" w:eastAsia="楷体" w:hAnsi="楷体"/>
          <w:bCs/>
          <w:sz w:val="24"/>
          <w:szCs w:val="24"/>
        </w:rPr>
      </w:pPr>
      <w:r w:rsidRPr="00DC47C0">
        <w:rPr>
          <w:rFonts w:ascii="楷体" w:eastAsia="楷体" w:hAnsi="楷体" w:hint="eastAsia"/>
          <w:color w:val="000000" w:themeColor="text1"/>
          <w:sz w:val="24"/>
          <w:szCs w:val="24"/>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w:t>
      </w:r>
      <w:r w:rsidRPr="00DC47C0">
        <w:rPr>
          <w:rFonts w:ascii="楷体" w:eastAsia="楷体" w:hAnsi="楷体" w:hint="eastAsia"/>
          <w:color w:val="000000" w:themeColor="text1"/>
          <w:sz w:val="24"/>
          <w:szCs w:val="24"/>
        </w:rPr>
        <w:lastRenderedPageBreak/>
        <w:t>成本方面，交易商继续关注以色列-哈马斯战争，德国、欧元区和英国一系列缓慢的经济数据令能源需求前景承压，欧美原油期货连续第三天收低。需求方面，PE下游方面，农膜整体需求平平，工厂生产清淡。棚膜工厂多停机检修；PP下游方面，BOPP市场成交刚需有量，整体量较上一交易日增加，BOPP企业未交付订单多数在一周以内，个别可至八月中。综合来看，PE方面，近期新增停车装置较多，供应压力有所缓解；下游需求维持刚需采购，。预计今日PE价格偏弱震荡为主。PP方面，成本支撑减弱，叠加近期检修影响量偏低，供应压力较大。市场虽然依旧处在银十旺季，但订单以及需求呈现缩水态势，利空影响逐渐渗透。短期看，市场月底积极去库持续进行中，但市场缺乏价格向上驱动下，大概率会向下调整</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9122867"/>
      <w:r>
        <w:rPr>
          <w:rFonts w:ascii="楷体" w:eastAsia="楷体" w:hAnsi="楷体" w:hint="eastAsia"/>
          <w:b/>
          <w:color w:val="000000" w:themeColor="text1"/>
          <w:sz w:val="24"/>
          <w:szCs w:val="24"/>
        </w:rPr>
        <w:t>MEG：</w:t>
      </w:r>
      <w:r w:rsidR="006755C1" w:rsidRPr="006755C1">
        <w:rPr>
          <w:rFonts w:ascii="楷体" w:eastAsia="楷体" w:hAnsi="楷体" w:hint="eastAsia"/>
          <w:b/>
          <w:color w:val="000000" w:themeColor="text1"/>
          <w:sz w:val="24"/>
          <w:szCs w:val="24"/>
        </w:rPr>
        <w:t>跟随煤价估值修复反弹</w:t>
      </w:r>
      <w:bookmarkEnd w:id="41"/>
    </w:p>
    <w:p w:rsidR="003F56A5" w:rsidRDefault="006755C1" w:rsidP="00152664">
      <w:pPr>
        <w:ind w:leftChars="300" w:left="630"/>
        <w:rPr>
          <w:rFonts w:ascii="楷体" w:eastAsia="楷体" w:hAnsi="楷体"/>
          <w:color w:val="000000" w:themeColor="text1"/>
          <w:sz w:val="24"/>
          <w:szCs w:val="24"/>
        </w:rPr>
      </w:pPr>
      <w:r w:rsidRPr="006755C1">
        <w:rPr>
          <w:rFonts w:ascii="楷体" w:eastAsia="楷体" w:hAnsi="楷体" w:hint="eastAsia"/>
          <w:color w:val="000000" w:themeColor="text1"/>
          <w:sz w:val="24"/>
          <w:szCs w:val="24"/>
        </w:rPr>
        <w:t>供需情况，10.24华东主港地区MEG港口库存约115.9万吨附近，环比上期去库2.6万吨。截至10月19日，中国大陆地区乙二醇整体开工负荷在58.18%（-4.57%），其中煤制乙二醇开工负荷在60.98%（-2.86%）。镇海炼化（65）预计停车2周左右、古雷石化（70）7-8成运行、中海壳牌（40）停车计划2个月、三江石化（100）临时停车，存量装置开工率将进一步下滑。截至10月19日，国内大陆地区聚酯负荷在90.5%，环比小幅提升。终端来看，节后江浙加弹综合开工已回升至86%（+2%），江浙织机综合开工提升至80%，江浙印染综合开工小幅下滑至82%，随着原料价格走弱及节后库存累积，涤纶近期出货意愿较强。综合来看，成本端煤价走高，低估值下乙二醇期价重心抬升。部分装置落实检修，近期供给端开工率大幅下滑。四季度新投产装置推迟，后续存量供应收缩及聚酯开工回升，或维持动态平衡的节奏，暂维持4000-4250区间操作思路。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9122868"/>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6755C1" w:rsidRPr="006755C1">
        <w:rPr>
          <w:rFonts w:ascii="楷体" w:eastAsia="楷体" w:hAnsi="楷体" w:hint="eastAsia"/>
          <w:b/>
          <w:color w:val="000000" w:themeColor="text1"/>
          <w:sz w:val="24"/>
          <w:szCs w:val="24"/>
        </w:rPr>
        <w:t>宏观情绪利好，震荡反弹</w:t>
      </w:r>
      <w:bookmarkEnd w:id="42"/>
    </w:p>
    <w:p w:rsidR="00A71A7E" w:rsidRDefault="006755C1" w:rsidP="001F79C6">
      <w:pPr>
        <w:ind w:leftChars="300" w:left="630"/>
        <w:rPr>
          <w:rFonts w:ascii="楷体" w:eastAsia="楷体" w:hAnsi="楷体"/>
          <w:color w:val="000000" w:themeColor="text1"/>
          <w:sz w:val="24"/>
          <w:szCs w:val="24"/>
        </w:rPr>
      </w:pPr>
      <w:r w:rsidRPr="006755C1">
        <w:rPr>
          <w:rFonts w:ascii="楷体" w:eastAsia="楷体" w:hAnsi="楷体" w:hint="eastAsia"/>
          <w:color w:val="000000" w:themeColor="text1"/>
          <w:sz w:val="24"/>
          <w:szCs w:val="24"/>
        </w:rPr>
        <w:t>隆众资讯10月24日报道:今日浮法玻璃现货价格2087元/吨，较上一交易日-3元/吨。库存上，截止到20231019，全国浮法玻璃样本企业总库存4030.4万重箱，环比减少3.6万重箱，环比-0.09%。月底现货价格松动，产销表现一般，原片厂以优惠出货居多，尤其是华南和广西区域企业加大优惠力度，下游普遍拿货谨慎;供给端维持高位，供需短期维持弱平衡。成本端纯碱和煤价较上月价格下移，打开下行空间。宏观上情绪反转，期待有更多的政策发力。盘面尾盘受财政部增发略超1万亿元国债消息影响反弹，落实力度尚未可知，短线在前期底部区域试探，重点关注宏观政策是否可以带动需求改善</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9122869"/>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6755C1" w:rsidRPr="006755C1">
        <w:rPr>
          <w:rFonts w:ascii="楷体" w:eastAsia="楷体" w:hAnsi="楷体" w:hint="eastAsia"/>
          <w:b/>
          <w:color w:val="000000" w:themeColor="text1"/>
          <w:sz w:val="24"/>
          <w:szCs w:val="24"/>
        </w:rPr>
        <w:t>现货价格延续下跌，震荡走弱</w:t>
      </w:r>
      <w:bookmarkEnd w:id="43"/>
    </w:p>
    <w:p w:rsidR="00A71A7E" w:rsidRDefault="006755C1" w:rsidP="00A71A7E">
      <w:pPr>
        <w:ind w:leftChars="300" w:left="630"/>
        <w:rPr>
          <w:rFonts w:ascii="楷体" w:eastAsia="楷体" w:hAnsi="楷体"/>
          <w:bCs/>
          <w:sz w:val="24"/>
          <w:szCs w:val="24"/>
        </w:rPr>
      </w:pPr>
      <w:r w:rsidRPr="006755C1">
        <w:rPr>
          <w:rFonts w:ascii="楷体" w:eastAsia="楷体" w:hAnsi="楷体" w:hint="eastAsia"/>
          <w:color w:val="000000" w:themeColor="text1"/>
          <w:sz w:val="24"/>
          <w:szCs w:val="24"/>
        </w:rPr>
        <w:t>纯碱价格继续下移。华东和西南地区轻重碱报价普跌100-200元/吨。华中地区重碱报价2500元/吨，青海地区重碱报价2300元/吨。供给方面，纯碱周产量接近70万吨。库存上，截至10月12日，周库存31.47万吨，环比+3.97吨，涨幅14.44%，持续累库，预计本周度继续累库6-7万吨左右。需求上，中下游观望情绪渐浓，采购谨慎。进出口上，月中进口陆续到港，10月累计进口约10万吨，盘面远月等待现货抢跑和累库逻辑兑现，仍建议反弹逢高沽空</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912287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9122871"/>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6755C1" w:rsidRPr="006755C1">
        <w:rPr>
          <w:rFonts w:ascii="楷体" w:eastAsia="楷体" w:hAnsi="楷体" w:hint="eastAsia"/>
          <w:b/>
          <w:sz w:val="24"/>
          <w:szCs w:val="24"/>
        </w:rPr>
        <w:t>跟随美豆震荡整理</w:t>
      </w:r>
      <w:bookmarkEnd w:id="45"/>
    </w:p>
    <w:p w:rsidR="003F56A5" w:rsidRDefault="006755C1">
      <w:pPr>
        <w:ind w:leftChars="300" w:left="630"/>
        <w:rPr>
          <w:rFonts w:ascii="楷体" w:eastAsia="楷体" w:hAnsi="楷体"/>
          <w:sz w:val="24"/>
          <w:szCs w:val="24"/>
        </w:rPr>
      </w:pPr>
      <w:r w:rsidRPr="006755C1">
        <w:rPr>
          <w:rFonts w:ascii="楷体" w:eastAsia="楷体" w:hAnsi="楷体" w:hint="eastAsia"/>
          <w:sz w:val="24"/>
          <w:szCs w:val="24"/>
        </w:rPr>
        <w:t>在新作收割持续推进，上市压力及成本支撑，CBOT大豆维持区间波动。虽美豆新季平衡表偏紧，现阶段对盘面影响有限，美豆当前出口及国内压榨改善，但仍面临着巴西大豆的出口竞争，当前收割快速推进阶段性卖压仍存，CBOT大豆价格预计上方空间有限。后续关注巴西大豆播种情况及美豆出口，南美当前仍维持丰产预期。国内现货基差继续承压，市场成交情况未见显著好转。供应端在9-10月份大豆阶段性到港减少下，当前油厂大豆库存维持偏低水平，随着油厂开机恢复，豆粕产出缓增，但部分油厂存断豆停机情况，油厂豆粕库存高于去年同期值为74.09万吨，当前沿海主流油厂豆粕现货报价小幅下调至4150-4290元/吨。9月份进口大豆到港量为715万吨，环比减23.6%，11-12月预计会增至月均1000万吨的到港，但对美豆新作整体买船偏慢，仍要关注后续大豆是否会有延迟到港情况。需求，下游生猪养殖利润不佳，但在能繁存栏高位下，下游维持刚需补库，保持安全库存，现货成交情况不佳。菜粕存供需改善预期，随着6月份后菜籽到港减少，油厂压榨也在逐步下滑，但四季度随着菜籽进口增加，菜粕供应预计转宽。而需求方面，随着水产消费旺季的结束，菜粕刚需减少，主要关注豆菜粕价差较大下带来的替代需求。策略方面，远月压力仍存，短期跟随外盘波动，下方空间预计有限</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9122872"/>
      <w:r>
        <w:rPr>
          <w:rFonts w:ascii="楷体" w:eastAsia="楷体" w:hAnsi="楷体" w:hint="eastAsia"/>
          <w:b/>
          <w:color w:val="000000" w:themeColor="text1"/>
          <w:sz w:val="24"/>
          <w:szCs w:val="24"/>
        </w:rPr>
        <w:t>油脂：</w:t>
      </w:r>
      <w:r w:rsidR="006755C1" w:rsidRPr="006755C1">
        <w:rPr>
          <w:rFonts w:ascii="楷体" w:eastAsia="楷体" w:hAnsi="楷体" w:hint="eastAsia"/>
          <w:b/>
          <w:sz w:val="24"/>
          <w:szCs w:val="24"/>
        </w:rPr>
        <w:t>短期缺乏驱动，宽幅震荡</w:t>
      </w:r>
      <w:bookmarkEnd w:id="46"/>
    </w:p>
    <w:p w:rsidR="003F56A5" w:rsidRDefault="006755C1" w:rsidP="00792D31">
      <w:pPr>
        <w:ind w:leftChars="300" w:left="630"/>
        <w:rPr>
          <w:rFonts w:ascii="楷体" w:eastAsia="楷体" w:hAnsi="楷体"/>
          <w:sz w:val="24"/>
          <w:szCs w:val="24"/>
        </w:rPr>
      </w:pPr>
      <w:r w:rsidRPr="006755C1">
        <w:rPr>
          <w:rFonts w:ascii="楷体" w:eastAsia="楷体" w:hAnsi="楷体" w:hint="eastAsia"/>
          <w:sz w:val="24"/>
          <w:szCs w:val="24"/>
        </w:rPr>
        <w:t>当前油脂供过于求格局尚未改变下，在库存相对高位压制下，价格缺乏上行驱动。棕榈油，产地季节性增产周期下10月存继续累库预期，印尼棕榈油7月份因产量增幅不及需求增幅，库存继续下降。而马棕9月库存增至新高，基本符合市场预期。从马棕10月前20日的产量及出口数据来看，预计10月仍将保持累库趋势；但11月将进入产地季节性减产阶段，关注厄尔尼诺对产量的影响，为中长期潜在利多因素。国内棕榈油7-8月份进口到港维持高位，在买船积极下，供应端稳增，最新商业库存为80.91万吨。需求端，随着各地气温下降，棕榈油逐步进入消费淡季，掺混需求预计减少，棕榈油10月份预计表现偏弱。豆油库存去化仍需看需求增量。国内受9-10月大豆到港减少大豆库存偏低影响，虽油厂开机陆续恢复，但整体压榨水平偏低，豆油供应缓增。需求端，终端存在一定补库需求，且四季度为豆油消费旺季，部分掺混需求预计转向豆油，但当前价格优势并不明显，限制替代需求，近期成交未见增量。菜油短期供应压力减轻，但四季度存供应宽松预期。当前主产地菜籽新作产量不确定性仍存，但当前加籽收割基本结束，集中上市压力也抑制期价走势。虽8-9月份进口加籽到港量减少，菜籽开机及压榨水平偏低，但整体仍高于去年同期，9月菜籽进口32万吨，环比减18.9%，四季度菜籽进口将增加。需求方面，与豆油价差持续收窄，库存去化仍需看到替代需求出现。短期油脂维持宽幅震荡，上行驱动不足，建议在连日下跌后关注下方支撑或关注豆棕套利低多机会；后续关注天气及需求表现，中长期维持谨慎看多观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9122873"/>
      <w:r>
        <w:rPr>
          <w:rFonts w:ascii="楷体" w:eastAsia="楷体" w:hAnsi="楷体" w:hint="eastAsia"/>
          <w:b/>
          <w:bCs/>
          <w:color w:val="000000" w:themeColor="text1"/>
        </w:rPr>
        <w:t>玉米与淀粉：</w:t>
      </w:r>
      <w:r w:rsidR="00DC47C0" w:rsidRPr="00DC47C0">
        <w:rPr>
          <w:rFonts w:ascii="楷体" w:eastAsia="楷体" w:hAnsi="楷体" w:hint="eastAsia"/>
          <w:b/>
        </w:rPr>
        <w:t>期价继续震荡反弹</w:t>
      </w:r>
      <w:bookmarkEnd w:id="47"/>
    </w:p>
    <w:p w:rsidR="00DC47C0" w:rsidRPr="00DC47C0" w:rsidRDefault="00DC47C0" w:rsidP="00DC47C0">
      <w:pPr>
        <w:pStyle w:val="paragraph"/>
        <w:spacing w:before="60" w:after="60"/>
        <w:ind w:leftChars="300" w:left="630"/>
        <w:rPr>
          <w:rFonts w:ascii="楷体" w:eastAsia="楷体" w:hAnsi="楷体" w:hint="eastAsia"/>
        </w:rPr>
      </w:pPr>
      <w:r w:rsidRPr="00DC47C0">
        <w:rPr>
          <w:rFonts w:ascii="楷体" w:eastAsia="楷体" w:hAnsi="楷体" w:hint="eastAsia"/>
        </w:rPr>
        <w:t>对于玉米而言，在期价持续回落过程中，期现货结构转为现货升水11月，11月升水1月，但之后各合约转为远月小幅升水。这一期期现结构反映两个问题，其一是当前市场担心在于新作压力，其二是市场对于新作供需预期依然紧张，这意味着市场在等待新作压力释放后的低点再行入场，基于年度产需缺口进入补库存阶段。基于这样的理解，接下来需要关注三个层面，其一是期价下方的空间，其二是后期上涨驱动因素，其三是新作上市压力释放到主动补库存的转折时点。在我们看来，当前期价已经具备安全边际，且有市场渠道库存偏低和小麦现货上涨两个潜在上涨驱动因素，但目前尚不确定新作压力释放向主动补库存的转折时点。综上所述，我们维持谨慎看多观点，建议谨慎投资者观望，激进投资者择机做多，或持有前期多单。</w:t>
      </w:r>
    </w:p>
    <w:p w:rsidR="003F56A5" w:rsidRDefault="00DC47C0" w:rsidP="00DC47C0">
      <w:pPr>
        <w:pStyle w:val="paragraph"/>
        <w:spacing w:before="60" w:beforeAutospacing="0" w:after="60" w:afterAutospacing="0"/>
        <w:ind w:leftChars="300" w:left="630"/>
        <w:rPr>
          <w:rFonts w:ascii="楷体" w:eastAsia="楷体" w:hAnsi="楷体"/>
        </w:rPr>
      </w:pPr>
      <w:r w:rsidRPr="00DC47C0">
        <w:rPr>
          <w:rFonts w:ascii="楷体" w:eastAsia="楷体" w:hAnsi="楷体" w:hint="eastAsia"/>
        </w:rPr>
        <w:t>对于淀粉而言，近期淀粉-玉米价差整体收窄，主要源于原料成本端的担忧，但行业供需端和副产品端相对利多，特别是副产品价格持续下跌影响相对较大，主要逻辑有二，其一是通过现货生产利润影响行业开机率，即通过供应端影响行业供需；其二是通过现货生产利润影响现货价格，继而通过基差影响盘面期价，因当前基差处于历史同期高位。在这种情况下，考虑到副产品、行业供需和现货基差三个方面因素，结合前面对玉米原料端的分析，我们倾向于后期淀粉-玉米价差有望再度走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9122874"/>
      <w:r>
        <w:rPr>
          <w:rFonts w:ascii="楷体" w:eastAsia="楷体" w:hAnsi="楷体" w:hint="eastAsia"/>
          <w:b/>
          <w:bCs/>
          <w:color w:val="000000" w:themeColor="text1"/>
        </w:rPr>
        <w:t>畜禽养殖：</w:t>
      </w:r>
      <w:r w:rsidR="00DC47C0" w:rsidRPr="00DC47C0">
        <w:rPr>
          <w:rFonts w:ascii="楷体" w:eastAsia="楷体" w:hAnsi="楷体" w:hint="eastAsia"/>
          <w:b/>
          <w:bCs/>
          <w:color w:val="000000" w:themeColor="text1"/>
        </w:rPr>
        <w:t>鸡蛋现货带动期价继续下跌</w:t>
      </w:r>
      <w:bookmarkEnd w:id="48"/>
    </w:p>
    <w:p w:rsidR="00DC47C0" w:rsidRPr="00DC47C0" w:rsidRDefault="00DC47C0" w:rsidP="00DC47C0">
      <w:pPr>
        <w:pStyle w:val="paragraph"/>
        <w:spacing w:before="60" w:after="60"/>
        <w:ind w:leftChars="300" w:left="630"/>
        <w:rPr>
          <w:rFonts w:ascii="楷体" w:eastAsia="楷体" w:hAnsi="楷体" w:hint="eastAsia"/>
        </w:rPr>
      </w:pPr>
      <w:r w:rsidRPr="00DC47C0">
        <w:rPr>
          <w:rFonts w:ascii="楷体" w:eastAsia="楷体" w:hAnsi="楷体" w:hint="eastAsia"/>
        </w:rPr>
        <w:t>对于生猪而言，在前期报告中我们指出，考虑到各方数据显示生猪产能去化缓慢，表明7月下旬以来的猪价上涨是供应去化带来的阶段性反弹，而非产能去化所带来的周期见底。在这种情况下，市场或更多关注现货价格波动的区间和节奏，就空间而言，参考农业农村部的数据，下半年总体供需环比上半年趋于改善，下半年现货价格波动区间较上半年有望抬高。当然，7月底现货价格反弹之后，由于市场整体供应依然充足，其上方空间亦有限，期价波动或更多取决于节奏。节奏主要是指市场通过压栏、二次育肥和冷冻库存来影响市场的供应变化，再结合需求的季节性变动，来影响期现货的波动节奏。考虑到市场供需矛盾并不突出，且接下来现货波动的节奏存在分歧，不确定性较大，观点维持中性，建议投资者继续观望为宜。</w:t>
      </w:r>
    </w:p>
    <w:p w:rsidR="003F56A5" w:rsidRDefault="00DC47C0" w:rsidP="00DC47C0">
      <w:pPr>
        <w:pStyle w:val="paragraph"/>
        <w:spacing w:before="60" w:beforeAutospacing="0" w:after="60" w:afterAutospacing="0"/>
        <w:ind w:leftChars="300" w:left="630"/>
        <w:rPr>
          <w:rFonts w:ascii="楷体" w:eastAsia="楷体" w:hAnsi="楷体"/>
        </w:rPr>
      </w:pPr>
      <w:r w:rsidRPr="00DC47C0">
        <w:rPr>
          <w:rFonts w:ascii="楷体" w:eastAsia="楷体" w:hAnsi="楷体" w:hint="eastAsia"/>
        </w:rPr>
        <w:t>对于鸡蛋而言，9月期间期价特别是近月表现强于市场之前预期，主要源于今年现货季节性高点出现时间晚于往年，这使得市场担心前期悲观预期可能落空，甚至出现类似于去年10月现货再创新高的情况。但在我们看来，9月上半月现货表现强于预期或更多源于两个方面的原因，其一是今年春节后现货相对高位，鸡蛋进入冷库形成库存量相对较低，其二是市场对后期价格悲观，渠道库存偏低。而从供需角度看，卓创资讯数据显示，在产蛋鸡存栏连续三个月环比增加，考虑到今年节后以来蛋鸡苗</w:t>
      </w:r>
      <w:r w:rsidRPr="00DC47C0">
        <w:rPr>
          <w:rFonts w:ascii="楷体" w:eastAsia="楷体" w:hAnsi="楷体" w:hint="eastAsia"/>
        </w:rPr>
        <w:lastRenderedPageBreak/>
        <w:t>销量均同比增加，而蛋鸡淘汰量持续处于历史低位水平，蛋鸡淘汰日龄则持续位于历史同期高位，由此可以看出，后期鸡蛋供需有望趋于改善。考虑到近期现货下跌幅度符合季节性回落预期，后期需要担心叠加春节后补栏带来的供应增量，现货表现或弱于预期，在这种情况下，我们维持谨慎看空观点</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9122875"/>
      <w:r>
        <w:rPr>
          <w:rFonts w:ascii="楷体" w:eastAsia="楷体" w:hAnsi="楷体" w:hint="eastAsia"/>
          <w:b/>
          <w:sz w:val="24"/>
          <w:szCs w:val="24"/>
        </w:rPr>
        <w:t>郑棉：</w:t>
      </w:r>
      <w:r w:rsidR="006755C1" w:rsidRPr="006755C1">
        <w:rPr>
          <w:rFonts w:ascii="楷体" w:eastAsia="楷体" w:hAnsi="楷体" w:hint="eastAsia"/>
          <w:b/>
          <w:sz w:val="24"/>
          <w:szCs w:val="24"/>
        </w:rPr>
        <w:t>金叉后短期技术性反弹，短多或观望</w:t>
      </w:r>
      <w:bookmarkEnd w:id="49"/>
    </w:p>
    <w:p w:rsidR="003F56A5" w:rsidRDefault="006755C1" w:rsidP="007B3290">
      <w:pPr>
        <w:ind w:leftChars="300" w:left="630"/>
        <w:rPr>
          <w:rFonts w:ascii="楷体" w:eastAsia="楷体" w:hAnsi="楷体"/>
          <w:sz w:val="24"/>
          <w:szCs w:val="24"/>
        </w:rPr>
      </w:pPr>
      <w:r w:rsidRPr="006755C1">
        <w:rPr>
          <w:rFonts w:ascii="楷体" w:eastAsia="楷体" w:hAnsi="楷体" w:hint="eastAsia"/>
          <w:sz w:val="24"/>
          <w:szCs w:val="24"/>
        </w:rPr>
        <w:t>供应端方面随着进口的增加和新棉上市预期，棉花供应已趋宽松。下游旺季不旺，纺织厂和印染、布料皆维持着较低开机率。社会大量库存压制，棉纱价格走弱，亏损加深。且由于担忧新棉上市时原料价格大幅升高，纺织企业都已囤积了相对足量的棉花原料。供强需弱格局下，新棉的成本支撑表现不强，轧花厂紧随期货价格走势，对籽棉收购价紧随期货走势进行了下调，棉农惜售情绪大幅减弱。不过，近两周时间郑棉主力已跌去2000＋元／吨，已反映了多数利空，期现基差升至高位，下方空间已有限。随着金融市场信心近期有所恢复，交出金叉后郑棉有望反弹回1.65万元/吨附近</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50" w:name="_Toc149122876"/>
      <w:r>
        <w:rPr>
          <w:rFonts w:ascii="楷体" w:eastAsia="楷体" w:hAnsi="楷体" w:hint="eastAsia"/>
          <w:b/>
          <w:sz w:val="24"/>
          <w:szCs w:val="24"/>
        </w:rPr>
        <w:t>白糖：</w:t>
      </w:r>
      <w:r w:rsidR="006755C1" w:rsidRPr="006755C1">
        <w:rPr>
          <w:rFonts w:ascii="楷体" w:eastAsia="楷体" w:hAnsi="楷体" w:hint="eastAsia"/>
          <w:b/>
          <w:sz w:val="24"/>
          <w:szCs w:val="24"/>
        </w:rPr>
        <w:t>6900附近逢高布局空单</w:t>
      </w:r>
      <w:bookmarkEnd w:id="50"/>
    </w:p>
    <w:p w:rsidR="00296325" w:rsidRDefault="006755C1" w:rsidP="00296325">
      <w:pPr>
        <w:ind w:leftChars="300" w:left="630"/>
        <w:rPr>
          <w:rFonts w:ascii="楷体" w:eastAsia="楷体" w:hAnsi="楷体"/>
          <w:sz w:val="24"/>
          <w:szCs w:val="24"/>
        </w:rPr>
      </w:pPr>
      <w:r w:rsidRPr="006755C1">
        <w:rPr>
          <w:rFonts w:ascii="楷体" w:eastAsia="楷体" w:hAnsi="楷体" w:hint="eastAsia"/>
          <w:sz w:val="24"/>
          <w:szCs w:val="24"/>
        </w:rPr>
        <w:t>尽管巴西丰产限制着国际糖价上涨高度，但厄尔尼诺天气影响下，市场对新季白糖的供应依然感到担忧，原糖期货再度收高。主要产糖大国印度的乙醇燃料计划使其甘蔗使用量大增，此外新季减产概率较大。泰国的产糖前景也不乐观。对于国内糖价来说，传闻10月交割的原糖大部分将运往中国，新榨季也已开始，供应紧张局面短期内有所缓解。不过，国家统计局10月19日公布的数据显示，中国9月成品糖产量为26.2万吨，同比下滑31.1%。产量能否达到预期仍有待观察。2401主力合约预计区间6700-6900震荡</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152664" w:rsidRDefault="00152664" w:rsidP="00152664">
      <w:pPr>
        <w:pBdr>
          <w:top w:val="single" w:sz="4" w:space="0" w:color="auto"/>
        </w:pBdr>
        <w:outlineLvl w:val="0"/>
        <w:rPr>
          <w:rFonts w:ascii="Times New Roman" w:eastAsia="楷体" w:hAnsi="Times New Roman"/>
          <w:b/>
          <w:color w:val="823C0B"/>
        </w:rPr>
      </w:pPr>
      <w:bookmarkStart w:id="51" w:name="_Toc149122877"/>
      <w:r>
        <w:rPr>
          <w:rFonts w:ascii="Times New Roman" w:eastAsia="楷体" w:hAnsi="Times New Roman" w:hint="eastAsia"/>
          <w:b/>
          <w:color w:val="823C0B"/>
          <w:sz w:val="30"/>
          <w:szCs w:val="30"/>
        </w:rPr>
        <w:t>[</w:t>
      </w:r>
      <w:r w:rsidRPr="00152664">
        <w:rPr>
          <w:rFonts w:ascii="Times New Roman" w:eastAsia="楷体" w:hAnsi="Times New Roman" w:hint="eastAsia"/>
          <w:b/>
          <w:color w:val="823C0B"/>
          <w:sz w:val="30"/>
          <w:szCs w:val="30"/>
        </w:rPr>
        <w:t>指数</w:t>
      </w:r>
      <w:r>
        <w:rPr>
          <w:rFonts w:ascii="Times New Roman" w:eastAsia="楷体" w:hAnsi="Times New Roman" w:hint="eastAsia"/>
          <w:b/>
          <w:color w:val="823C0B"/>
          <w:sz w:val="30"/>
          <w:szCs w:val="30"/>
        </w:rPr>
        <w:t>]</w:t>
      </w:r>
      <w:bookmarkEnd w:id="51"/>
    </w:p>
    <w:p w:rsidR="00152664" w:rsidRDefault="00152664" w:rsidP="00152664">
      <w:pPr>
        <w:ind w:leftChars="200" w:left="420"/>
        <w:outlineLvl w:val="1"/>
        <w:rPr>
          <w:rFonts w:ascii="Times New Roman" w:eastAsia="楷体" w:hAnsi="Times New Roman"/>
          <w:b/>
          <w:color w:val="000000" w:themeColor="text1"/>
          <w:sz w:val="24"/>
          <w:szCs w:val="24"/>
        </w:rPr>
      </w:pPr>
      <w:bookmarkStart w:id="52" w:name="_Toc149122878"/>
      <w:r w:rsidRPr="00152664">
        <w:rPr>
          <w:rFonts w:ascii="Times New Roman" w:eastAsia="楷体" w:hAnsi="Times New Roman" w:hint="eastAsia"/>
          <w:b/>
          <w:color w:val="000000" w:themeColor="text1"/>
          <w:sz w:val="24"/>
          <w:szCs w:val="24"/>
        </w:rPr>
        <w:t>集运指数（欧线）</w:t>
      </w:r>
      <w:r>
        <w:rPr>
          <w:rFonts w:ascii="Times New Roman" w:eastAsia="楷体" w:hAnsi="Times New Roman" w:hint="eastAsia"/>
          <w:b/>
          <w:color w:val="000000" w:themeColor="text1"/>
          <w:sz w:val="24"/>
          <w:szCs w:val="24"/>
        </w:rPr>
        <w:t>：</w:t>
      </w:r>
      <w:r w:rsidR="00DC47C0" w:rsidRPr="00DC47C0">
        <w:rPr>
          <w:rFonts w:ascii="Times New Roman" w:eastAsia="楷体" w:hAnsi="Times New Roman" w:hint="eastAsia"/>
          <w:b/>
          <w:color w:val="000000" w:themeColor="text1"/>
          <w:sz w:val="24"/>
          <w:szCs w:val="24"/>
        </w:rPr>
        <w:t>即期运价有所支撑，船东挺价效果初现，但或难以持续</w:t>
      </w:r>
      <w:bookmarkEnd w:id="52"/>
    </w:p>
    <w:p w:rsidR="00DC47C0" w:rsidRPr="00DC47C0" w:rsidRDefault="00DC47C0" w:rsidP="00DC47C0">
      <w:pPr>
        <w:ind w:leftChars="300" w:left="630"/>
        <w:rPr>
          <w:rFonts w:ascii="Times New Roman" w:eastAsia="楷体" w:hAnsi="Times New Roman" w:hint="eastAsia"/>
          <w:color w:val="000000" w:themeColor="text1"/>
          <w:sz w:val="24"/>
          <w:szCs w:val="24"/>
        </w:rPr>
      </w:pPr>
      <w:r w:rsidRPr="00DC47C0">
        <w:rPr>
          <w:rFonts w:ascii="Times New Roman" w:eastAsia="楷体" w:hAnsi="Times New Roman" w:hint="eastAsia"/>
          <w:color w:val="000000" w:themeColor="text1"/>
          <w:sz w:val="24"/>
          <w:szCs w:val="24"/>
        </w:rPr>
        <w:t>10</w:t>
      </w:r>
      <w:r w:rsidRPr="00DC47C0">
        <w:rPr>
          <w:rFonts w:ascii="Times New Roman" w:eastAsia="楷体" w:hAnsi="Times New Roman" w:hint="eastAsia"/>
          <w:color w:val="000000" w:themeColor="text1"/>
          <w:sz w:val="24"/>
          <w:szCs w:val="24"/>
        </w:rPr>
        <w:t>月</w:t>
      </w:r>
      <w:r w:rsidRPr="00DC47C0">
        <w:rPr>
          <w:rFonts w:ascii="Times New Roman" w:eastAsia="楷体" w:hAnsi="Times New Roman" w:hint="eastAsia"/>
          <w:color w:val="000000" w:themeColor="text1"/>
          <w:sz w:val="24"/>
          <w:szCs w:val="24"/>
        </w:rPr>
        <w:t>23</w:t>
      </w:r>
      <w:r w:rsidRPr="00DC47C0">
        <w:rPr>
          <w:rFonts w:ascii="Times New Roman" w:eastAsia="楷体" w:hAnsi="Times New Roman" w:hint="eastAsia"/>
          <w:color w:val="000000" w:themeColor="text1"/>
          <w:sz w:val="24"/>
          <w:szCs w:val="24"/>
        </w:rPr>
        <w:t>日，</w:t>
      </w:r>
      <w:r w:rsidRPr="00DC47C0">
        <w:rPr>
          <w:rFonts w:ascii="Times New Roman" w:eastAsia="楷体" w:hAnsi="Times New Roman" w:hint="eastAsia"/>
          <w:color w:val="000000" w:themeColor="text1"/>
          <w:sz w:val="24"/>
          <w:szCs w:val="24"/>
        </w:rPr>
        <w:t>SCFIS</w:t>
      </w:r>
      <w:r w:rsidRPr="00DC47C0">
        <w:rPr>
          <w:rFonts w:ascii="Times New Roman" w:eastAsia="楷体" w:hAnsi="Times New Roman" w:hint="eastAsia"/>
          <w:color w:val="000000" w:themeColor="text1"/>
          <w:sz w:val="24"/>
          <w:szCs w:val="24"/>
        </w:rPr>
        <w:t>欧线结算运价指数报于</w:t>
      </w:r>
      <w:r w:rsidRPr="00DC47C0">
        <w:rPr>
          <w:rFonts w:ascii="Times New Roman" w:eastAsia="楷体" w:hAnsi="Times New Roman" w:hint="eastAsia"/>
          <w:color w:val="000000" w:themeColor="text1"/>
          <w:sz w:val="24"/>
          <w:szCs w:val="24"/>
        </w:rPr>
        <w:t>597.17</w:t>
      </w:r>
      <w:r w:rsidRPr="00DC47C0">
        <w:rPr>
          <w:rFonts w:ascii="Times New Roman" w:eastAsia="楷体" w:hAnsi="Times New Roman" w:hint="eastAsia"/>
          <w:color w:val="000000" w:themeColor="text1"/>
          <w:sz w:val="24"/>
          <w:szCs w:val="24"/>
        </w:rPr>
        <w:t>点，环比回落</w:t>
      </w:r>
      <w:r w:rsidRPr="00DC47C0">
        <w:rPr>
          <w:rFonts w:ascii="Times New Roman" w:eastAsia="楷体" w:hAnsi="Times New Roman" w:hint="eastAsia"/>
          <w:color w:val="000000" w:themeColor="text1"/>
          <w:sz w:val="24"/>
          <w:szCs w:val="24"/>
        </w:rPr>
        <w:t>0.53%</w:t>
      </w:r>
      <w:r w:rsidRPr="00DC47C0">
        <w:rPr>
          <w:rFonts w:ascii="Times New Roman" w:eastAsia="楷体" w:hAnsi="Times New Roman" w:hint="eastAsia"/>
          <w:color w:val="000000" w:themeColor="text1"/>
          <w:sz w:val="24"/>
          <w:szCs w:val="24"/>
        </w:rPr>
        <w:t>，</w:t>
      </w:r>
      <w:r w:rsidRPr="00DC47C0">
        <w:rPr>
          <w:rFonts w:ascii="Times New Roman" w:eastAsia="楷体" w:hAnsi="Times New Roman" w:hint="eastAsia"/>
          <w:color w:val="000000" w:themeColor="text1"/>
          <w:sz w:val="24"/>
          <w:szCs w:val="24"/>
        </w:rPr>
        <w:t>10</w:t>
      </w:r>
      <w:r w:rsidRPr="00DC47C0">
        <w:rPr>
          <w:rFonts w:ascii="Times New Roman" w:eastAsia="楷体" w:hAnsi="Times New Roman" w:hint="eastAsia"/>
          <w:color w:val="000000" w:themeColor="text1"/>
          <w:sz w:val="24"/>
          <w:szCs w:val="24"/>
        </w:rPr>
        <w:t>月</w:t>
      </w:r>
      <w:r w:rsidRPr="00DC47C0">
        <w:rPr>
          <w:rFonts w:ascii="Times New Roman" w:eastAsia="楷体" w:hAnsi="Times New Roman" w:hint="eastAsia"/>
          <w:color w:val="000000" w:themeColor="text1"/>
          <w:sz w:val="24"/>
          <w:szCs w:val="24"/>
        </w:rPr>
        <w:t>20</w:t>
      </w:r>
      <w:r w:rsidRPr="00DC47C0">
        <w:rPr>
          <w:rFonts w:ascii="Times New Roman" w:eastAsia="楷体" w:hAnsi="Times New Roman" w:hint="eastAsia"/>
          <w:color w:val="000000" w:themeColor="text1"/>
          <w:sz w:val="24"/>
          <w:szCs w:val="24"/>
        </w:rPr>
        <w:t>日公布</w:t>
      </w:r>
      <w:r w:rsidRPr="00DC47C0">
        <w:rPr>
          <w:rFonts w:ascii="Times New Roman" w:eastAsia="楷体" w:hAnsi="Times New Roman" w:hint="eastAsia"/>
          <w:color w:val="000000" w:themeColor="text1"/>
          <w:sz w:val="24"/>
          <w:szCs w:val="24"/>
        </w:rPr>
        <w:t>SCFI</w:t>
      </w:r>
      <w:r w:rsidRPr="00DC47C0">
        <w:rPr>
          <w:rFonts w:ascii="Times New Roman" w:eastAsia="楷体" w:hAnsi="Times New Roman" w:hint="eastAsia"/>
          <w:color w:val="000000" w:themeColor="text1"/>
          <w:sz w:val="24"/>
          <w:szCs w:val="24"/>
        </w:rPr>
        <w:t>数据上涨，表明本周即期运价有止跌迹象，供需矛盾边际改善。本周正值</w:t>
      </w:r>
      <w:r w:rsidRPr="00DC47C0">
        <w:rPr>
          <w:rFonts w:ascii="Times New Roman" w:eastAsia="楷体" w:hAnsi="Times New Roman" w:hint="eastAsia"/>
          <w:color w:val="000000" w:themeColor="text1"/>
          <w:sz w:val="24"/>
          <w:szCs w:val="24"/>
        </w:rPr>
        <w:t>11</w:t>
      </w:r>
      <w:r w:rsidRPr="00DC47C0">
        <w:rPr>
          <w:rFonts w:ascii="Times New Roman" w:eastAsia="楷体" w:hAnsi="Times New Roman" w:hint="eastAsia"/>
          <w:color w:val="000000" w:themeColor="text1"/>
          <w:sz w:val="24"/>
          <w:szCs w:val="24"/>
        </w:rPr>
        <w:t>月初三大船东（达飞、赫伯罗特、马士基）准备提价前的最后一周，对期货的支撑力度成重点关注。在供应端，船公司此前释出停航与</w:t>
      </w:r>
      <w:r w:rsidRPr="00DC47C0">
        <w:rPr>
          <w:rFonts w:ascii="Times New Roman" w:eastAsia="楷体" w:hAnsi="Times New Roman" w:hint="eastAsia"/>
          <w:color w:val="000000" w:themeColor="text1"/>
          <w:sz w:val="24"/>
          <w:szCs w:val="24"/>
        </w:rPr>
        <w:t>11</w:t>
      </w:r>
      <w:r w:rsidRPr="00DC47C0">
        <w:rPr>
          <w:rFonts w:ascii="Times New Roman" w:eastAsia="楷体" w:hAnsi="Times New Roman" w:hint="eastAsia"/>
          <w:color w:val="000000" w:themeColor="text1"/>
          <w:sz w:val="24"/>
          <w:szCs w:val="24"/>
        </w:rPr>
        <w:t>月开始调高运价的挺价计划，其中欧洲航线运力缩减幅度较大。外需方面，欧洲经济在今年增长疲软，进出口贸易额同比增速一直在下降。欧洲</w:t>
      </w:r>
      <w:r w:rsidRPr="00DC47C0">
        <w:rPr>
          <w:rFonts w:ascii="Times New Roman" w:eastAsia="楷体" w:hAnsi="Times New Roman" w:hint="eastAsia"/>
          <w:color w:val="000000" w:themeColor="text1"/>
          <w:sz w:val="24"/>
          <w:szCs w:val="24"/>
        </w:rPr>
        <w:t>10</w:t>
      </w:r>
      <w:r w:rsidRPr="00DC47C0">
        <w:rPr>
          <w:rFonts w:ascii="Times New Roman" w:eastAsia="楷体" w:hAnsi="Times New Roman" w:hint="eastAsia"/>
          <w:color w:val="000000" w:themeColor="text1"/>
          <w:sz w:val="24"/>
          <w:szCs w:val="24"/>
        </w:rPr>
        <w:t>月</w:t>
      </w:r>
      <w:r w:rsidRPr="00DC47C0">
        <w:rPr>
          <w:rFonts w:ascii="Times New Roman" w:eastAsia="楷体" w:hAnsi="Times New Roman" w:hint="eastAsia"/>
          <w:color w:val="000000" w:themeColor="text1"/>
          <w:sz w:val="24"/>
          <w:szCs w:val="24"/>
        </w:rPr>
        <w:t>PMI</w:t>
      </w:r>
      <w:r w:rsidRPr="00DC47C0">
        <w:rPr>
          <w:rFonts w:ascii="Times New Roman" w:eastAsia="楷体" w:hAnsi="Times New Roman" w:hint="eastAsia"/>
          <w:color w:val="000000" w:themeColor="text1"/>
          <w:sz w:val="24"/>
          <w:szCs w:val="24"/>
        </w:rPr>
        <w:t>初值</w:t>
      </w:r>
      <w:r w:rsidRPr="00DC47C0">
        <w:rPr>
          <w:rFonts w:ascii="Times New Roman" w:eastAsia="楷体" w:hAnsi="Times New Roman" w:hint="eastAsia"/>
          <w:color w:val="000000" w:themeColor="text1"/>
          <w:sz w:val="24"/>
          <w:szCs w:val="24"/>
        </w:rPr>
        <w:t>43</w:t>
      </w:r>
      <w:r w:rsidRPr="00DC47C0">
        <w:rPr>
          <w:rFonts w:ascii="Times New Roman" w:eastAsia="楷体" w:hAnsi="Times New Roman" w:hint="eastAsia"/>
          <w:color w:val="000000" w:themeColor="text1"/>
          <w:sz w:val="24"/>
          <w:szCs w:val="24"/>
        </w:rPr>
        <w:t>，预期</w:t>
      </w:r>
      <w:r w:rsidRPr="00DC47C0">
        <w:rPr>
          <w:rFonts w:ascii="Times New Roman" w:eastAsia="楷体" w:hAnsi="Times New Roman" w:hint="eastAsia"/>
          <w:color w:val="000000" w:themeColor="text1"/>
          <w:sz w:val="24"/>
          <w:szCs w:val="24"/>
        </w:rPr>
        <w:t>43.7</w:t>
      </w:r>
      <w:r w:rsidRPr="00DC47C0">
        <w:rPr>
          <w:rFonts w:ascii="Times New Roman" w:eastAsia="楷体" w:hAnsi="Times New Roman" w:hint="eastAsia"/>
          <w:color w:val="000000" w:themeColor="text1"/>
          <w:sz w:val="24"/>
          <w:szCs w:val="24"/>
        </w:rPr>
        <w:t>，较上月下跌</w:t>
      </w:r>
      <w:r w:rsidRPr="00DC47C0">
        <w:rPr>
          <w:rFonts w:ascii="Times New Roman" w:eastAsia="楷体" w:hAnsi="Times New Roman" w:hint="eastAsia"/>
          <w:color w:val="000000" w:themeColor="text1"/>
          <w:sz w:val="24"/>
          <w:szCs w:val="24"/>
        </w:rPr>
        <w:t>0.4</w:t>
      </w:r>
      <w:r w:rsidRPr="00DC47C0">
        <w:rPr>
          <w:rFonts w:ascii="Times New Roman" w:eastAsia="楷体" w:hAnsi="Times New Roman" w:hint="eastAsia"/>
          <w:color w:val="000000" w:themeColor="text1"/>
          <w:sz w:val="24"/>
          <w:szCs w:val="24"/>
        </w:rPr>
        <w:t>，连续</w:t>
      </w:r>
      <w:r w:rsidRPr="00DC47C0">
        <w:rPr>
          <w:rFonts w:ascii="Times New Roman" w:eastAsia="楷体" w:hAnsi="Times New Roman" w:hint="eastAsia"/>
          <w:color w:val="000000" w:themeColor="text1"/>
          <w:sz w:val="24"/>
          <w:szCs w:val="24"/>
        </w:rPr>
        <w:t>16</w:t>
      </w:r>
      <w:r w:rsidRPr="00DC47C0">
        <w:rPr>
          <w:rFonts w:ascii="Times New Roman" w:eastAsia="楷体" w:hAnsi="Times New Roman" w:hint="eastAsia"/>
          <w:color w:val="000000" w:themeColor="text1"/>
          <w:sz w:val="24"/>
          <w:szCs w:val="24"/>
        </w:rPr>
        <w:t>个月处于</w:t>
      </w:r>
      <w:r w:rsidRPr="00DC47C0">
        <w:rPr>
          <w:rFonts w:ascii="Times New Roman" w:eastAsia="楷体" w:hAnsi="Times New Roman" w:hint="eastAsia"/>
          <w:color w:val="000000" w:themeColor="text1"/>
          <w:sz w:val="24"/>
          <w:szCs w:val="24"/>
        </w:rPr>
        <w:t>50</w:t>
      </w:r>
      <w:r w:rsidRPr="00DC47C0">
        <w:rPr>
          <w:rFonts w:ascii="Times New Roman" w:eastAsia="楷体" w:hAnsi="Times New Roman" w:hint="eastAsia"/>
          <w:color w:val="000000" w:themeColor="text1"/>
          <w:sz w:val="24"/>
          <w:szCs w:val="24"/>
        </w:rPr>
        <w:t>以下，欧洲需求依然难言改善。交易所方面在</w:t>
      </w:r>
      <w:r w:rsidRPr="00DC47C0">
        <w:rPr>
          <w:rFonts w:ascii="Times New Roman" w:eastAsia="楷体" w:hAnsi="Times New Roman" w:hint="eastAsia"/>
          <w:color w:val="000000" w:themeColor="text1"/>
          <w:sz w:val="24"/>
          <w:szCs w:val="24"/>
        </w:rPr>
        <w:t>26</w:t>
      </w:r>
      <w:r w:rsidRPr="00DC47C0">
        <w:rPr>
          <w:rFonts w:ascii="Times New Roman" w:eastAsia="楷体" w:hAnsi="Times New Roman" w:hint="eastAsia"/>
          <w:color w:val="000000" w:themeColor="text1"/>
          <w:sz w:val="24"/>
          <w:szCs w:val="24"/>
        </w:rPr>
        <w:t>日起，上调合约成交手续费至万分之二，并调整非期货公司会员、境外特殊非经纪参与者、客户在</w:t>
      </w:r>
      <w:r w:rsidRPr="00DC47C0">
        <w:rPr>
          <w:rFonts w:ascii="Times New Roman" w:eastAsia="楷体" w:hAnsi="Times New Roman" w:hint="eastAsia"/>
          <w:color w:val="000000" w:themeColor="text1"/>
          <w:sz w:val="24"/>
          <w:szCs w:val="24"/>
        </w:rPr>
        <w:t>EC2404</w:t>
      </w:r>
      <w:r w:rsidRPr="00DC47C0">
        <w:rPr>
          <w:rFonts w:ascii="Times New Roman" w:eastAsia="楷体" w:hAnsi="Times New Roman" w:hint="eastAsia"/>
          <w:color w:val="000000" w:themeColor="text1"/>
          <w:sz w:val="24"/>
          <w:szCs w:val="24"/>
        </w:rPr>
        <w:t>合约日内开仓交易限额为</w:t>
      </w:r>
      <w:r w:rsidRPr="00DC47C0">
        <w:rPr>
          <w:rFonts w:ascii="Times New Roman" w:eastAsia="楷体" w:hAnsi="Times New Roman" w:hint="eastAsia"/>
          <w:color w:val="000000" w:themeColor="text1"/>
          <w:sz w:val="24"/>
          <w:szCs w:val="24"/>
        </w:rPr>
        <w:t>500</w:t>
      </w:r>
      <w:r w:rsidRPr="00DC47C0">
        <w:rPr>
          <w:rFonts w:ascii="Times New Roman" w:eastAsia="楷体" w:hAnsi="Times New Roman" w:hint="eastAsia"/>
          <w:color w:val="000000" w:themeColor="text1"/>
          <w:sz w:val="24"/>
          <w:szCs w:val="24"/>
        </w:rPr>
        <w:t>手。</w:t>
      </w:r>
    </w:p>
    <w:p w:rsidR="00152664" w:rsidRDefault="00DC47C0" w:rsidP="00DC47C0">
      <w:pPr>
        <w:ind w:leftChars="300" w:left="630"/>
        <w:rPr>
          <w:rFonts w:ascii="Times New Roman" w:eastAsia="楷体" w:hAnsi="Times New Roman"/>
          <w:color w:val="000000" w:themeColor="text1"/>
          <w:sz w:val="24"/>
          <w:szCs w:val="24"/>
        </w:rPr>
      </w:pPr>
      <w:r w:rsidRPr="00DC47C0">
        <w:rPr>
          <w:rFonts w:ascii="Times New Roman" w:eastAsia="楷体" w:hAnsi="Times New Roman" w:hint="eastAsia"/>
          <w:color w:val="000000" w:themeColor="text1"/>
          <w:sz w:val="24"/>
          <w:szCs w:val="24"/>
        </w:rPr>
        <w:t>欧线船公司以运力缩减应对需弱格局短期支撑即期价格，长期来看供强需弱的长期逻辑难改变。未来仍然保持宽幅震荡思路，建议操作上以区间交易为主</w:t>
      </w:r>
      <w:r w:rsidR="00152664">
        <w:rPr>
          <w:rFonts w:ascii="Times New Roman" w:eastAsia="楷体" w:hAnsi="Times New Roman" w:hint="eastAsia"/>
          <w:color w:val="000000" w:themeColor="text1"/>
          <w:sz w:val="24"/>
          <w:szCs w:val="24"/>
        </w:rPr>
        <w:t>。</w:t>
      </w: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lastRenderedPageBreak/>
        <w:br w:type="page"/>
      </w:r>
    </w:p>
    <w:p w:rsidR="003F56A5" w:rsidRDefault="00CC3FFA">
      <w:pPr>
        <w:spacing w:line="360" w:lineRule="auto"/>
        <w:jc w:val="center"/>
        <w:rPr>
          <w:rFonts w:ascii="Times New Roman" w:eastAsia="楷体" w:hAnsi="Times New Roman"/>
          <w:b/>
          <w:color w:val="411D05"/>
          <w:sz w:val="30"/>
          <w:szCs w:val="30"/>
        </w:rPr>
      </w:pPr>
      <w:bookmarkStart w:id="53" w:name="_Toc71212556"/>
      <w:bookmarkStart w:id="54" w:name="_Toc19667"/>
      <w:bookmarkStart w:id="55" w:name="_Toc98426751"/>
      <w:bookmarkStart w:id="56" w:name="_Toc12779"/>
      <w:bookmarkStart w:id="57" w:name="_Toc72481108"/>
      <w:r>
        <w:rPr>
          <w:rFonts w:ascii="Times New Roman" w:eastAsia="楷体" w:hAnsi="Times New Roman"/>
          <w:b/>
          <w:color w:val="411D05"/>
          <w:sz w:val="30"/>
          <w:szCs w:val="30"/>
        </w:rPr>
        <w:lastRenderedPageBreak/>
        <w:t>免责声明</w:t>
      </w:r>
      <w:bookmarkEnd w:id="53"/>
      <w:bookmarkEnd w:id="54"/>
      <w:bookmarkEnd w:id="55"/>
      <w:bookmarkEnd w:id="56"/>
      <w:bookmarkEnd w:id="57"/>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A0F" w:rsidRDefault="00155A0F">
      <w:r>
        <w:separator/>
      </w:r>
    </w:p>
  </w:endnote>
  <w:endnote w:type="continuationSeparator" w:id="0">
    <w:p w:rsidR="00155A0F" w:rsidRDefault="0015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1DCCE643" wp14:editId="58AA510F">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DC47C0">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DC47C0">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A0F" w:rsidRDefault="00155A0F">
      <w:r>
        <w:separator/>
      </w:r>
    </w:p>
  </w:footnote>
  <w:footnote w:type="continuationSeparator" w:id="0">
    <w:p w:rsidR="00155A0F" w:rsidRDefault="00155A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283BEC3D" wp14:editId="1DE2B88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18F4998C" wp14:editId="7AB3555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024C21">
      <w:rPr>
        <w:rFonts w:ascii="Times New Roman" w:eastAsia="楷体" w:hAnsi="Times New Roman" w:hint="eastAsia"/>
        <w:b/>
        <w:bCs/>
        <w:noProof/>
        <w:color w:val="833C0B"/>
        <w:sz w:val="21"/>
      </w:rPr>
      <w:t>2023</w:t>
    </w:r>
    <w:r w:rsidR="00024C21">
      <w:rPr>
        <w:rFonts w:ascii="Times New Roman" w:eastAsia="楷体" w:hAnsi="Times New Roman" w:hint="eastAsia"/>
        <w:b/>
        <w:bCs/>
        <w:noProof/>
        <w:color w:val="833C0B"/>
        <w:sz w:val="21"/>
      </w:rPr>
      <w:t>年</w:t>
    </w:r>
    <w:r w:rsidR="00024C21">
      <w:rPr>
        <w:rFonts w:ascii="Times New Roman" w:eastAsia="楷体" w:hAnsi="Times New Roman" w:hint="eastAsia"/>
        <w:b/>
        <w:bCs/>
        <w:noProof/>
        <w:color w:val="833C0B"/>
        <w:sz w:val="21"/>
      </w:rPr>
      <w:t>10</w:t>
    </w:r>
    <w:r w:rsidR="00024C21">
      <w:rPr>
        <w:rFonts w:ascii="Times New Roman" w:eastAsia="楷体" w:hAnsi="Times New Roman" w:hint="eastAsia"/>
        <w:b/>
        <w:bCs/>
        <w:noProof/>
        <w:color w:val="833C0B"/>
        <w:sz w:val="21"/>
      </w:rPr>
      <w:t>月</w:t>
    </w:r>
    <w:r w:rsidR="00024C21">
      <w:rPr>
        <w:rFonts w:ascii="Times New Roman" w:eastAsia="楷体" w:hAnsi="Times New Roman" w:hint="eastAsia"/>
        <w:b/>
        <w:bCs/>
        <w:noProof/>
        <w:color w:val="833C0B"/>
        <w:sz w:val="21"/>
      </w:rPr>
      <w:t>25</w:t>
    </w:r>
    <w:r w:rsidR="00024C21">
      <w:rPr>
        <w:rFonts w:ascii="Times New Roman" w:eastAsia="楷体" w:hAnsi="Times New Roman" w:hint="eastAsia"/>
        <w:b/>
        <w:bCs/>
        <w:noProof/>
        <w:color w:val="833C0B"/>
        <w:sz w:val="21"/>
      </w:rPr>
      <w:t>日星期三</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24C21"/>
    <w:rsid w:val="00032A7A"/>
    <w:rsid w:val="00035EB2"/>
    <w:rsid w:val="000417D7"/>
    <w:rsid w:val="00050B6C"/>
    <w:rsid w:val="0005286B"/>
    <w:rsid w:val="0005726F"/>
    <w:rsid w:val="00057E99"/>
    <w:rsid w:val="00060F08"/>
    <w:rsid w:val="00072EAA"/>
    <w:rsid w:val="00076420"/>
    <w:rsid w:val="000820C6"/>
    <w:rsid w:val="00093E40"/>
    <w:rsid w:val="00094BAE"/>
    <w:rsid w:val="00096258"/>
    <w:rsid w:val="000A390A"/>
    <w:rsid w:val="000A413E"/>
    <w:rsid w:val="000B0648"/>
    <w:rsid w:val="000B4E70"/>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75B7"/>
    <w:rsid w:val="00127803"/>
    <w:rsid w:val="00127FF1"/>
    <w:rsid w:val="00147668"/>
    <w:rsid w:val="00147B03"/>
    <w:rsid w:val="0015047B"/>
    <w:rsid w:val="00152664"/>
    <w:rsid w:val="00155A0F"/>
    <w:rsid w:val="00156FEB"/>
    <w:rsid w:val="001579F3"/>
    <w:rsid w:val="00163984"/>
    <w:rsid w:val="00170E7B"/>
    <w:rsid w:val="00170EDF"/>
    <w:rsid w:val="001801C4"/>
    <w:rsid w:val="0018678E"/>
    <w:rsid w:val="001942CB"/>
    <w:rsid w:val="001945E9"/>
    <w:rsid w:val="001A3E49"/>
    <w:rsid w:val="001A44F9"/>
    <w:rsid w:val="001B0610"/>
    <w:rsid w:val="001B179D"/>
    <w:rsid w:val="001B1904"/>
    <w:rsid w:val="001B25C9"/>
    <w:rsid w:val="001B2D4C"/>
    <w:rsid w:val="001B6043"/>
    <w:rsid w:val="001B6394"/>
    <w:rsid w:val="001B6B7D"/>
    <w:rsid w:val="001C2E87"/>
    <w:rsid w:val="001C77D0"/>
    <w:rsid w:val="001D1F0A"/>
    <w:rsid w:val="001D40EA"/>
    <w:rsid w:val="001D4474"/>
    <w:rsid w:val="001D5419"/>
    <w:rsid w:val="001D7D0A"/>
    <w:rsid w:val="001E1A3C"/>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54F5"/>
    <w:rsid w:val="003C5F91"/>
    <w:rsid w:val="003D3A9E"/>
    <w:rsid w:val="003F2424"/>
    <w:rsid w:val="003F56A5"/>
    <w:rsid w:val="00404AFE"/>
    <w:rsid w:val="004123EF"/>
    <w:rsid w:val="004177A8"/>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5F18"/>
    <w:rsid w:val="004977A9"/>
    <w:rsid w:val="004A1926"/>
    <w:rsid w:val="004A382D"/>
    <w:rsid w:val="004A3F85"/>
    <w:rsid w:val="004A65B5"/>
    <w:rsid w:val="004A78BA"/>
    <w:rsid w:val="004B4D4D"/>
    <w:rsid w:val="004C11A7"/>
    <w:rsid w:val="004C4541"/>
    <w:rsid w:val="004C5F3F"/>
    <w:rsid w:val="004D0484"/>
    <w:rsid w:val="004D1AE5"/>
    <w:rsid w:val="004D6F74"/>
    <w:rsid w:val="004E269E"/>
    <w:rsid w:val="004E2959"/>
    <w:rsid w:val="004E3A10"/>
    <w:rsid w:val="004E58A5"/>
    <w:rsid w:val="004E6093"/>
    <w:rsid w:val="004E6F41"/>
    <w:rsid w:val="004F2492"/>
    <w:rsid w:val="005145ED"/>
    <w:rsid w:val="00521683"/>
    <w:rsid w:val="005245A4"/>
    <w:rsid w:val="00526949"/>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03F3"/>
    <w:rsid w:val="00591B89"/>
    <w:rsid w:val="005926B7"/>
    <w:rsid w:val="00593B03"/>
    <w:rsid w:val="00593F40"/>
    <w:rsid w:val="0059697A"/>
    <w:rsid w:val="005A5EEB"/>
    <w:rsid w:val="005B5BDF"/>
    <w:rsid w:val="005B790A"/>
    <w:rsid w:val="005C05F7"/>
    <w:rsid w:val="005C05FA"/>
    <w:rsid w:val="005C49BA"/>
    <w:rsid w:val="005C5B1D"/>
    <w:rsid w:val="005E1CE0"/>
    <w:rsid w:val="005E6164"/>
    <w:rsid w:val="005F28F8"/>
    <w:rsid w:val="005F2CE6"/>
    <w:rsid w:val="005F45A8"/>
    <w:rsid w:val="005F5D8E"/>
    <w:rsid w:val="00605CB4"/>
    <w:rsid w:val="00606E2B"/>
    <w:rsid w:val="00610C41"/>
    <w:rsid w:val="00612D79"/>
    <w:rsid w:val="0061390B"/>
    <w:rsid w:val="00615F78"/>
    <w:rsid w:val="00622C65"/>
    <w:rsid w:val="006353D1"/>
    <w:rsid w:val="00637F19"/>
    <w:rsid w:val="00641752"/>
    <w:rsid w:val="00645DF5"/>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11CD"/>
    <w:rsid w:val="0072164F"/>
    <w:rsid w:val="007253E7"/>
    <w:rsid w:val="0072736C"/>
    <w:rsid w:val="007315D8"/>
    <w:rsid w:val="00743CFD"/>
    <w:rsid w:val="007664C1"/>
    <w:rsid w:val="00772382"/>
    <w:rsid w:val="00782EFA"/>
    <w:rsid w:val="00785519"/>
    <w:rsid w:val="007866A5"/>
    <w:rsid w:val="0079299D"/>
    <w:rsid w:val="00792D31"/>
    <w:rsid w:val="00794D36"/>
    <w:rsid w:val="007952E9"/>
    <w:rsid w:val="0079639C"/>
    <w:rsid w:val="00796CB2"/>
    <w:rsid w:val="007A410D"/>
    <w:rsid w:val="007A66FE"/>
    <w:rsid w:val="007A713B"/>
    <w:rsid w:val="007B3290"/>
    <w:rsid w:val="007B42D0"/>
    <w:rsid w:val="007B4FCE"/>
    <w:rsid w:val="007C1DB9"/>
    <w:rsid w:val="007C2FD2"/>
    <w:rsid w:val="007C6F18"/>
    <w:rsid w:val="007C7B84"/>
    <w:rsid w:val="007D29EC"/>
    <w:rsid w:val="007D4BBD"/>
    <w:rsid w:val="007D67CC"/>
    <w:rsid w:val="007E1660"/>
    <w:rsid w:val="007E1FC2"/>
    <w:rsid w:val="007F09BE"/>
    <w:rsid w:val="007F1327"/>
    <w:rsid w:val="007F140C"/>
    <w:rsid w:val="007F186E"/>
    <w:rsid w:val="007F197B"/>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288D"/>
    <w:rsid w:val="0083605E"/>
    <w:rsid w:val="00840F4E"/>
    <w:rsid w:val="008463FD"/>
    <w:rsid w:val="00853880"/>
    <w:rsid w:val="00856132"/>
    <w:rsid w:val="00861497"/>
    <w:rsid w:val="008649BB"/>
    <w:rsid w:val="008655EA"/>
    <w:rsid w:val="00867CA5"/>
    <w:rsid w:val="00873ECE"/>
    <w:rsid w:val="008740D4"/>
    <w:rsid w:val="00874708"/>
    <w:rsid w:val="00875F9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2F5B"/>
    <w:rsid w:val="009870E4"/>
    <w:rsid w:val="00992BCC"/>
    <w:rsid w:val="009A12FA"/>
    <w:rsid w:val="009A564D"/>
    <w:rsid w:val="009B0D7B"/>
    <w:rsid w:val="009B3801"/>
    <w:rsid w:val="009B534D"/>
    <w:rsid w:val="009B591A"/>
    <w:rsid w:val="009C30FE"/>
    <w:rsid w:val="009C3E56"/>
    <w:rsid w:val="009C483C"/>
    <w:rsid w:val="009D2477"/>
    <w:rsid w:val="009D4A74"/>
    <w:rsid w:val="009D5253"/>
    <w:rsid w:val="009D5D79"/>
    <w:rsid w:val="009D64FE"/>
    <w:rsid w:val="009D75BB"/>
    <w:rsid w:val="009E0994"/>
    <w:rsid w:val="009E25E0"/>
    <w:rsid w:val="009E4452"/>
    <w:rsid w:val="009E5993"/>
    <w:rsid w:val="009E7578"/>
    <w:rsid w:val="009E75B7"/>
    <w:rsid w:val="009F5C7B"/>
    <w:rsid w:val="00A031CE"/>
    <w:rsid w:val="00A04421"/>
    <w:rsid w:val="00A11A0D"/>
    <w:rsid w:val="00A22080"/>
    <w:rsid w:val="00A223D3"/>
    <w:rsid w:val="00A32D1B"/>
    <w:rsid w:val="00A42079"/>
    <w:rsid w:val="00A531E8"/>
    <w:rsid w:val="00A573ED"/>
    <w:rsid w:val="00A60F08"/>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23F73"/>
    <w:rsid w:val="00B33C93"/>
    <w:rsid w:val="00B443CE"/>
    <w:rsid w:val="00B4555A"/>
    <w:rsid w:val="00B51CAF"/>
    <w:rsid w:val="00B53C56"/>
    <w:rsid w:val="00B60464"/>
    <w:rsid w:val="00B606EF"/>
    <w:rsid w:val="00B618F8"/>
    <w:rsid w:val="00B64133"/>
    <w:rsid w:val="00B72E2D"/>
    <w:rsid w:val="00B745CB"/>
    <w:rsid w:val="00B805BD"/>
    <w:rsid w:val="00B80E26"/>
    <w:rsid w:val="00B81DA7"/>
    <w:rsid w:val="00B873E2"/>
    <w:rsid w:val="00B91D3D"/>
    <w:rsid w:val="00B94E7D"/>
    <w:rsid w:val="00B97F08"/>
    <w:rsid w:val="00BA4663"/>
    <w:rsid w:val="00BA696B"/>
    <w:rsid w:val="00BA7212"/>
    <w:rsid w:val="00BC5F45"/>
    <w:rsid w:val="00BC71D6"/>
    <w:rsid w:val="00BD4C85"/>
    <w:rsid w:val="00BE1EFD"/>
    <w:rsid w:val="00BE456E"/>
    <w:rsid w:val="00BF3137"/>
    <w:rsid w:val="00BF4417"/>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E7723"/>
    <w:rsid w:val="00CE7903"/>
    <w:rsid w:val="00CF6C71"/>
    <w:rsid w:val="00CF7A9A"/>
    <w:rsid w:val="00D00D60"/>
    <w:rsid w:val="00D017E5"/>
    <w:rsid w:val="00D01A19"/>
    <w:rsid w:val="00D04FF1"/>
    <w:rsid w:val="00D1367C"/>
    <w:rsid w:val="00D14B3E"/>
    <w:rsid w:val="00D1582A"/>
    <w:rsid w:val="00D17FB1"/>
    <w:rsid w:val="00D21BE4"/>
    <w:rsid w:val="00D25C5A"/>
    <w:rsid w:val="00D309C4"/>
    <w:rsid w:val="00D32D2F"/>
    <w:rsid w:val="00D341CA"/>
    <w:rsid w:val="00D41AF4"/>
    <w:rsid w:val="00D45E53"/>
    <w:rsid w:val="00D47039"/>
    <w:rsid w:val="00D55EAF"/>
    <w:rsid w:val="00D63655"/>
    <w:rsid w:val="00D66257"/>
    <w:rsid w:val="00D673AD"/>
    <w:rsid w:val="00D75630"/>
    <w:rsid w:val="00D762B2"/>
    <w:rsid w:val="00D842AA"/>
    <w:rsid w:val="00D86D76"/>
    <w:rsid w:val="00D87130"/>
    <w:rsid w:val="00D93E0B"/>
    <w:rsid w:val="00DA7546"/>
    <w:rsid w:val="00DB4E25"/>
    <w:rsid w:val="00DB6FBE"/>
    <w:rsid w:val="00DC47C0"/>
    <w:rsid w:val="00DD145E"/>
    <w:rsid w:val="00DD29E1"/>
    <w:rsid w:val="00DD334E"/>
    <w:rsid w:val="00DE02C4"/>
    <w:rsid w:val="00DF164D"/>
    <w:rsid w:val="00DF1796"/>
    <w:rsid w:val="00DF270D"/>
    <w:rsid w:val="00DF3137"/>
    <w:rsid w:val="00DF3B28"/>
    <w:rsid w:val="00DF56EC"/>
    <w:rsid w:val="00E020F2"/>
    <w:rsid w:val="00E12059"/>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C24AF"/>
    <w:rsid w:val="00FD6B0E"/>
    <w:rsid w:val="00FE1B77"/>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9823F-DD68-42EE-8A01-EBD02FDC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4301</TotalTime>
  <Pages>11</Pages>
  <Words>1751</Words>
  <Characters>9983</Characters>
  <Application>Microsoft Office Word</Application>
  <DocSecurity>0</DocSecurity>
  <Lines>83</Lines>
  <Paragraphs>23</Paragraphs>
  <ScaleCrop>false</ScaleCrop>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117</cp:revision>
  <cp:lastPrinted>2023-06-08T02:23:00Z</cp:lastPrinted>
  <dcterms:created xsi:type="dcterms:W3CDTF">2022-11-15T10:06:00Z</dcterms:created>
  <dcterms:modified xsi:type="dcterms:W3CDTF">2023-10-25T02:40:00Z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