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9639C"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9639C" w:rsidRPr="00C67951">
            <w:rPr>
              <w:rStyle w:val="a9"/>
              <w:noProof/>
            </w:rPr>
            <w:fldChar w:fldCharType="begin"/>
          </w:r>
          <w:r w:rsidR="0079639C" w:rsidRPr="00C67951">
            <w:rPr>
              <w:rStyle w:val="a9"/>
              <w:noProof/>
            </w:rPr>
            <w:instrText xml:space="preserve"> </w:instrText>
          </w:r>
          <w:r w:rsidR="0079639C">
            <w:rPr>
              <w:noProof/>
            </w:rPr>
            <w:instrText>HYPERLINK \l "_Toc149035028"</w:instrText>
          </w:r>
          <w:r w:rsidR="0079639C" w:rsidRPr="00C67951">
            <w:rPr>
              <w:rStyle w:val="a9"/>
              <w:noProof/>
            </w:rPr>
            <w:instrText xml:space="preserve"> </w:instrText>
          </w:r>
          <w:r w:rsidR="0079639C" w:rsidRPr="00C67951">
            <w:rPr>
              <w:rStyle w:val="a9"/>
              <w:noProof/>
            </w:rPr>
          </w:r>
          <w:r w:rsidR="0079639C" w:rsidRPr="00C67951">
            <w:rPr>
              <w:rStyle w:val="a9"/>
              <w:noProof/>
            </w:rPr>
            <w:fldChar w:fldCharType="separate"/>
          </w:r>
          <w:r w:rsidR="0079639C" w:rsidRPr="00C67951">
            <w:rPr>
              <w:rStyle w:val="a9"/>
              <w:rFonts w:ascii="Times New Roman" w:eastAsia="楷体" w:hAnsi="Times New Roman"/>
              <w:b/>
              <w:noProof/>
            </w:rPr>
            <w:t>[</w:t>
          </w:r>
          <w:r w:rsidR="0079639C" w:rsidRPr="00C67951">
            <w:rPr>
              <w:rStyle w:val="a9"/>
              <w:rFonts w:ascii="Times New Roman" w:eastAsia="楷体" w:hAnsi="Times New Roman"/>
              <w:b/>
              <w:noProof/>
            </w:rPr>
            <w:t>金融</w:t>
          </w:r>
          <w:r w:rsidR="0079639C" w:rsidRPr="00C67951">
            <w:rPr>
              <w:rStyle w:val="a9"/>
              <w:rFonts w:ascii="Times New Roman" w:eastAsia="楷体" w:hAnsi="Times New Roman"/>
              <w:b/>
              <w:noProof/>
            </w:rPr>
            <w:t>]</w:t>
          </w:r>
          <w:r w:rsidR="0079639C" w:rsidRPr="00C67951">
            <w:rPr>
              <w:rStyle w:val="a9"/>
              <w:noProof/>
            </w:rPr>
            <w:fldChar w:fldCharType="end"/>
          </w:r>
        </w:p>
        <w:p w:rsidR="0079639C" w:rsidRDefault="0079639C">
          <w:pPr>
            <w:pStyle w:val="23"/>
            <w:tabs>
              <w:tab w:val="right" w:leader="dot" w:pos="8296"/>
            </w:tabs>
            <w:rPr>
              <w:rFonts w:eastAsiaTheme="minorEastAsia"/>
              <w:noProof/>
              <w:szCs w:val="22"/>
            </w:rPr>
          </w:pPr>
          <w:hyperlink w:anchor="_Toc149035029" w:history="1">
            <w:r w:rsidRPr="00C67951">
              <w:rPr>
                <w:rStyle w:val="a9"/>
                <w:rFonts w:ascii="Times New Roman" w:eastAsia="楷体" w:hAnsi="Times New Roman"/>
                <w:b/>
                <w:noProof/>
              </w:rPr>
              <w:t>股指：短线建议等待抛售情绪缓解，再行布局指数多单</w:t>
            </w:r>
          </w:hyperlink>
        </w:p>
        <w:p w:rsidR="0079639C" w:rsidRDefault="0079639C">
          <w:pPr>
            <w:pStyle w:val="11"/>
            <w:tabs>
              <w:tab w:val="right" w:leader="dot" w:pos="8296"/>
            </w:tabs>
            <w:rPr>
              <w:rFonts w:eastAsiaTheme="minorEastAsia"/>
              <w:noProof/>
              <w:szCs w:val="22"/>
            </w:rPr>
          </w:pPr>
          <w:hyperlink w:anchor="_Toc149035030" w:history="1">
            <w:r w:rsidRPr="00C67951">
              <w:rPr>
                <w:rStyle w:val="a9"/>
                <w:rFonts w:ascii="Times New Roman" w:eastAsia="楷体" w:hAnsi="Times New Roman"/>
                <w:b/>
                <w:noProof/>
              </w:rPr>
              <w:t>[</w:t>
            </w:r>
            <w:r w:rsidRPr="00C67951">
              <w:rPr>
                <w:rStyle w:val="a9"/>
                <w:rFonts w:ascii="Times New Roman" w:eastAsia="楷体" w:hAnsi="Times New Roman"/>
                <w:b/>
                <w:noProof/>
              </w:rPr>
              <w:t>贵金属</w:t>
            </w:r>
            <w:r w:rsidRPr="00C67951">
              <w:rPr>
                <w:rStyle w:val="a9"/>
                <w:rFonts w:ascii="Times New Roman" w:eastAsia="楷体" w:hAnsi="Times New Roman"/>
                <w:b/>
                <w:noProof/>
              </w:rPr>
              <w:t>]</w:t>
            </w:r>
          </w:hyperlink>
        </w:p>
        <w:p w:rsidR="0079639C" w:rsidRDefault="0079639C">
          <w:pPr>
            <w:pStyle w:val="23"/>
            <w:tabs>
              <w:tab w:val="right" w:leader="dot" w:pos="8296"/>
            </w:tabs>
            <w:rPr>
              <w:rFonts w:eastAsiaTheme="minorEastAsia"/>
              <w:noProof/>
              <w:szCs w:val="22"/>
            </w:rPr>
          </w:pPr>
          <w:hyperlink w:anchor="_Toc149035031" w:history="1">
            <w:r w:rsidRPr="00C67951">
              <w:rPr>
                <w:rStyle w:val="a9"/>
                <w:rFonts w:ascii="Times New Roman" w:eastAsia="楷体" w:hAnsi="Times New Roman"/>
                <w:b/>
                <w:noProof/>
              </w:rPr>
              <w:t>贵金属：美债收益率上行，内盘贵金属窄幅震荡</w:t>
            </w:r>
          </w:hyperlink>
        </w:p>
        <w:p w:rsidR="0079639C" w:rsidRDefault="0079639C">
          <w:pPr>
            <w:pStyle w:val="11"/>
            <w:tabs>
              <w:tab w:val="right" w:leader="dot" w:pos="8296"/>
            </w:tabs>
            <w:rPr>
              <w:rFonts w:eastAsiaTheme="minorEastAsia"/>
              <w:noProof/>
              <w:szCs w:val="22"/>
            </w:rPr>
          </w:pPr>
          <w:hyperlink w:anchor="_Toc149035032" w:history="1">
            <w:r w:rsidRPr="00C67951">
              <w:rPr>
                <w:rStyle w:val="a9"/>
                <w:rFonts w:ascii="Times New Roman" w:eastAsia="楷体" w:hAnsi="Times New Roman"/>
                <w:b/>
                <w:noProof/>
              </w:rPr>
              <w:t>[</w:t>
            </w:r>
            <w:r w:rsidRPr="00C67951">
              <w:rPr>
                <w:rStyle w:val="a9"/>
                <w:rFonts w:ascii="Times New Roman" w:eastAsia="楷体" w:hAnsi="Times New Roman"/>
                <w:b/>
                <w:noProof/>
              </w:rPr>
              <w:t>金属</w:t>
            </w:r>
            <w:r w:rsidRPr="00C67951">
              <w:rPr>
                <w:rStyle w:val="a9"/>
                <w:rFonts w:ascii="Times New Roman" w:eastAsia="楷体" w:hAnsi="Times New Roman"/>
                <w:b/>
                <w:noProof/>
              </w:rPr>
              <w:t>]</w:t>
            </w:r>
          </w:hyperlink>
        </w:p>
        <w:p w:rsidR="0079639C" w:rsidRDefault="0079639C">
          <w:pPr>
            <w:pStyle w:val="23"/>
            <w:tabs>
              <w:tab w:val="right" w:leader="dot" w:pos="8296"/>
            </w:tabs>
            <w:rPr>
              <w:rFonts w:eastAsiaTheme="minorEastAsia"/>
              <w:noProof/>
              <w:szCs w:val="22"/>
            </w:rPr>
          </w:pPr>
          <w:hyperlink w:anchor="_Toc149035033" w:history="1">
            <w:r w:rsidRPr="00C67951">
              <w:rPr>
                <w:rStyle w:val="a9"/>
                <w:rFonts w:ascii="楷体" w:eastAsia="楷体" w:hAnsi="楷体"/>
                <w:b/>
                <w:noProof/>
              </w:rPr>
              <w:t>碳酸锂：锂矿锂盐进口环比增长，期价表现分化</w:t>
            </w:r>
          </w:hyperlink>
        </w:p>
        <w:p w:rsidR="0079639C" w:rsidRDefault="0079639C">
          <w:pPr>
            <w:pStyle w:val="23"/>
            <w:tabs>
              <w:tab w:val="right" w:leader="dot" w:pos="8296"/>
            </w:tabs>
            <w:rPr>
              <w:rFonts w:eastAsiaTheme="minorEastAsia"/>
              <w:noProof/>
              <w:szCs w:val="22"/>
            </w:rPr>
          </w:pPr>
          <w:hyperlink w:anchor="_Toc149035034" w:history="1">
            <w:r w:rsidRPr="00C67951">
              <w:rPr>
                <w:rStyle w:val="a9"/>
                <w:rFonts w:ascii="楷体" w:eastAsia="楷体" w:hAnsi="楷体"/>
                <w:b/>
                <w:noProof/>
              </w:rPr>
              <w:t>螺纹钢：成交具有韧性，低估值下偏弱震荡</w:t>
            </w:r>
          </w:hyperlink>
        </w:p>
        <w:p w:rsidR="0079639C" w:rsidRDefault="0079639C">
          <w:pPr>
            <w:pStyle w:val="23"/>
            <w:tabs>
              <w:tab w:val="right" w:leader="dot" w:pos="8296"/>
            </w:tabs>
            <w:rPr>
              <w:rFonts w:eastAsiaTheme="minorEastAsia"/>
              <w:noProof/>
              <w:szCs w:val="22"/>
            </w:rPr>
          </w:pPr>
          <w:hyperlink w:anchor="_Toc149035035" w:history="1">
            <w:r w:rsidRPr="00C67951">
              <w:rPr>
                <w:rStyle w:val="a9"/>
                <w:rFonts w:ascii="楷体" w:eastAsia="楷体" w:hAnsi="楷体"/>
                <w:b/>
                <w:noProof/>
              </w:rPr>
              <w:t>焦炭：成材利润压制，震荡偏弱测试下方支撑</w:t>
            </w:r>
          </w:hyperlink>
        </w:p>
        <w:p w:rsidR="0079639C" w:rsidRDefault="0079639C">
          <w:pPr>
            <w:pStyle w:val="23"/>
            <w:tabs>
              <w:tab w:val="right" w:leader="dot" w:pos="8296"/>
            </w:tabs>
            <w:rPr>
              <w:rFonts w:eastAsiaTheme="minorEastAsia"/>
              <w:noProof/>
              <w:szCs w:val="22"/>
            </w:rPr>
          </w:pPr>
          <w:hyperlink w:anchor="_Toc149035036" w:history="1">
            <w:r w:rsidRPr="00C67951">
              <w:rPr>
                <w:rStyle w:val="a9"/>
                <w:rFonts w:ascii="楷体" w:eastAsia="楷体" w:hAnsi="楷体"/>
                <w:b/>
                <w:noProof/>
              </w:rPr>
              <w:t>焦煤：煤价回调，价格测试底部支撑</w:t>
            </w:r>
          </w:hyperlink>
        </w:p>
        <w:p w:rsidR="0079639C" w:rsidRDefault="0079639C">
          <w:pPr>
            <w:pStyle w:val="23"/>
            <w:tabs>
              <w:tab w:val="right" w:leader="dot" w:pos="8296"/>
            </w:tabs>
            <w:rPr>
              <w:rFonts w:eastAsiaTheme="minorEastAsia"/>
              <w:noProof/>
              <w:szCs w:val="22"/>
            </w:rPr>
          </w:pPr>
          <w:hyperlink w:anchor="_Toc149035037" w:history="1">
            <w:r w:rsidRPr="00C67951">
              <w:rPr>
                <w:rStyle w:val="a9"/>
                <w:rFonts w:ascii="楷体" w:eastAsia="楷体" w:hAnsi="楷体"/>
                <w:b/>
                <w:noProof/>
              </w:rPr>
              <w:t>铜：短期偏弱震荡，上下驱动均有限</w:t>
            </w:r>
          </w:hyperlink>
        </w:p>
        <w:p w:rsidR="0079639C" w:rsidRDefault="0079639C">
          <w:pPr>
            <w:pStyle w:val="23"/>
            <w:tabs>
              <w:tab w:val="right" w:leader="dot" w:pos="8296"/>
            </w:tabs>
            <w:rPr>
              <w:rFonts w:eastAsiaTheme="minorEastAsia"/>
              <w:noProof/>
              <w:szCs w:val="22"/>
            </w:rPr>
          </w:pPr>
          <w:hyperlink w:anchor="_Toc149035038" w:history="1">
            <w:r w:rsidRPr="00C67951">
              <w:rPr>
                <w:rStyle w:val="a9"/>
                <w:rFonts w:ascii="楷体" w:eastAsia="楷体" w:hAnsi="楷体"/>
                <w:b/>
                <w:noProof/>
              </w:rPr>
              <w:t>铝：铝价下方仍有支撑，短期维持震荡态势</w:t>
            </w:r>
          </w:hyperlink>
        </w:p>
        <w:p w:rsidR="0079639C" w:rsidRDefault="0079639C">
          <w:pPr>
            <w:pStyle w:val="23"/>
            <w:tabs>
              <w:tab w:val="right" w:leader="dot" w:pos="8296"/>
            </w:tabs>
            <w:rPr>
              <w:rFonts w:eastAsiaTheme="minorEastAsia"/>
              <w:noProof/>
              <w:szCs w:val="22"/>
            </w:rPr>
          </w:pPr>
          <w:hyperlink w:anchor="_Toc149035039" w:history="1">
            <w:r w:rsidRPr="00C67951">
              <w:rPr>
                <w:rStyle w:val="a9"/>
                <w:rFonts w:ascii="楷体" w:eastAsia="楷体" w:hAnsi="楷体"/>
                <w:b/>
                <w:noProof/>
              </w:rPr>
              <w:t>锌：锌价偏弱运行</w:t>
            </w:r>
          </w:hyperlink>
        </w:p>
        <w:p w:rsidR="0079639C" w:rsidRDefault="0079639C">
          <w:pPr>
            <w:pStyle w:val="23"/>
            <w:tabs>
              <w:tab w:val="right" w:leader="dot" w:pos="8296"/>
            </w:tabs>
            <w:rPr>
              <w:rFonts w:eastAsiaTheme="minorEastAsia"/>
              <w:noProof/>
              <w:szCs w:val="22"/>
            </w:rPr>
          </w:pPr>
          <w:hyperlink w:anchor="_Toc149035040" w:history="1">
            <w:r w:rsidRPr="00C67951">
              <w:rPr>
                <w:rStyle w:val="a9"/>
                <w:rFonts w:ascii="楷体" w:eastAsia="楷体" w:hAnsi="楷体"/>
                <w:b/>
                <w:noProof/>
              </w:rPr>
              <w:t>镍：短期或震荡偏弱运行，观望为主</w:t>
            </w:r>
          </w:hyperlink>
        </w:p>
        <w:p w:rsidR="0079639C" w:rsidRDefault="0079639C">
          <w:pPr>
            <w:pStyle w:val="23"/>
            <w:tabs>
              <w:tab w:val="right" w:leader="dot" w:pos="8296"/>
            </w:tabs>
            <w:rPr>
              <w:rFonts w:eastAsiaTheme="minorEastAsia"/>
              <w:noProof/>
              <w:szCs w:val="22"/>
            </w:rPr>
          </w:pPr>
          <w:hyperlink w:anchor="_Toc149035041" w:history="1">
            <w:r w:rsidRPr="00C67951">
              <w:rPr>
                <w:rStyle w:val="a9"/>
                <w:rFonts w:ascii="楷体" w:eastAsia="楷体" w:hAnsi="楷体"/>
                <w:b/>
                <w:noProof/>
              </w:rPr>
              <w:t>铅：铝价上方压力仍存</w:t>
            </w:r>
          </w:hyperlink>
        </w:p>
        <w:p w:rsidR="0079639C" w:rsidRDefault="0079639C">
          <w:pPr>
            <w:pStyle w:val="23"/>
            <w:tabs>
              <w:tab w:val="right" w:leader="dot" w:pos="8296"/>
            </w:tabs>
            <w:rPr>
              <w:rFonts w:eastAsiaTheme="minorEastAsia"/>
              <w:noProof/>
              <w:szCs w:val="22"/>
            </w:rPr>
          </w:pPr>
          <w:hyperlink w:anchor="_Toc149035042" w:history="1">
            <w:r w:rsidRPr="00C67951">
              <w:rPr>
                <w:rStyle w:val="a9"/>
                <w:rFonts w:ascii="楷体" w:eastAsia="楷体" w:hAnsi="楷体"/>
                <w:b/>
                <w:noProof/>
              </w:rPr>
              <w:t>不锈钢：上下空间皆有限，关注社库及减产情况</w:t>
            </w:r>
          </w:hyperlink>
        </w:p>
        <w:p w:rsidR="0079639C" w:rsidRDefault="0079639C">
          <w:pPr>
            <w:pStyle w:val="23"/>
            <w:tabs>
              <w:tab w:val="right" w:leader="dot" w:pos="8296"/>
            </w:tabs>
            <w:rPr>
              <w:rFonts w:eastAsiaTheme="minorEastAsia"/>
              <w:noProof/>
              <w:szCs w:val="22"/>
            </w:rPr>
          </w:pPr>
          <w:hyperlink w:anchor="_Toc149035043" w:history="1">
            <w:r w:rsidRPr="00C67951">
              <w:rPr>
                <w:rStyle w:val="a9"/>
                <w:rFonts w:ascii="楷体" w:eastAsia="楷体" w:hAnsi="楷体"/>
                <w:b/>
                <w:noProof/>
              </w:rPr>
              <w:t>工业硅：多空博弈加剧，短期或震荡运行</w:t>
            </w:r>
          </w:hyperlink>
        </w:p>
        <w:p w:rsidR="0079639C" w:rsidRDefault="0079639C">
          <w:pPr>
            <w:pStyle w:val="11"/>
            <w:tabs>
              <w:tab w:val="right" w:leader="dot" w:pos="8296"/>
            </w:tabs>
            <w:rPr>
              <w:rFonts w:eastAsiaTheme="minorEastAsia"/>
              <w:noProof/>
              <w:szCs w:val="22"/>
            </w:rPr>
          </w:pPr>
          <w:hyperlink w:anchor="_Toc149035044" w:history="1">
            <w:r w:rsidRPr="00C67951">
              <w:rPr>
                <w:rStyle w:val="a9"/>
                <w:rFonts w:ascii="Times New Roman" w:eastAsia="楷体" w:hAnsi="Times New Roman"/>
                <w:b/>
                <w:noProof/>
              </w:rPr>
              <w:t>[</w:t>
            </w:r>
            <w:r w:rsidRPr="00C67951">
              <w:rPr>
                <w:rStyle w:val="a9"/>
                <w:rFonts w:ascii="Times New Roman" w:eastAsia="楷体" w:hAnsi="Times New Roman"/>
                <w:b/>
                <w:noProof/>
              </w:rPr>
              <w:t>化工</w:t>
            </w:r>
            <w:r w:rsidRPr="00C67951">
              <w:rPr>
                <w:rStyle w:val="a9"/>
                <w:rFonts w:ascii="Times New Roman" w:eastAsia="楷体" w:hAnsi="Times New Roman"/>
                <w:b/>
                <w:noProof/>
              </w:rPr>
              <w:t>]</w:t>
            </w:r>
          </w:hyperlink>
        </w:p>
        <w:p w:rsidR="0079639C" w:rsidRDefault="0079639C">
          <w:pPr>
            <w:pStyle w:val="23"/>
            <w:tabs>
              <w:tab w:val="right" w:leader="dot" w:pos="8296"/>
            </w:tabs>
            <w:rPr>
              <w:rFonts w:eastAsiaTheme="minorEastAsia"/>
              <w:noProof/>
              <w:szCs w:val="22"/>
            </w:rPr>
          </w:pPr>
          <w:hyperlink w:anchor="_Toc149035045" w:history="1">
            <w:r w:rsidRPr="00C67951">
              <w:rPr>
                <w:rStyle w:val="a9"/>
                <w:rFonts w:ascii="Times New Roman" w:eastAsia="楷体" w:hAnsi="Times New Roman"/>
                <w:b/>
                <w:noProof/>
              </w:rPr>
              <w:t>天然橡胶</w:t>
            </w:r>
            <w:r w:rsidRPr="00C67951">
              <w:rPr>
                <w:rStyle w:val="a9"/>
                <w:rFonts w:ascii="Times New Roman" w:eastAsia="楷体" w:hAnsi="Times New Roman"/>
                <w:b/>
                <w:noProof/>
              </w:rPr>
              <w:t>:</w:t>
            </w:r>
            <w:r w:rsidRPr="00C67951">
              <w:rPr>
                <w:rStyle w:val="a9"/>
                <w:rFonts w:ascii="楷体" w:eastAsia="楷体" w:hAnsi="楷体"/>
                <w:b/>
                <w:noProof/>
              </w:rPr>
              <w:t xml:space="preserve"> 市场做多力量衰竭，天胶仍有回调预期</w:t>
            </w:r>
          </w:hyperlink>
        </w:p>
        <w:p w:rsidR="0079639C" w:rsidRDefault="0079639C">
          <w:pPr>
            <w:pStyle w:val="23"/>
            <w:tabs>
              <w:tab w:val="right" w:leader="dot" w:pos="8296"/>
            </w:tabs>
            <w:rPr>
              <w:rFonts w:eastAsiaTheme="minorEastAsia"/>
              <w:noProof/>
              <w:szCs w:val="22"/>
            </w:rPr>
          </w:pPr>
          <w:hyperlink w:anchor="_Toc149035046" w:history="1">
            <w:r w:rsidRPr="00C67951">
              <w:rPr>
                <w:rStyle w:val="a9"/>
                <w:rFonts w:ascii="楷体" w:eastAsia="楷体" w:hAnsi="楷体"/>
                <w:b/>
                <w:noProof/>
              </w:rPr>
              <w:t>PTA：</w:t>
            </w:r>
            <w:r w:rsidRPr="00C67951">
              <w:rPr>
                <w:rStyle w:val="a9"/>
                <w:rFonts w:ascii="Calibri" w:eastAsia="楷体" w:hAnsi="Calibri" w:cs="Calibri"/>
                <w:b/>
                <w:noProof/>
              </w:rPr>
              <w:t> </w:t>
            </w:r>
            <w:r w:rsidRPr="00C67951">
              <w:rPr>
                <w:rStyle w:val="a9"/>
                <w:rFonts w:ascii="楷体" w:eastAsia="楷体" w:hAnsi="楷体"/>
                <w:b/>
                <w:noProof/>
              </w:rPr>
              <w:t>需求负反馈开启 TA上行驱动不足</w:t>
            </w:r>
          </w:hyperlink>
        </w:p>
        <w:p w:rsidR="0079639C" w:rsidRDefault="0079639C">
          <w:pPr>
            <w:pStyle w:val="23"/>
            <w:tabs>
              <w:tab w:val="right" w:leader="dot" w:pos="8296"/>
            </w:tabs>
            <w:rPr>
              <w:rFonts w:eastAsiaTheme="minorEastAsia"/>
              <w:noProof/>
              <w:szCs w:val="22"/>
            </w:rPr>
          </w:pPr>
          <w:hyperlink w:anchor="_Toc149035047" w:history="1">
            <w:r w:rsidRPr="00C67951">
              <w:rPr>
                <w:rStyle w:val="a9"/>
                <w:rFonts w:ascii="楷体" w:eastAsia="楷体" w:hAnsi="楷体"/>
                <w:b/>
                <w:noProof/>
              </w:rPr>
              <w:t>PVC：高库存+弱复苏 驱动不足</w:t>
            </w:r>
          </w:hyperlink>
        </w:p>
        <w:p w:rsidR="0079639C" w:rsidRDefault="0079639C">
          <w:pPr>
            <w:pStyle w:val="23"/>
            <w:tabs>
              <w:tab w:val="right" w:leader="dot" w:pos="8296"/>
            </w:tabs>
            <w:rPr>
              <w:rFonts w:eastAsiaTheme="minorEastAsia"/>
              <w:noProof/>
              <w:szCs w:val="22"/>
            </w:rPr>
          </w:pPr>
          <w:hyperlink w:anchor="_Toc149035048" w:history="1">
            <w:r w:rsidRPr="00C67951">
              <w:rPr>
                <w:rStyle w:val="a9"/>
                <w:rFonts w:ascii="楷体" w:eastAsia="楷体" w:hAnsi="楷体"/>
                <w:b/>
                <w:noProof/>
              </w:rPr>
              <w:t>聚烯烃：成本支撑减弱 聚烯烃偏弱整理为主</w:t>
            </w:r>
          </w:hyperlink>
        </w:p>
        <w:p w:rsidR="0079639C" w:rsidRDefault="0079639C">
          <w:pPr>
            <w:pStyle w:val="23"/>
            <w:tabs>
              <w:tab w:val="right" w:leader="dot" w:pos="8296"/>
            </w:tabs>
            <w:rPr>
              <w:rFonts w:eastAsiaTheme="minorEastAsia"/>
              <w:noProof/>
              <w:szCs w:val="22"/>
            </w:rPr>
          </w:pPr>
          <w:hyperlink w:anchor="_Toc149035049" w:history="1">
            <w:r w:rsidRPr="00C67951">
              <w:rPr>
                <w:rStyle w:val="a9"/>
                <w:rFonts w:ascii="楷体" w:eastAsia="楷体" w:hAnsi="楷体"/>
                <w:b/>
                <w:noProof/>
              </w:rPr>
              <w:t>MEG：具备低多价值</w:t>
            </w:r>
          </w:hyperlink>
        </w:p>
        <w:p w:rsidR="0079639C" w:rsidRDefault="0079639C">
          <w:pPr>
            <w:pStyle w:val="23"/>
            <w:tabs>
              <w:tab w:val="right" w:leader="dot" w:pos="8296"/>
            </w:tabs>
            <w:rPr>
              <w:rFonts w:eastAsiaTheme="minorEastAsia"/>
              <w:noProof/>
              <w:szCs w:val="22"/>
            </w:rPr>
          </w:pPr>
          <w:hyperlink w:anchor="_Toc149035050" w:history="1">
            <w:r w:rsidRPr="00C67951">
              <w:rPr>
                <w:rStyle w:val="a9"/>
                <w:rFonts w:ascii="楷体" w:eastAsia="楷体" w:hAnsi="楷体"/>
                <w:b/>
                <w:noProof/>
              </w:rPr>
              <w:t>玻璃：现货下跌，震荡偏空</w:t>
            </w:r>
          </w:hyperlink>
        </w:p>
        <w:p w:rsidR="0079639C" w:rsidRDefault="0079639C">
          <w:pPr>
            <w:pStyle w:val="23"/>
            <w:tabs>
              <w:tab w:val="right" w:leader="dot" w:pos="8296"/>
            </w:tabs>
            <w:rPr>
              <w:rFonts w:eastAsiaTheme="minorEastAsia"/>
              <w:noProof/>
              <w:szCs w:val="22"/>
            </w:rPr>
          </w:pPr>
          <w:hyperlink w:anchor="_Toc149035051" w:history="1">
            <w:r w:rsidRPr="00C67951">
              <w:rPr>
                <w:rStyle w:val="a9"/>
                <w:rFonts w:ascii="楷体" w:eastAsia="楷体" w:hAnsi="楷体"/>
                <w:b/>
                <w:noProof/>
              </w:rPr>
              <w:t>纯碱：现货加速下跌，反弹逢高做空</w:t>
            </w:r>
          </w:hyperlink>
        </w:p>
        <w:p w:rsidR="0079639C" w:rsidRDefault="0079639C">
          <w:pPr>
            <w:pStyle w:val="11"/>
            <w:tabs>
              <w:tab w:val="right" w:leader="dot" w:pos="8296"/>
            </w:tabs>
            <w:rPr>
              <w:rFonts w:eastAsiaTheme="minorEastAsia"/>
              <w:noProof/>
              <w:szCs w:val="22"/>
            </w:rPr>
          </w:pPr>
          <w:hyperlink w:anchor="_Toc149035052" w:history="1">
            <w:r w:rsidRPr="00C67951">
              <w:rPr>
                <w:rStyle w:val="a9"/>
                <w:rFonts w:ascii="Times New Roman" w:eastAsia="楷体" w:hAnsi="Times New Roman"/>
                <w:b/>
                <w:noProof/>
              </w:rPr>
              <w:t>[</w:t>
            </w:r>
            <w:r w:rsidRPr="00C67951">
              <w:rPr>
                <w:rStyle w:val="a9"/>
                <w:rFonts w:ascii="Times New Roman" w:eastAsia="楷体" w:hAnsi="Times New Roman"/>
                <w:b/>
                <w:noProof/>
              </w:rPr>
              <w:t>农产品</w:t>
            </w:r>
            <w:r w:rsidRPr="00C67951">
              <w:rPr>
                <w:rStyle w:val="a9"/>
                <w:rFonts w:ascii="Times New Roman" w:eastAsia="楷体" w:hAnsi="Times New Roman"/>
                <w:b/>
                <w:noProof/>
              </w:rPr>
              <w:t>]</w:t>
            </w:r>
          </w:hyperlink>
        </w:p>
        <w:p w:rsidR="0079639C" w:rsidRDefault="0079639C">
          <w:pPr>
            <w:pStyle w:val="23"/>
            <w:tabs>
              <w:tab w:val="right" w:leader="dot" w:pos="8296"/>
            </w:tabs>
            <w:rPr>
              <w:rFonts w:eastAsiaTheme="minorEastAsia"/>
              <w:noProof/>
              <w:szCs w:val="22"/>
            </w:rPr>
          </w:pPr>
          <w:hyperlink w:anchor="_Toc149035053" w:history="1">
            <w:r w:rsidRPr="00C67951">
              <w:rPr>
                <w:rStyle w:val="a9"/>
                <w:rFonts w:ascii="楷体" w:eastAsia="楷体" w:hAnsi="楷体"/>
                <w:b/>
                <w:noProof/>
              </w:rPr>
              <w:t>豆粕/菜粕：新作上市压力仍存，两粕震荡整理</w:t>
            </w:r>
          </w:hyperlink>
        </w:p>
        <w:p w:rsidR="0079639C" w:rsidRDefault="0079639C">
          <w:pPr>
            <w:pStyle w:val="23"/>
            <w:tabs>
              <w:tab w:val="right" w:leader="dot" w:pos="8296"/>
            </w:tabs>
            <w:rPr>
              <w:rFonts w:eastAsiaTheme="minorEastAsia"/>
              <w:noProof/>
              <w:szCs w:val="22"/>
            </w:rPr>
          </w:pPr>
          <w:hyperlink w:anchor="_Toc149035054" w:history="1">
            <w:r w:rsidRPr="00C67951">
              <w:rPr>
                <w:rStyle w:val="a9"/>
                <w:rFonts w:ascii="楷体" w:eastAsia="楷体" w:hAnsi="楷体"/>
                <w:b/>
                <w:noProof/>
              </w:rPr>
              <w:t>油脂：短期缺乏驱动，宽幅震荡</w:t>
            </w:r>
          </w:hyperlink>
        </w:p>
        <w:p w:rsidR="0079639C" w:rsidRDefault="0079639C">
          <w:pPr>
            <w:pStyle w:val="23"/>
            <w:tabs>
              <w:tab w:val="right" w:leader="dot" w:pos="8296"/>
            </w:tabs>
            <w:rPr>
              <w:rFonts w:eastAsiaTheme="minorEastAsia"/>
              <w:noProof/>
              <w:szCs w:val="22"/>
            </w:rPr>
          </w:pPr>
          <w:hyperlink w:anchor="_Toc149035055" w:history="1">
            <w:r w:rsidRPr="00C67951">
              <w:rPr>
                <w:rStyle w:val="a9"/>
                <w:rFonts w:ascii="楷体" w:eastAsia="楷体" w:hAnsi="楷体"/>
                <w:b/>
                <w:bCs/>
                <w:noProof/>
              </w:rPr>
              <w:t>玉米与淀粉：</w:t>
            </w:r>
            <w:r w:rsidRPr="00C67951">
              <w:rPr>
                <w:rStyle w:val="a9"/>
                <w:rFonts w:ascii="楷体" w:eastAsia="楷体" w:hAnsi="楷体"/>
                <w:b/>
                <w:noProof/>
              </w:rPr>
              <w:t>淀粉-玉米价差再度走扩</w:t>
            </w:r>
          </w:hyperlink>
        </w:p>
        <w:p w:rsidR="0079639C" w:rsidRDefault="0079639C">
          <w:pPr>
            <w:pStyle w:val="23"/>
            <w:tabs>
              <w:tab w:val="right" w:leader="dot" w:pos="8296"/>
            </w:tabs>
            <w:rPr>
              <w:rFonts w:eastAsiaTheme="minorEastAsia"/>
              <w:noProof/>
              <w:szCs w:val="22"/>
            </w:rPr>
          </w:pPr>
          <w:hyperlink w:anchor="_Toc149035056" w:history="1">
            <w:r w:rsidRPr="00C67951">
              <w:rPr>
                <w:rStyle w:val="a9"/>
                <w:rFonts w:ascii="楷体" w:eastAsia="楷体" w:hAnsi="楷体"/>
                <w:b/>
                <w:bCs/>
                <w:noProof/>
              </w:rPr>
              <w:t>畜禽养殖：期价转向反映远期供需改善预期</w:t>
            </w:r>
          </w:hyperlink>
        </w:p>
        <w:p w:rsidR="0079639C" w:rsidRDefault="0079639C">
          <w:pPr>
            <w:pStyle w:val="23"/>
            <w:tabs>
              <w:tab w:val="right" w:leader="dot" w:pos="8296"/>
            </w:tabs>
            <w:rPr>
              <w:rFonts w:eastAsiaTheme="minorEastAsia"/>
              <w:noProof/>
              <w:szCs w:val="22"/>
            </w:rPr>
          </w:pPr>
          <w:hyperlink w:anchor="_Toc149035057" w:history="1">
            <w:r w:rsidRPr="00C67951">
              <w:rPr>
                <w:rStyle w:val="a9"/>
                <w:rFonts w:ascii="楷体" w:eastAsia="楷体" w:hAnsi="楷体"/>
                <w:b/>
                <w:noProof/>
              </w:rPr>
              <w:t>郑棉：预计郑棉围绕1.6万关口震荡，短期或有反弹，谨慎观望</w:t>
            </w:r>
          </w:hyperlink>
        </w:p>
        <w:p w:rsidR="0079639C" w:rsidRDefault="0079639C">
          <w:pPr>
            <w:pStyle w:val="23"/>
            <w:tabs>
              <w:tab w:val="right" w:leader="dot" w:pos="8296"/>
            </w:tabs>
            <w:rPr>
              <w:rFonts w:eastAsiaTheme="minorEastAsia"/>
              <w:noProof/>
              <w:szCs w:val="22"/>
            </w:rPr>
          </w:pPr>
          <w:hyperlink w:anchor="_Toc149035058" w:history="1">
            <w:r w:rsidRPr="00C67951">
              <w:rPr>
                <w:rStyle w:val="a9"/>
                <w:rFonts w:ascii="楷体" w:eastAsia="楷体" w:hAnsi="楷体"/>
                <w:b/>
                <w:noProof/>
              </w:rPr>
              <w:t>白糖：空单止盈离场</w:t>
            </w:r>
          </w:hyperlink>
        </w:p>
        <w:p w:rsidR="0079639C" w:rsidRDefault="0079639C">
          <w:pPr>
            <w:pStyle w:val="11"/>
            <w:tabs>
              <w:tab w:val="right" w:leader="dot" w:pos="8296"/>
            </w:tabs>
            <w:rPr>
              <w:rFonts w:eastAsiaTheme="minorEastAsia"/>
              <w:noProof/>
              <w:szCs w:val="22"/>
            </w:rPr>
          </w:pPr>
          <w:hyperlink w:anchor="_Toc149035059" w:history="1">
            <w:r w:rsidRPr="00C67951">
              <w:rPr>
                <w:rStyle w:val="a9"/>
                <w:rFonts w:ascii="Times New Roman" w:eastAsia="楷体" w:hAnsi="Times New Roman"/>
                <w:b/>
                <w:noProof/>
              </w:rPr>
              <w:t>[</w:t>
            </w:r>
            <w:r w:rsidRPr="00C67951">
              <w:rPr>
                <w:rStyle w:val="a9"/>
                <w:rFonts w:ascii="Times New Roman" w:eastAsia="楷体" w:hAnsi="Times New Roman"/>
                <w:b/>
                <w:noProof/>
              </w:rPr>
              <w:t>指数</w:t>
            </w:r>
            <w:r w:rsidRPr="00C67951">
              <w:rPr>
                <w:rStyle w:val="a9"/>
                <w:rFonts w:ascii="Times New Roman" w:eastAsia="楷体" w:hAnsi="Times New Roman"/>
                <w:b/>
                <w:noProof/>
              </w:rPr>
              <w:t>]</w:t>
            </w:r>
          </w:hyperlink>
        </w:p>
        <w:p w:rsidR="0079639C" w:rsidRDefault="0079639C">
          <w:pPr>
            <w:pStyle w:val="23"/>
            <w:tabs>
              <w:tab w:val="right" w:leader="dot" w:pos="8296"/>
            </w:tabs>
            <w:rPr>
              <w:rFonts w:eastAsiaTheme="minorEastAsia"/>
              <w:noProof/>
              <w:szCs w:val="22"/>
            </w:rPr>
          </w:pPr>
          <w:hyperlink w:anchor="_Toc149035060" w:history="1">
            <w:r w:rsidRPr="00C67951">
              <w:rPr>
                <w:rStyle w:val="a9"/>
                <w:rFonts w:ascii="Times New Roman" w:eastAsia="楷体" w:hAnsi="Times New Roman"/>
                <w:b/>
                <w:noProof/>
              </w:rPr>
              <w:t>集运指数（欧线）：</w:t>
            </w:r>
            <w:r w:rsidRPr="00C67951">
              <w:rPr>
                <w:rStyle w:val="a9"/>
                <w:rFonts w:ascii="Times New Roman" w:eastAsia="楷体" w:hAnsi="Times New Roman"/>
                <w:b/>
                <w:noProof/>
              </w:rPr>
              <w:t>SCFIS</w:t>
            </w:r>
            <w:r w:rsidRPr="00C67951">
              <w:rPr>
                <w:rStyle w:val="a9"/>
                <w:rFonts w:ascii="Times New Roman" w:eastAsia="楷体" w:hAnsi="Times New Roman"/>
                <w:b/>
                <w:noProof/>
              </w:rPr>
              <w:t>欧线跌幅放缓，</w:t>
            </w:r>
            <w:r w:rsidRPr="00C67951">
              <w:rPr>
                <w:rStyle w:val="a9"/>
                <w:rFonts w:ascii="Times New Roman" w:eastAsia="楷体" w:hAnsi="Times New Roman"/>
                <w:b/>
                <w:noProof/>
              </w:rPr>
              <w:t>EC</w:t>
            </w:r>
            <w:r w:rsidRPr="00C67951">
              <w:rPr>
                <w:rStyle w:val="a9"/>
                <w:rFonts w:ascii="Times New Roman" w:eastAsia="楷体" w:hAnsi="Times New Roman"/>
                <w:b/>
                <w:noProof/>
              </w:rPr>
              <w:t>进入宽幅震荡</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03502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035029"/>
      <w:bookmarkEnd w:id="4"/>
      <w:r>
        <w:rPr>
          <w:rFonts w:ascii="Times New Roman" w:eastAsia="楷体" w:hAnsi="Times New Roman" w:hint="eastAsia"/>
          <w:b/>
          <w:color w:val="000000" w:themeColor="text1"/>
          <w:sz w:val="24"/>
          <w:szCs w:val="24"/>
        </w:rPr>
        <w:t>股指：</w:t>
      </w:r>
      <w:bookmarkEnd w:id="6"/>
      <w:bookmarkEnd w:id="7"/>
      <w:r w:rsidR="00B80E26" w:rsidRPr="00B80E26">
        <w:rPr>
          <w:rFonts w:ascii="Times New Roman" w:eastAsia="楷体" w:hAnsi="Times New Roman" w:hint="eastAsia"/>
          <w:b/>
          <w:color w:val="000000" w:themeColor="text1"/>
          <w:sz w:val="24"/>
          <w:szCs w:val="24"/>
        </w:rPr>
        <w:t>短线建议等待抛售情绪缓解，再行布局指数多单</w:t>
      </w:r>
      <w:bookmarkEnd w:id="8"/>
    </w:p>
    <w:p w:rsidR="003F56A5" w:rsidRDefault="00B80E26" w:rsidP="00D14B3E">
      <w:pPr>
        <w:ind w:leftChars="300" w:left="630"/>
        <w:rPr>
          <w:rFonts w:ascii="Times New Roman" w:eastAsia="楷体" w:hAnsi="Times New Roman"/>
          <w:color w:val="000000" w:themeColor="text1"/>
          <w:sz w:val="24"/>
          <w:szCs w:val="24"/>
        </w:rPr>
      </w:pPr>
      <w:r w:rsidRPr="00B80E26">
        <w:rPr>
          <w:rFonts w:ascii="Times New Roman" w:eastAsia="楷体" w:hAnsi="Times New Roman" w:hint="eastAsia"/>
          <w:color w:val="000000" w:themeColor="text1"/>
          <w:sz w:val="24"/>
          <w:szCs w:val="24"/>
        </w:rPr>
        <w:t>昨日</w:t>
      </w:r>
      <w:r w:rsidRPr="00B80E26">
        <w:rPr>
          <w:rFonts w:ascii="Times New Roman" w:eastAsia="楷体" w:hAnsi="Times New Roman" w:hint="eastAsia"/>
          <w:color w:val="000000" w:themeColor="text1"/>
          <w:sz w:val="24"/>
          <w:szCs w:val="24"/>
        </w:rPr>
        <w:t>A</w:t>
      </w:r>
      <w:r w:rsidRPr="00B80E26">
        <w:rPr>
          <w:rFonts w:ascii="Times New Roman" w:eastAsia="楷体" w:hAnsi="Times New Roman" w:hint="eastAsia"/>
          <w:color w:val="000000" w:themeColor="text1"/>
          <w:sz w:val="24"/>
          <w:szCs w:val="24"/>
        </w:rPr>
        <w:t>股继续明显回调，即便没有北向资金参与，各指数易处于恐慌式下跌状态。基金面临清盘线压力，为避免个股抛售摩擦成本，期货端对冲力量主导明显，</w:t>
      </w:r>
      <w:r w:rsidRPr="00B80E26">
        <w:rPr>
          <w:rFonts w:ascii="Times New Roman" w:eastAsia="楷体" w:hAnsi="Times New Roman" w:hint="eastAsia"/>
          <w:color w:val="000000" w:themeColor="text1"/>
          <w:sz w:val="24"/>
          <w:szCs w:val="24"/>
        </w:rPr>
        <w:t>IC</w:t>
      </w:r>
      <w:r w:rsidRPr="00B80E26">
        <w:rPr>
          <w:rFonts w:ascii="Times New Roman" w:eastAsia="楷体" w:hAnsi="Times New Roman" w:hint="eastAsia"/>
          <w:color w:val="000000" w:themeColor="text1"/>
          <w:sz w:val="24"/>
          <w:szCs w:val="24"/>
        </w:rPr>
        <w:t>、</w:t>
      </w:r>
      <w:r w:rsidRPr="00B80E26">
        <w:rPr>
          <w:rFonts w:ascii="Times New Roman" w:eastAsia="楷体" w:hAnsi="Times New Roman" w:hint="eastAsia"/>
          <w:color w:val="000000" w:themeColor="text1"/>
          <w:sz w:val="24"/>
          <w:szCs w:val="24"/>
        </w:rPr>
        <w:t>IM</w:t>
      </w:r>
      <w:r w:rsidRPr="00B80E26">
        <w:rPr>
          <w:rFonts w:ascii="Times New Roman" w:eastAsia="楷体" w:hAnsi="Times New Roman" w:hint="eastAsia"/>
          <w:color w:val="000000" w:themeColor="text1"/>
          <w:sz w:val="24"/>
          <w:szCs w:val="24"/>
        </w:rPr>
        <w:t>午后基差流畅下行。短线建议等待抛售情绪缓解，再行布局指数多单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03503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035031"/>
      <w:r>
        <w:rPr>
          <w:rFonts w:ascii="Times New Roman" w:eastAsia="楷体" w:hAnsi="Times New Roman" w:hint="eastAsia"/>
          <w:b/>
          <w:color w:val="000000" w:themeColor="text1"/>
          <w:sz w:val="24"/>
          <w:szCs w:val="24"/>
        </w:rPr>
        <w:t>贵金属：</w:t>
      </w:r>
      <w:r w:rsidR="00B80E26" w:rsidRPr="00B80E26">
        <w:rPr>
          <w:rFonts w:ascii="Times New Roman" w:eastAsia="楷体" w:hAnsi="Times New Roman" w:hint="eastAsia"/>
          <w:b/>
          <w:color w:val="000000" w:themeColor="text1"/>
          <w:sz w:val="24"/>
          <w:szCs w:val="24"/>
        </w:rPr>
        <w:t>美债收益率上行，内盘贵金属窄幅震荡</w:t>
      </w:r>
      <w:bookmarkEnd w:id="10"/>
    </w:p>
    <w:p w:rsidR="003F56A5" w:rsidRDefault="00B80E26">
      <w:pPr>
        <w:ind w:leftChars="300" w:left="630"/>
        <w:rPr>
          <w:rFonts w:ascii="Times New Roman" w:eastAsia="楷体" w:hAnsi="Times New Roman"/>
          <w:sz w:val="24"/>
          <w:szCs w:val="24"/>
        </w:rPr>
      </w:pPr>
      <w:r w:rsidRPr="00B80E26">
        <w:rPr>
          <w:rFonts w:ascii="Times New Roman" w:eastAsia="楷体" w:hAnsi="Times New Roman" w:hint="eastAsia"/>
          <w:color w:val="000000" w:themeColor="text1"/>
          <w:sz w:val="24"/>
          <w:szCs w:val="24"/>
        </w:rPr>
        <w:t>昨日美十债收益率升破</w:t>
      </w:r>
      <w:r w:rsidRPr="00B80E26">
        <w:rPr>
          <w:rFonts w:ascii="Times New Roman" w:eastAsia="楷体" w:hAnsi="Times New Roman" w:hint="eastAsia"/>
          <w:color w:val="000000" w:themeColor="text1"/>
          <w:sz w:val="24"/>
          <w:szCs w:val="24"/>
        </w:rPr>
        <w:t>5%</w:t>
      </w:r>
      <w:r w:rsidRPr="00B80E26">
        <w:rPr>
          <w:rFonts w:ascii="Times New Roman" w:eastAsia="楷体" w:hAnsi="Times New Roman" w:hint="eastAsia"/>
          <w:color w:val="000000" w:themeColor="text1"/>
          <w:sz w:val="24"/>
          <w:szCs w:val="24"/>
        </w:rPr>
        <w:t>关口后小幅回落，沪金、沪银窄幅震荡。美国</w:t>
      </w:r>
      <w:r w:rsidRPr="00B80E26">
        <w:rPr>
          <w:rFonts w:ascii="Times New Roman" w:eastAsia="楷体" w:hAnsi="Times New Roman" w:hint="eastAsia"/>
          <w:color w:val="000000" w:themeColor="text1"/>
          <w:sz w:val="24"/>
          <w:szCs w:val="24"/>
        </w:rPr>
        <w:t>9</w:t>
      </w:r>
      <w:r w:rsidRPr="00B80E26">
        <w:rPr>
          <w:rFonts w:ascii="Times New Roman" w:eastAsia="楷体" w:hAnsi="Times New Roman" w:hint="eastAsia"/>
          <w:color w:val="000000" w:themeColor="text1"/>
          <w:sz w:val="24"/>
          <w:szCs w:val="24"/>
        </w:rPr>
        <w:t>月芝加哥联储全国活动指数回升至</w:t>
      </w:r>
      <w:r w:rsidRPr="00B80E26">
        <w:rPr>
          <w:rFonts w:ascii="Times New Roman" w:eastAsia="楷体" w:hAnsi="Times New Roman" w:hint="eastAsia"/>
          <w:color w:val="000000" w:themeColor="text1"/>
          <w:sz w:val="24"/>
          <w:szCs w:val="24"/>
        </w:rPr>
        <w:t>0.02</w:t>
      </w:r>
      <w:r w:rsidRPr="00B80E26">
        <w:rPr>
          <w:rFonts w:ascii="Times New Roman" w:eastAsia="楷体" w:hAnsi="Times New Roman" w:hint="eastAsia"/>
          <w:color w:val="000000" w:themeColor="text1"/>
          <w:sz w:val="24"/>
          <w:szCs w:val="24"/>
        </w:rPr>
        <w:t>，高于预期及前值，提示经济活动略微扩张。上周美联储主席鲍威尔表示，联储放任美债收益率上行并对其进行观察，收益率上升已经造成金融条件显著收紧，且其或意味着无需进行更多加息。美债收益率强势表现令贵金属价格承压，周内留意美国</w:t>
      </w:r>
      <w:r w:rsidRPr="00B80E26">
        <w:rPr>
          <w:rFonts w:ascii="Times New Roman" w:eastAsia="楷体" w:hAnsi="Times New Roman" w:hint="eastAsia"/>
          <w:color w:val="000000" w:themeColor="text1"/>
          <w:sz w:val="24"/>
          <w:szCs w:val="24"/>
        </w:rPr>
        <w:t>MarkitPMI</w:t>
      </w:r>
      <w:r w:rsidRPr="00B80E26">
        <w:rPr>
          <w:rFonts w:ascii="Times New Roman" w:eastAsia="楷体" w:hAnsi="Times New Roman" w:hint="eastAsia"/>
          <w:color w:val="000000" w:themeColor="text1"/>
          <w:sz w:val="24"/>
          <w:szCs w:val="24"/>
        </w:rPr>
        <w:t>、美国三季度实际</w:t>
      </w:r>
      <w:r w:rsidRPr="00B80E26">
        <w:rPr>
          <w:rFonts w:ascii="Times New Roman" w:eastAsia="楷体" w:hAnsi="Times New Roman" w:hint="eastAsia"/>
          <w:color w:val="000000" w:themeColor="text1"/>
          <w:sz w:val="24"/>
          <w:szCs w:val="24"/>
        </w:rPr>
        <w:t>GDP</w:t>
      </w:r>
      <w:r w:rsidRPr="00B80E26">
        <w:rPr>
          <w:rFonts w:ascii="Times New Roman" w:eastAsia="楷体" w:hAnsi="Times New Roman" w:hint="eastAsia"/>
          <w:color w:val="000000" w:themeColor="text1"/>
          <w:sz w:val="24"/>
          <w:szCs w:val="24"/>
        </w:rPr>
        <w:t>及个人消费支出季率等多项经济数据公布情况，建议沪金、沪银中长线思路仍以偏多为主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0350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035033"/>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B80E26" w:rsidRPr="00B80E26">
        <w:rPr>
          <w:rFonts w:ascii="楷体" w:eastAsia="楷体" w:hAnsi="楷体" w:hint="eastAsia"/>
          <w:b/>
          <w:color w:val="000000" w:themeColor="text1"/>
          <w:sz w:val="24"/>
          <w:szCs w:val="24"/>
        </w:rPr>
        <w:t>锂矿锂盐进口环比增长，期价表现分化</w:t>
      </w:r>
      <w:bookmarkEnd w:id="18"/>
    </w:p>
    <w:p w:rsidR="00F50569" w:rsidRDefault="00B80E26" w:rsidP="00F50569">
      <w:pPr>
        <w:ind w:leftChars="300" w:left="630"/>
        <w:rPr>
          <w:rFonts w:ascii="楷体" w:eastAsia="楷体" w:hAnsi="楷体"/>
          <w:color w:val="000000" w:themeColor="text1"/>
          <w:sz w:val="24"/>
          <w:szCs w:val="24"/>
        </w:rPr>
      </w:pPr>
      <w:r w:rsidRPr="00B80E26">
        <w:rPr>
          <w:rFonts w:ascii="楷体" w:eastAsia="楷体" w:hAnsi="楷体" w:hint="eastAsia"/>
          <w:color w:val="000000" w:themeColor="text1"/>
          <w:sz w:val="24"/>
          <w:szCs w:val="24"/>
        </w:rPr>
        <w:t>昨日期价表现分化，近月合约维持大幅下跌，远月合约分别上涨近1%。9月我国锂辉石精矿进口量约为499695实物吨，环比增加119%，同比增加105%。进口均价约为2968美元。9月国内碳酸锂进口量为13656吨，环比增加25.9%，超出此前市场预期。个别澳矿或将定价机制调整为M+1，若最终落实则或令进口价格进一步下降。近期行情主要受弱需求预期以及消息面市场情绪影响，进口端供应超预期表现令锂价有所承压。整体而言碳酸锂上游开工略有恢复、维持去库，但弱势的下游需求令期价承压，近期锂价或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035034"/>
      <w:r>
        <w:rPr>
          <w:rFonts w:ascii="楷体" w:eastAsia="楷体" w:hAnsi="楷体" w:hint="eastAsia"/>
          <w:b/>
          <w:color w:val="000000" w:themeColor="text1"/>
          <w:sz w:val="24"/>
          <w:szCs w:val="24"/>
        </w:rPr>
        <w:t>螺纹钢：</w:t>
      </w:r>
      <w:bookmarkEnd w:id="16"/>
      <w:bookmarkEnd w:id="17"/>
      <w:r w:rsidR="00381978" w:rsidRPr="00381978">
        <w:rPr>
          <w:rFonts w:ascii="楷体" w:eastAsia="楷体" w:hAnsi="楷体" w:hint="eastAsia"/>
          <w:b/>
          <w:color w:val="000000" w:themeColor="text1"/>
          <w:sz w:val="24"/>
          <w:szCs w:val="24"/>
        </w:rPr>
        <w:t>成交具有韧性，低估值下偏弱震荡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381978" w:rsidP="00201944">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昨日成交仍具有仍性，短期受预期走弱影响，价格向下继续测试支撑。短期矛盾并不是特别突出，整体震荡向下测试价格底部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035035"/>
      <w:r>
        <w:rPr>
          <w:rFonts w:ascii="楷体" w:eastAsia="楷体" w:hAnsi="楷体" w:hint="eastAsia"/>
          <w:b/>
          <w:color w:val="000000" w:themeColor="text1"/>
          <w:sz w:val="24"/>
          <w:szCs w:val="24"/>
        </w:rPr>
        <w:t>焦炭：</w:t>
      </w:r>
      <w:bookmarkEnd w:id="20"/>
      <w:bookmarkEnd w:id="21"/>
      <w:r w:rsidR="00381978" w:rsidRPr="00381978">
        <w:rPr>
          <w:rFonts w:ascii="楷体" w:eastAsia="楷体" w:hAnsi="楷体" w:hint="eastAsia"/>
          <w:b/>
          <w:color w:val="000000" w:themeColor="text1"/>
          <w:sz w:val="24"/>
          <w:szCs w:val="24"/>
        </w:rPr>
        <w:t>成材利润压制，震荡偏弱测试下方支撑</w:t>
      </w:r>
      <w:bookmarkEnd w:id="22"/>
    </w:p>
    <w:p w:rsidR="003F56A5" w:rsidRDefault="00381978" w:rsidP="00572E35">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铁水缓慢减产，成材利润矛盾突出情况下，焦炭供需缺口收敛，下游采购意愿减弱，盘面震荡向下，短期低估值下或震荡偏弱测试下方支撑</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035036"/>
      <w:r>
        <w:rPr>
          <w:rFonts w:ascii="楷体" w:eastAsia="楷体" w:hAnsi="楷体" w:hint="eastAsia"/>
          <w:b/>
          <w:color w:val="000000" w:themeColor="text1"/>
          <w:sz w:val="24"/>
          <w:szCs w:val="24"/>
        </w:rPr>
        <w:t>焦煤：</w:t>
      </w:r>
      <w:r w:rsidR="00381978" w:rsidRPr="00381978">
        <w:rPr>
          <w:rFonts w:ascii="楷体" w:eastAsia="楷体" w:hAnsi="楷体" w:hint="eastAsia"/>
          <w:b/>
          <w:sz w:val="24"/>
          <w:szCs w:val="24"/>
        </w:rPr>
        <w:t>煤价回调，价格测试底部支撑</w:t>
      </w:r>
      <w:bookmarkEnd w:id="23"/>
    </w:p>
    <w:p w:rsidR="003F56A5" w:rsidRDefault="00381978">
      <w:pPr>
        <w:ind w:leftChars="300" w:left="630"/>
        <w:rPr>
          <w:rFonts w:ascii="楷体" w:eastAsia="楷体" w:hAnsi="楷体"/>
          <w:bCs/>
          <w:sz w:val="24"/>
          <w:szCs w:val="24"/>
        </w:rPr>
      </w:pPr>
      <w:r w:rsidRPr="00381978">
        <w:rPr>
          <w:rFonts w:ascii="楷体" w:eastAsia="楷体" w:hAnsi="楷体" w:hint="eastAsia"/>
          <w:sz w:val="24"/>
          <w:szCs w:val="24"/>
        </w:rPr>
        <w:t>下游采购意愿减弱，煤矿产量小幅度回升，现货价格过高下，供需缺口收</w:t>
      </w:r>
      <w:r w:rsidRPr="00381978">
        <w:rPr>
          <w:rFonts w:ascii="楷体" w:eastAsia="楷体" w:hAnsi="楷体" w:hint="eastAsia"/>
          <w:sz w:val="24"/>
          <w:szCs w:val="24"/>
        </w:rPr>
        <w:lastRenderedPageBreak/>
        <w:t>敛推动价格回落，短期预期较弱，盘面贴水较大，预计震荡偏弱测试下方支撑</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035037"/>
      <w:r>
        <w:rPr>
          <w:rFonts w:ascii="楷体" w:eastAsia="楷体" w:hAnsi="楷体" w:hint="eastAsia"/>
          <w:b/>
          <w:color w:val="000000" w:themeColor="text1"/>
          <w:sz w:val="24"/>
          <w:szCs w:val="24"/>
        </w:rPr>
        <w:t>铜：</w:t>
      </w:r>
      <w:bookmarkEnd w:id="24"/>
      <w:bookmarkEnd w:id="25"/>
      <w:r w:rsidR="00381978" w:rsidRPr="00381978">
        <w:rPr>
          <w:rFonts w:ascii="楷体" w:eastAsia="楷体" w:hAnsi="楷体" w:hint="eastAsia"/>
          <w:b/>
          <w:color w:val="000000" w:themeColor="text1"/>
          <w:sz w:val="24"/>
          <w:szCs w:val="24"/>
        </w:rPr>
        <w:t>短期偏弱震荡，上下驱动均有限</w:t>
      </w:r>
      <w:bookmarkEnd w:id="26"/>
    </w:p>
    <w:p w:rsidR="00381978" w:rsidRPr="00381978" w:rsidRDefault="00381978" w:rsidP="00381978">
      <w:pPr>
        <w:ind w:leftChars="300" w:left="630"/>
        <w:rPr>
          <w:rFonts w:ascii="楷体" w:eastAsia="楷体" w:hAnsi="楷体" w:hint="eastAsia"/>
          <w:color w:val="000000" w:themeColor="text1"/>
          <w:sz w:val="24"/>
          <w:szCs w:val="24"/>
        </w:rPr>
      </w:pPr>
      <w:r w:rsidRPr="00381978">
        <w:rPr>
          <w:rFonts w:ascii="楷体" w:eastAsia="楷体" w:hAnsi="楷体" w:hint="eastAsia"/>
          <w:color w:val="000000" w:themeColor="text1"/>
          <w:sz w:val="24"/>
          <w:szCs w:val="24"/>
        </w:rPr>
        <w:t>(1)产业：国际铜业研究组织（ICSG）在最新的月度报告中称，2023年8月，全球精炼铜市场显示出供应短缺33,000吨，7月为短缺30,000吨。ICSG称，今年前八个月，市场供应过剩99,000吨，而去年同期为短缺313,000吨。</w:t>
      </w:r>
    </w:p>
    <w:p w:rsidR="00381978" w:rsidRPr="00381978" w:rsidRDefault="00381978" w:rsidP="00381978">
      <w:pPr>
        <w:ind w:leftChars="300" w:left="630"/>
        <w:rPr>
          <w:rFonts w:ascii="楷体" w:eastAsia="楷体" w:hAnsi="楷体" w:hint="eastAsia"/>
          <w:color w:val="000000" w:themeColor="text1"/>
          <w:sz w:val="24"/>
          <w:szCs w:val="24"/>
        </w:rPr>
      </w:pPr>
      <w:r w:rsidRPr="00381978">
        <w:rPr>
          <w:rFonts w:ascii="楷体" w:eastAsia="楷体" w:hAnsi="楷体" w:hint="eastAsia"/>
          <w:color w:val="000000" w:themeColor="text1"/>
          <w:sz w:val="24"/>
          <w:szCs w:val="24"/>
        </w:rPr>
        <w:t>(2)库存：10月23日，SHFE仓单库存10270吨，减1149吨；LME仓单库存190450吨，减1475吨。</w:t>
      </w:r>
    </w:p>
    <w:p w:rsidR="00381978" w:rsidRPr="00381978" w:rsidRDefault="00381978" w:rsidP="00381978">
      <w:pPr>
        <w:ind w:leftChars="300" w:left="630"/>
        <w:rPr>
          <w:rFonts w:ascii="楷体" w:eastAsia="楷体" w:hAnsi="楷体" w:hint="eastAsia"/>
          <w:color w:val="000000" w:themeColor="text1"/>
          <w:sz w:val="24"/>
          <w:szCs w:val="24"/>
        </w:rPr>
      </w:pPr>
      <w:r w:rsidRPr="00381978">
        <w:rPr>
          <w:rFonts w:ascii="楷体" w:eastAsia="楷体" w:hAnsi="楷体" w:hint="eastAsia"/>
          <w:color w:val="000000" w:themeColor="text1"/>
          <w:sz w:val="24"/>
          <w:szCs w:val="24"/>
        </w:rPr>
        <w:t>(3)精废价差：10月23日，Mysteel精废价差716，收窄166。目前价差在合理价差1363之下。</w:t>
      </w:r>
    </w:p>
    <w:p w:rsidR="00381978" w:rsidRPr="00381978" w:rsidRDefault="00381978" w:rsidP="00381978">
      <w:pPr>
        <w:ind w:leftChars="300" w:left="630"/>
        <w:rPr>
          <w:rFonts w:ascii="楷体" w:eastAsia="楷体" w:hAnsi="楷体"/>
          <w:color w:val="000000" w:themeColor="text1"/>
          <w:sz w:val="24"/>
          <w:szCs w:val="24"/>
        </w:rPr>
      </w:pPr>
    </w:p>
    <w:p w:rsidR="00127803" w:rsidRPr="00127803" w:rsidRDefault="00381978" w:rsidP="00381978">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综述：当前整体宏观情绪仍偏空，美元高位运行，人民币偏弱，国内股市再次破位下行，市场信心不足。基本面，供需偏松，现货升水受抑， 铜价承压，但精废价差低位下，精铜替代消费明显，本周国内库存增量放缓，一定程度上给与价格支撑，但向上驱动仍需宏观层面助力。预计短期价格偏弱震荡，上下驱动均有限，波动区间参考65700-67000。继续关注价格下跌后的补库意愿</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035038"/>
      <w:r>
        <w:rPr>
          <w:rFonts w:ascii="楷体" w:eastAsia="楷体" w:hAnsi="楷体" w:hint="eastAsia"/>
          <w:b/>
          <w:color w:val="000000" w:themeColor="text1"/>
          <w:sz w:val="24"/>
          <w:szCs w:val="24"/>
        </w:rPr>
        <w:t>铝：</w:t>
      </w:r>
      <w:bookmarkEnd w:id="27"/>
      <w:bookmarkEnd w:id="28"/>
      <w:r w:rsidR="00381978" w:rsidRPr="00381978">
        <w:rPr>
          <w:rFonts w:ascii="楷体" w:eastAsia="楷体" w:hAnsi="楷体" w:hint="eastAsia"/>
          <w:b/>
          <w:color w:val="000000" w:themeColor="text1"/>
          <w:sz w:val="24"/>
          <w:szCs w:val="24"/>
        </w:rPr>
        <w:t>铝价下方仍有支撑，短期维持震荡态势</w:t>
      </w:r>
      <w:bookmarkEnd w:id="29"/>
    </w:p>
    <w:p w:rsidR="003F56A5" w:rsidRDefault="00381978" w:rsidP="00127803">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中东热战冲突热化，美国通胀回升导致联储加息预期升温，美国政府债务赤字高企，市场避险情绪走增，国内宏观情绪有政策托底维持向好趋势。电解铝运行产能开工稳定，产量依旧高产，上游有原料供应紧缺限制，伴随氧化铝及冶炼辅料价格走增，电解铝理论成本增加，铝价现货走弱，压缩冶炼端利润，但整体影响不大，铝锭库存小幅累增，绝对低库存现状无明显改善，下游铝棒、铝板带箔企业开工情况扰动，需求面有所修复表现强韧。金九银十叠加国家利多政策面支撑刺激需求表现强韧，供应高产能开工但库存累积程度不及预期，绝对低库存情况仍未改善，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035039"/>
      <w:r>
        <w:rPr>
          <w:rFonts w:ascii="楷体" w:eastAsia="楷体" w:hAnsi="楷体" w:hint="eastAsia"/>
          <w:b/>
          <w:color w:val="000000" w:themeColor="text1"/>
          <w:sz w:val="24"/>
          <w:szCs w:val="24"/>
        </w:rPr>
        <w:t>锌：</w:t>
      </w:r>
      <w:r w:rsidR="00381978" w:rsidRPr="00381978">
        <w:rPr>
          <w:rFonts w:ascii="楷体" w:eastAsia="楷体" w:hAnsi="楷体" w:hint="eastAsia"/>
          <w:b/>
          <w:color w:val="000000" w:themeColor="text1"/>
          <w:sz w:val="24"/>
          <w:szCs w:val="24"/>
        </w:rPr>
        <w:t>锌价偏弱运行</w:t>
      </w:r>
      <w:bookmarkEnd w:id="30"/>
    </w:p>
    <w:p w:rsidR="003F56A5" w:rsidRDefault="00381978" w:rsidP="000B0648">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全球精炼锌仍维持过剩，主因需求回落导致过剩这种过剩更多是由需求回落所致，海外经济疲软导致需求偏弱，国内需求保持韧性，依靠基建、汽车、家电等支撑消费。前期检修产能的炼厂基本恢复产能，产出将升至高位，同时因进口盈利窗口打开，进口锌加量流入，需求端韧性延续，但旺季效应偏弱，市场上现货供应偏宽松，基本面供强需弱的前提下，价格仍有偏弱运行趋势</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035040"/>
      <w:r>
        <w:rPr>
          <w:rFonts w:ascii="楷体" w:eastAsia="楷体" w:hAnsi="楷体" w:hint="eastAsia"/>
          <w:b/>
          <w:color w:val="000000" w:themeColor="text1"/>
          <w:sz w:val="24"/>
          <w:szCs w:val="24"/>
        </w:rPr>
        <w:t>镍：</w:t>
      </w:r>
      <w:r w:rsidR="00B80E26" w:rsidRPr="00B80E26">
        <w:rPr>
          <w:rFonts w:ascii="楷体" w:eastAsia="楷体" w:hAnsi="楷体" w:hint="eastAsia"/>
          <w:b/>
          <w:color w:val="000000" w:themeColor="text1"/>
          <w:sz w:val="24"/>
          <w:szCs w:val="24"/>
        </w:rPr>
        <w:t>短期或震荡偏弱运行，观望为主</w:t>
      </w:r>
      <w:bookmarkEnd w:id="31"/>
    </w:p>
    <w:p w:rsidR="003F56A5" w:rsidRDefault="00B80E26">
      <w:pPr>
        <w:ind w:leftChars="300" w:left="630"/>
        <w:rPr>
          <w:rFonts w:ascii="楷体" w:eastAsia="楷体" w:hAnsi="楷体"/>
          <w:color w:val="000000" w:themeColor="text1"/>
          <w:sz w:val="24"/>
          <w:szCs w:val="24"/>
        </w:rPr>
      </w:pPr>
      <w:r w:rsidRPr="00B80E26">
        <w:rPr>
          <w:rFonts w:ascii="楷体" w:eastAsia="楷体" w:hAnsi="楷体" w:hint="eastAsia"/>
          <w:color w:val="000000" w:themeColor="text1"/>
          <w:sz w:val="24"/>
          <w:szCs w:val="24"/>
        </w:rPr>
        <w:t>宏观情绪整体偏空，美债收益率大幅上行，达到多年来高位，对有色金属带来压制；巴以冲突持续加剧，市场避险情绪升温，且可能进一步推升通胀水平；中央汇金继增持四大行后，又买入ETF，再度释放经济信号。供应方面，精炼镍的存量项目和新投产项目产量逐步释放，镍中长期显著过</w:t>
      </w:r>
      <w:r w:rsidRPr="00B80E26">
        <w:rPr>
          <w:rFonts w:ascii="楷体" w:eastAsia="楷体" w:hAnsi="楷体" w:hint="eastAsia"/>
          <w:color w:val="000000" w:themeColor="text1"/>
          <w:sz w:val="24"/>
          <w:szCs w:val="24"/>
        </w:rPr>
        <w:lastRenderedPageBreak/>
        <w:t>剩预期较明晰。然而需求难有起色，不锈钢厂陆续减产，10月和11月产量将有明显下降；新能源汽车对镍的消费维持疲软；合金和电镀对镍存在一定程度的刚性需求。全球精炼镍显性库存维持累库趋势，近期沪镍库存达到两年来高位。综合而言，在供需矛盾凸显、基本面逐步走弱的态势下，对镍价中长期持偏空思路。但由于库存仍处于历史低位，且电积镍成本带来一定的支撑作用，镍价在连续下跌后估值偏低，短期内继续深跌的动能不足，或小幅反弹修复后震荡偏弱运行。操作上不建议追空，暂时观望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03504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035042"/>
      <w:r>
        <w:rPr>
          <w:rFonts w:ascii="楷体" w:eastAsia="楷体" w:hAnsi="楷体" w:hint="eastAsia"/>
          <w:b/>
          <w:color w:val="000000" w:themeColor="text1"/>
          <w:sz w:val="24"/>
          <w:szCs w:val="24"/>
        </w:rPr>
        <w:t>不锈钢：</w:t>
      </w:r>
      <w:r w:rsidR="00B80E26" w:rsidRPr="00B80E26">
        <w:rPr>
          <w:rFonts w:ascii="楷体" w:eastAsia="楷体" w:hAnsi="楷体" w:hint="eastAsia"/>
          <w:b/>
          <w:color w:val="000000" w:themeColor="text1"/>
          <w:sz w:val="24"/>
          <w:szCs w:val="24"/>
        </w:rPr>
        <w:t>上下空间皆有限，关注社库及减产情况</w:t>
      </w:r>
      <w:bookmarkEnd w:id="33"/>
    </w:p>
    <w:p w:rsidR="003F56A5" w:rsidRDefault="00B80E26">
      <w:pPr>
        <w:ind w:leftChars="300" w:left="630"/>
        <w:rPr>
          <w:rFonts w:ascii="楷体" w:eastAsia="楷体" w:hAnsi="楷体"/>
          <w:color w:val="000000" w:themeColor="text1"/>
          <w:sz w:val="24"/>
          <w:szCs w:val="24"/>
        </w:rPr>
      </w:pPr>
      <w:r w:rsidRPr="00B80E26">
        <w:rPr>
          <w:rFonts w:ascii="楷体" w:eastAsia="楷体" w:hAnsi="楷体" w:hint="eastAsia"/>
          <w:color w:val="000000" w:themeColor="text1"/>
          <w:sz w:val="24"/>
          <w:szCs w:val="24"/>
        </w:rPr>
        <w:t>成本端，下游镍铁亏损严重，对镍矿采购意愿不佳，导致近期镍矿价格偏弱，但在四季度供应偏紧局势下，镍矿价格预计持稳。原料端，国内镍铁厂的生产成本较高，同时下游需求疲弱对镍铁价格存在挤压，叠加印尼镍铁的回流压力，预计镍铁价格偏弱运行。需求端，海外需求表现疲弱，国内房地产等传统消费复苏较慢，需求短期内难有较大起色，市场持不锈钢后市持较悲观态度。供应端，由于需求旺季不旺，且冶炼成本被印尼RKAB政策扰动抬高，钢厂冶炼利润不断收窄，陆续开始减产，10月和11月产量将有较大幅度的下降。库存方面，由于钢厂发货节奏放缓，且贸易商低价促进出货，不锈钢社会库存前两周连续去库。综合来看，宏观利空情绪及需求不振因素给不锈钢价带来明显压制，但减产因素及生产成本给不锈钢价带来支撑，不锈钢上下空间皆有限，预计震荡偏弱为主。关注社库变化及实际减产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035043"/>
      <w:r>
        <w:rPr>
          <w:rFonts w:ascii="楷体" w:eastAsia="楷体" w:hAnsi="楷体" w:hint="eastAsia"/>
          <w:b/>
          <w:color w:val="000000" w:themeColor="text1"/>
          <w:sz w:val="24"/>
          <w:szCs w:val="24"/>
        </w:rPr>
        <w:t>工业硅：</w:t>
      </w:r>
      <w:r w:rsidR="00381978" w:rsidRPr="00381978">
        <w:rPr>
          <w:rFonts w:ascii="楷体" w:eastAsia="楷体" w:hAnsi="楷体" w:hint="eastAsia"/>
          <w:b/>
          <w:sz w:val="24"/>
          <w:szCs w:val="24"/>
        </w:rPr>
        <w:t>多空博弈加剧，短期或震荡运行</w:t>
      </w:r>
      <w:bookmarkEnd w:id="34"/>
    </w:p>
    <w:p w:rsidR="003F56A5" w:rsidRDefault="00381978" w:rsidP="00827E8A">
      <w:pPr>
        <w:ind w:leftChars="300" w:left="630"/>
        <w:rPr>
          <w:rFonts w:ascii="楷体" w:eastAsia="楷体" w:hAnsi="楷体"/>
          <w:sz w:val="24"/>
          <w:szCs w:val="24"/>
        </w:rPr>
      </w:pPr>
      <w:r w:rsidRPr="00381978">
        <w:rPr>
          <w:rFonts w:ascii="楷体" w:eastAsia="楷体" w:hAnsi="楷体" w:hint="eastAsia"/>
          <w:sz w:val="24"/>
          <w:szCs w:val="24"/>
        </w:rPr>
        <w:t>10月23日，Si2312主力合约呈反弹走势，收盘价14525元/吨，较上一收盘价涨跌幅+0.55%。当前下游需求改善预期仍存，同时枯水期成本抬升预期较为确定，市场或仍有一定支撑。但仓单总量仍处于高位， 尤其即将到期仓单数量依旧较多，随着距离11月底集中注销越来越近，对于盘面反弹存在压制作用。整体来看，市场多空博弈加剧，短期或震荡为主。策略上，以波段操作为主，参考区间（14400，14800）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03504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B80E26" w:rsidRDefault="00CC3FFA" w:rsidP="00B80E26">
      <w:pPr>
        <w:ind w:firstLineChars="200" w:firstLine="482"/>
        <w:outlineLvl w:val="1"/>
        <w:rPr>
          <w:rFonts w:ascii="楷体" w:eastAsia="楷体" w:hAnsi="楷体"/>
          <w:b/>
          <w:sz w:val="24"/>
          <w:szCs w:val="24"/>
        </w:rPr>
      </w:pPr>
      <w:bookmarkStart w:id="37" w:name="_Toc14903504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B80E26" w:rsidRPr="00B80E26">
        <w:rPr>
          <w:rFonts w:ascii="楷体" w:eastAsia="楷体" w:hAnsi="楷体" w:hint="eastAsia"/>
          <w:b/>
          <w:sz w:val="24"/>
          <w:szCs w:val="24"/>
        </w:rPr>
        <w:t>市场做多力量衰竭，天胶仍有回调预期</w:t>
      </w:r>
      <w:bookmarkEnd w:id="37"/>
    </w:p>
    <w:p w:rsidR="003F56A5" w:rsidRDefault="00B80E26">
      <w:pPr>
        <w:ind w:leftChars="300" w:left="630"/>
        <w:rPr>
          <w:rFonts w:ascii="楷体" w:eastAsia="楷体" w:hAnsi="楷体"/>
          <w:sz w:val="24"/>
          <w:szCs w:val="24"/>
        </w:rPr>
      </w:pPr>
      <w:r w:rsidRPr="00B80E26">
        <w:rPr>
          <w:rFonts w:ascii="楷体" w:eastAsia="楷体" w:hAnsi="楷体" w:hint="eastAsia"/>
          <w:sz w:val="24"/>
          <w:szCs w:val="24"/>
        </w:rPr>
        <w:t>点评：近期天然橡胶高位回调，市场做多情绪明显减弱。供应方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谨防高位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03504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F4417" w:rsidRPr="00BF4417">
        <w:rPr>
          <w:rFonts w:ascii="Calibri" w:eastAsia="楷体" w:hAnsi="Calibri" w:cs="Calibri"/>
          <w:b/>
          <w:color w:val="000000" w:themeColor="text1"/>
          <w:sz w:val="24"/>
          <w:szCs w:val="24"/>
        </w:rPr>
        <w:t> </w:t>
      </w:r>
      <w:r w:rsidR="00381978" w:rsidRPr="00381978">
        <w:rPr>
          <w:rFonts w:ascii="楷体" w:eastAsia="楷体" w:hAnsi="楷体" w:hint="eastAsia"/>
          <w:b/>
          <w:color w:val="000000" w:themeColor="text1"/>
          <w:sz w:val="24"/>
          <w:szCs w:val="24"/>
        </w:rPr>
        <w:t>需求负反馈开启 TA上行驱动不足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381978" w:rsidP="002C73FE">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原油方面，当前巴以局势上缓解油价回落。侧重留意宏观及供需转弱的风险。PX方面，盛虹石化400万吨及广东石化260万吨装置预计近日提负，海外10-11月装置重启较多，PX供应充足卖盘旺盛。随着调油需求走弱，歧化装置开工率有望进一步提升，近期PX N仍将偏弱运行。PTA供应方面，新材料360万吨装置重启，英力士110万吨停车检修，其他个别装置恢复，至10.19 PTA负荷调整至77%（+2.3%)。本周随着萧山两家聚酯装置的恢复，聚酯负荷整体有所回升，其他装置暂未听闻变动计划。综合来看，10.19初步核算国内大陆地区聚酯负荷在90.5%，环比小幅提升。终端开工率尚可但涤纶长丝库存节后累库节奏较快，随着聚酯原料价格走低，工厂出货意愿较大。10月PTA装置检修计划较多，供需矛盾暂时缓解，PTA或会企稳但不看太高。随着11月份新产能投放供应回归及需求季节性走弱预期，供需承压。一旦PTA成本端趋势偏弱叠加供增需减预期，PTA仍存高位回落风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9035047"/>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9035048"/>
      <w:r>
        <w:rPr>
          <w:rFonts w:ascii="楷体" w:eastAsia="楷体" w:hAnsi="楷体" w:hint="eastAsia"/>
          <w:b/>
          <w:color w:val="000000" w:themeColor="text1"/>
          <w:sz w:val="24"/>
          <w:szCs w:val="24"/>
        </w:rPr>
        <w:t>聚烯烃：</w:t>
      </w:r>
      <w:r w:rsidR="00B80E26" w:rsidRPr="00B80E26">
        <w:rPr>
          <w:rFonts w:ascii="楷体" w:eastAsia="楷体" w:hAnsi="楷体" w:hint="eastAsia"/>
          <w:b/>
          <w:color w:val="000000" w:themeColor="text1"/>
          <w:sz w:val="24"/>
          <w:szCs w:val="24"/>
        </w:rPr>
        <w:t>成本支撑减弱 聚烯烃偏弱整理为主</w:t>
      </w:r>
      <w:bookmarkEnd w:id="40"/>
    </w:p>
    <w:p w:rsidR="003F56A5" w:rsidRDefault="00B80E26">
      <w:pPr>
        <w:ind w:leftChars="300" w:left="630"/>
        <w:rPr>
          <w:rFonts w:ascii="楷体" w:eastAsia="楷体" w:hAnsi="楷体"/>
          <w:bCs/>
          <w:sz w:val="24"/>
          <w:szCs w:val="24"/>
        </w:rPr>
      </w:pPr>
      <w:r w:rsidRPr="00B80E26">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中东的外交努力加强，试图遏制以色列和哈马斯之间的冲突，缓解了投资者对潜在供应中断的担忧，欧美原油期货创下10月初以来的最大单日跌幅。需求方面，PE下游方面，农膜整体需求平平，工厂生产清淡。棚膜工厂多停机检修；PP下游方面，BOPP市场成交刚需有量，整体量较上一交易日增加，BOPP企业未交付订单多数在一周以内，个别可至八月中。综合来看，PE方面，近期新增停车装置较多，供应压力有所缓解；下游需求维持刚需采购，。预计今日PE价格偏弱震荡为主。PP方面，成本支撑减弱，叠加近期检修影响量偏低，供应压力较大。市场虽然依旧处在银十旺季，但订单以及需求呈现缩水态势，利空影响逐渐渗透。短期看，市场月底积极去库持续进行中，但市场缺乏价格向上驱动下，大概率会向下调整</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9035049"/>
      <w:r>
        <w:rPr>
          <w:rFonts w:ascii="楷体" w:eastAsia="楷体" w:hAnsi="楷体" w:hint="eastAsia"/>
          <w:b/>
          <w:color w:val="000000" w:themeColor="text1"/>
          <w:sz w:val="24"/>
          <w:szCs w:val="24"/>
        </w:rPr>
        <w:t>MEG：</w:t>
      </w:r>
      <w:r w:rsidR="00381978" w:rsidRPr="00381978">
        <w:rPr>
          <w:rFonts w:ascii="楷体" w:eastAsia="楷体" w:hAnsi="楷体" w:hint="eastAsia"/>
          <w:b/>
          <w:color w:val="000000" w:themeColor="text1"/>
          <w:sz w:val="24"/>
          <w:szCs w:val="24"/>
        </w:rPr>
        <w:t>具备低多价值</w:t>
      </w:r>
      <w:bookmarkEnd w:id="41"/>
    </w:p>
    <w:p w:rsidR="003F56A5" w:rsidRDefault="00381978" w:rsidP="00152664">
      <w:pPr>
        <w:ind w:leftChars="300" w:left="630"/>
        <w:rPr>
          <w:rFonts w:ascii="楷体" w:eastAsia="楷体" w:hAnsi="楷体"/>
          <w:color w:val="000000" w:themeColor="text1"/>
          <w:sz w:val="24"/>
          <w:szCs w:val="24"/>
        </w:rPr>
      </w:pPr>
      <w:r w:rsidRPr="00381978">
        <w:rPr>
          <w:rFonts w:ascii="楷体" w:eastAsia="楷体" w:hAnsi="楷体" w:hint="eastAsia"/>
          <w:color w:val="000000" w:themeColor="text1"/>
          <w:sz w:val="24"/>
          <w:szCs w:val="24"/>
        </w:rPr>
        <w:t>供需情况，10.16华东主港地区MEG港口库存约118.5万吨附近，环比上期增加1.1万吨。截至10月19日，中国大陆地区乙二醇整体开工负荷在58.18%（-4.57%），其中煤制乙二醇开工负荷在60.98%（-2.86%）。镇海炼化（65）预计停车2周左右、古雷石化（70）7-8成运行、中海壳牌（40）停车计划2个月、三江石化（100）临时停车，存量装置开工率将进一步下滑。截至10月19日，国内大陆地区聚酯负荷在90.5%，环比小幅提升。终端来看，节后江浙加弹综合开工已回升至86%（+2%），江浙织机综合开工提升至80%，江浙印染综合开工小幅下滑至82%，随着原料价格走弱及节后库存累积，涤纶近期出货意愿较强。综合来看，部分装置落实检修，近期供给端开工率大幅下滑。进口方面预估10月进口量在55万吨左右，10月有望实现小幅去库。四季度新投产装置推迟，后续存量供应收缩及聚酯开工回升，或维持动态平衡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035050"/>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80E26" w:rsidRPr="00B80E26">
        <w:rPr>
          <w:rFonts w:ascii="楷体" w:eastAsia="楷体" w:hAnsi="楷体" w:hint="eastAsia"/>
          <w:b/>
          <w:color w:val="000000" w:themeColor="text1"/>
          <w:sz w:val="24"/>
          <w:szCs w:val="24"/>
        </w:rPr>
        <w:t>现货下跌，震荡偏空</w:t>
      </w:r>
      <w:bookmarkEnd w:id="42"/>
    </w:p>
    <w:p w:rsidR="00A71A7E" w:rsidRDefault="00B80E26" w:rsidP="001F79C6">
      <w:pPr>
        <w:ind w:leftChars="300" w:left="630"/>
        <w:rPr>
          <w:rFonts w:ascii="楷体" w:eastAsia="楷体" w:hAnsi="楷体"/>
          <w:color w:val="000000" w:themeColor="text1"/>
          <w:sz w:val="24"/>
          <w:szCs w:val="24"/>
        </w:rPr>
      </w:pPr>
      <w:r w:rsidRPr="00B80E26">
        <w:rPr>
          <w:rFonts w:ascii="楷体" w:eastAsia="楷体" w:hAnsi="楷体" w:hint="eastAsia"/>
          <w:color w:val="000000" w:themeColor="text1"/>
          <w:sz w:val="24"/>
          <w:szCs w:val="24"/>
        </w:rPr>
        <w:t>隆众资讯10月23日报道：今日浮法玻璃现货价格2090元/吨，较上一交易日-6元/吨。库存上，截止到20231019，全国浮法玻璃样本企业总库存4030.4万重箱，环比减少3.6万重箱，环比-0.09%。节后需求上，产销边际回落，市场普遍预期本周小幅累库或持平，但实际库存周环比小幅去库，略超预期。现货端厂贸博弈，周末多家企业下调价格，下游拿货谨慎；供给端月内冷修与点火并存，总日熔量上升。需求上产销边际继续回落。成本端煤价和纯碱价格下跌，打开下行空间。盘面震荡偏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903505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80E26" w:rsidRPr="00B80E26">
        <w:rPr>
          <w:rFonts w:ascii="楷体" w:eastAsia="楷体" w:hAnsi="楷体" w:hint="eastAsia"/>
          <w:b/>
          <w:color w:val="000000" w:themeColor="text1"/>
          <w:sz w:val="24"/>
          <w:szCs w:val="24"/>
        </w:rPr>
        <w:t>现货加速下跌，反弹逢高做空</w:t>
      </w:r>
      <w:bookmarkEnd w:id="43"/>
    </w:p>
    <w:p w:rsidR="00A71A7E" w:rsidRDefault="00B80E26" w:rsidP="00A71A7E">
      <w:pPr>
        <w:ind w:leftChars="300" w:left="630"/>
        <w:rPr>
          <w:rFonts w:ascii="楷体" w:eastAsia="楷体" w:hAnsi="楷体"/>
          <w:bCs/>
          <w:sz w:val="24"/>
          <w:szCs w:val="24"/>
        </w:rPr>
      </w:pPr>
      <w:r w:rsidRPr="00B80E26">
        <w:rPr>
          <w:rFonts w:ascii="楷体" w:eastAsia="楷体" w:hAnsi="楷体" w:hint="eastAsia"/>
          <w:color w:val="000000" w:themeColor="text1"/>
          <w:sz w:val="24"/>
          <w:szCs w:val="24"/>
        </w:rPr>
        <w:t>纯碱价格继续下移。华中和华北重碱主流报价在2800-2950元/吨，轻碱报</w:t>
      </w:r>
      <w:r w:rsidRPr="00B80E26">
        <w:rPr>
          <w:rFonts w:ascii="楷体" w:eastAsia="楷体" w:hAnsi="楷体" w:hint="eastAsia"/>
          <w:color w:val="000000" w:themeColor="text1"/>
          <w:sz w:val="24"/>
          <w:szCs w:val="24"/>
        </w:rPr>
        <w:lastRenderedPageBreak/>
        <w:t>价2500-2600元/吨。供给方面，纯碱产量继续抬升，预计本周产量接近70万吨。库存上，截至10月12日，周库存31.47万吨，环比+3.97吨，涨幅14.44%，持续累库，预计周度继续累库5-6万吨左右。需求上，由于现货价格不稳，中下游观望情绪渐浓，维持刚需采购。盘面远月等待现货抢跑和累库逻辑兑现，建议反弹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903505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9035053"/>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381978" w:rsidRPr="00381978">
        <w:rPr>
          <w:rFonts w:ascii="楷体" w:eastAsia="楷体" w:hAnsi="楷体" w:hint="eastAsia"/>
          <w:b/>
          <w:sz w:val="24"/>
          <w:szCs w:val="24"/>
        </w:rPr>
        <w:t>新作上市压力仍存，两粕震荡整理</w:t>
      </w:r>
      <w:bookmarkEnd w:id="45"/>
    </w:p>
    <w:p w:rsidR="003F56A5" w:rsidRDefault="00381978">
      <w:pPr>
        <w:ind w:leftChars="300" w:left="630"/>
        <w:rPr>
          <w:rFonts w:ascii="楷体" w:eastAsia="楷体" w:hAnsi="楷体"/>
          <w:sz w:val="24"/>
          <w:szCs w:val="24"/>
        </w:rPr>
      </w:pPr>
      <w:r w:rsidRPr="00381978">
        <w:rPr>
          <w:rFonts w:ascii="楷体" w:eastAsia="楷体" w:hAnsi="楷体" w:hint="eastAsia"/>
          <w:sz w:val="24"/>
          <w:szCs w:val="24"/>
        </w:rPr>
        <w:t>在新作收割持续推进，美豆逐步进入出口阶段，且在巴西种植情况改善下，CBOT大豆收跌。虽美豆新季平衡表偏紧，现阶段对盘面影响有限，美豆当前出口及国内压榨改善，但仍面临着巴西大豆的出口竞争，当前收割快速推进阶段性卖压仍存，CBOT大豆价格预计上方空间有限。后续关注巴西大豆播种情况及美豆出口，南美当前仍维持丰产预期。国内现货基差继续承压，市场成交情况未见显著好转。供应端在9-10月份大豆阶段性到港减少下，当前油厂大豆库存维持偏低水平，随着节后油厂开机恢复，豆粕产出预计稳中缓增，油厂豆粕库存高于去年同期值为74.09万吨，当前沿海主流油厂豆粕现货报价小幅下调至4150-4290元/吨。9月份进口大豆到港量为715万吨，环比减23.6%，11-12月预计会增至月均1000万吨的到港，但对美豆新作整体买船偏慢，仍要关注后续大豆是否会有延迟到港情况。需求，下游生猪养殖利润不佳，但在能繁存栏高位下，下游维持刚需补库，保持安全库存，整体成交情况不佳。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下方空间预计有限</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9035054"/>
      <w:r>
        <w:rPr>
          <w:rFonts w:ascii="楷体" w:eastAsia="楷体" w:hAnsi="楷体" w:hint="eastAsia"/>
          <w:b/>
          <w:color w:val="000000" w:themeColor="text1"/>
          <w:sz w:val="24"/>
          <w:szCs w:val="24"/>
        </w:rPr>
        <w:t>油脂：</w:t>
      </w:r>
      <w:r w:rsidR="00381978" w:rsidRPr="00381978">
        <w:rPr>
          <w:rFonts w:ascii="楷体" w:eastAsia="楷体" w:hAnsi="楷体" w:hint="eastAsia"/>
          <w:b/>
          <w:sz w:val="24"/>
          <w:szCs w:val="24"/>
        </w:rPr>
        <w:t>短期缺乏驱动，宽幅震荡</w:t>
      </w:r>
      <w:bookmarkEnd w:id="46"/>
    </w:p>
    <w:p w:rsidR="003F56A5" w:rsidRDefault="00381978" w:rsidP="00792D31">
      <w:pPr>
        <w:ind w:leftChars="300" w:left="630"/>
        <w:rPr>
          <w:rFonts w:ascii="楷体" w:eastAsia="楷体" w:hAnsi="楷体"/>
          <w:sz w:val="24"/>
          <w:szCs w:val="24"/>
        </w:rPr>
      </w:pPr>
      <w:r w:rsidRPr="00381978">
        <w:rPr>
          <w:rFonts w:ascii="楷体" w:eastAsia="楷体" w:hAnsi="楷体" w:hint="eastAsia"/>
          <w:sz w:val="24"/>
          <w:szCs w:val="24"/>
        </w:rPr>
        <w:t>地缘冲突加剧加剧国际原油波动，扰动外盘油脂价格走势，但在油脂供过于求格局尚未改变下，仍对价格构成压制。棕榈油，产地季节性增产周期下10月存继续累库预期，印尼棕榈油7月份因产量增幅不及需求增幅，库存继续下降。而马棕9月库存增至新高，基本符合市场预期。从马棕10月前20日的产量及出口数据来看，预计10月仍将保持累库趋势；但11月将进入产地季节性减产阶段，关注厄尔尼诺对产量的影响，为中长期潜在利多因素。国内棕榈油7-8月份进口到港维持高位，在买船积极下，供应端稳增，最新商业库存为80.91万吨。需求端，随着各地气温下降，棕榈油逐步进入消费淡季，掺混需求预计减少，棕榈油10月份预计表现偏弱。豆油库存去化仍需看需求增量。国内受9-10月大豆到港减少大豆库存偏低影响，虽油厂开机陆续恢复，但整体压榨水平偏低，豆油供应缓增。需求端，终端存在一定补库需求，且四季度为豆油消费旺季，部分掺混需求预计转向豆油，但当前价格优势并不明显，限制替代需求，近期成交未见增量。菜油短期供应压力减轻，但四季度存供应宽松预期。当前主产地菜籽新作产量不确定性仍存，但当前加籽收割基本结束，集中上市压力也抑</w:t>
      </w:r>
      <w:r w:rsidRPr="00381978">
        <w:rPr>
          <w:rFonts w:ascii="楷体" w:eastAsia="楷体" w:hAnsi="楷体" w:hint="eastAsia"/>
          <w:sz w:val="24"/>
          <w:szCs w:val="24"/>
        </w:rPr>
        <w:lastRenderedPageBreak/>
        <w:t>制期价走势。虽8-9月份进口加籽到港量减少，菜籽开机及压榨水平偏低，但整体仍高于去年同期，9月菜籽进口32万吨，环比减18.9%，四季度菜籽进口将增加。需求方面，与豆油价差持续收窄，库存去化仍需看到替代需求出现。短期油脂维持宽幅震荡，上行驱动不足，建议在60日均线附近高空或关注豆棕套利低多机会；后续关注天气及需求表现，中长期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9035055"/>
      <w:r>
        <w:rPr>
          <w:rFonts w:ascii="楷体" w:eastAsia="楷体" w:hAnsi="楷体" w:hint="eastAsia"/>
          <w:b/>
          <w:bCs/>
          <w:color w:val="000000" w:themeColor="text1"/>
        </w:rPr>
        <w:t>玉米与淀粉：</w:t>
      </w:r>
      <w:r w:rsidR="00B80E26" w:rsidRPr="00B80E26">
        <w:rPr>
          <w:rFonts w:ascii="楷体" w:eastAsia="楷体" w:hAnsi="楷体" w:hint="eastAsia"/>
          <w:b/>
        </w:rPr>
        <w:t>淀粉-玉米价差再度走扩</w:t>
      </w:r>
      <w:bookmarkEnd w:id="47"/>
    </w:p>
    <w:p w:rsidR="00B80E26" w:rsidRPr="00B80E26" w:rsidRDefault="00B80E26" w:rsidP="00B80E26">
      <w:pPr>
        <w:pStyle w:val="paragraph"/>
        <w:spacing w:before="60" w:after="60"/>
        <w:ind w:leftChars="300" w:left="630"/>
        <w:rPr>
          <w:rFonts w:ascii="楷体" w:eastAsia="楷体" w:hAnsi="楷体" w:hint="eastAsia"/>
        </w:rPr>
      </w:pPr>
      <w:r w:rsidRPr="00B80E26">
        <w:rPr>
          <w:rFonts w:ascii="楷体" w:eastAsia="楷体" w:hAnsi="楷体" w:hint="eastAsia"/>
        </w:rPr>
        <w:t>对于玉米而言，在期价持续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综上所述，我们维持谨慎看多观点，建议谨慎投资者观望，激进投资者择机做多，或持有前期多单。</w:t>
      </w:r>
    </w:p>
    <w:p w:rsidR="003F56A5" w:rsidRDefault="00B80E26" w:rsidP="00B80E26">
      <w:pPr>
        <w:pStyle w:val="paragraph"/>
        <w:spacing w:before="60" w:beforeAutospacing="0" w:after="60" w:afterAutospacing="0"/>
        <w:ind w:leftChars="300" w:left="630"/>
        <w:rPr>
          <w:rFonts w:ascii="楷体" w:eastAsia="楷体" w:hAnsi="楷体"/>
        </w:rPr>
      </w:pPr>
      <w:r w:rsidRPr="00B80E26">
        <w:rPr>
          <w:rFonts w:ascii="楷体" w:eastAsia="楷体" w:hAnsi="楷体" w:hint="eastAsia"/>
        </w:rPr>
        <w:t>对于淀粉而言，近期淀粉-玉米价差整体收窄，主要源于原料成本端的担忧，但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再度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9035056"/>
      <w:r>
        <w:rPr>
          <w:rFonts w:ascii="楷体" w:eastAsia="楷体" w:hAnsi="楷体" w:hint="eastAsia"/>
          <w:b/>
          <w:bCs/>
          <w:color w:val="000000" w:themeColor="text1"/>
        </w:rPr>
        <w:t>畜禽养殖：</w:t>
      </w:r>
      <w:r w:rsidR="00B80E26" w:rsidRPr="00B80E26">
        <w:rPr>
          <w:rFonts w:ascii="楷体" w:eastAsia="楷体" w:hAnsi="楷体" w:hint="eastAsia"/>
          <w:b/>
          <w:bCs/>
          <w:color w:val="000000" w:themeColor="text1"/>
        </w:rPr>
        <w:t>期价转向反映远期供需改善预期</w:t>
      </w:r>
      <w:bookmarkEnd w:id="48"/>
    </w:p>
    <w:p w:rsidR="00B80E26" w:rsidRPr="00B80E26" w:rsidRDefault="00B80E26" w:rsidP="00B80E26">
      <w:pPr>
        <w:pStyle w:val="paragraph"/>
        <w:spacing w:before="60" w:after="60"/>
        <w:ind w:leftChars="300" w:left="630"/>
        <w:rPr>
          <w:rFonts w:ascii="楷体" w:eastAsia="楷体" w:hAnsi="楷体" w:hint="eastAsia"/>
        </w:rPr>
      </w:pPr>
      <w:r w:rsidRPr="00B80E26">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B80E26" w:rsidP="00B80E26">
      <w:pPr>
        <w:pStyle w:val="paragraph"/>
        <w:spacing w:before="60" w:beforeAutospacing="0" w:after="60" w:afterAutospacing="0"/>
        <w:ind w:leftChars="300" w:left="630"/>
        <w:rPr>
          <w:rFonts w:ascii="楷体" w:eastAsia="楷体" w:hAnsi="楷体"/>
        </w:rPr>
      </w:pPr>
      <w:r w:rsidRPr="00B80E26">
        <w:rPr>
          <w:rFonts w:ascii="楷体" w:eastAsia="楷体" w:hAnsi="楷体" w:hint="eastAsia"/>
        </w:rPr>
        <w:lastRenderedPageBreak/>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9035057"/>
      <w:r>
        <w:rPr>
          <w:rFonts w:ascii="楷体" w:eastAsia="楷体" w:hAnsi="楷体" w:hint="eastAsia"/>
          <w:b/>
          <w:sz w:val="24"/>
          <w:szCs w:val="24"/>
        </w:rPr>
        <w:t>郑棉：</w:t>
      </w:r>
      <w:r w:rsidR="00381978" w:rsidRPr="00381978">
        <w:rPr>
          <w:rFonts w:ascii="楷体" w:eastAsia="楷体" w:hAnsi="楷体" w:hint="eastAsia"/>
          <w:b/>
          <w:sz w:val="24"/>
          <w:szCs w:val="24"/>
        </w:rPr>
        <w:t>预计郑棉围绕1.6万关口震荡，短期或有反弹，谨慎观望</w:t>
      </w:r>
      <w:bookmarkEnd w:id="49"/>
    </w:p>
    <w:p w:rsidR="003F56A5" w:rsidRDefault="00381978" w:rsidP="007B3290">
      <w:pPr>
        <w:ind w:leftChars="300" w:left="630"/>
        <w:rPr>
          <w:rFonts w:ascii="楷体" w:eastAsia="楷体" w:hAnsi="楷体"/>
          <w:sz w:val="24"/>
          <w:szCs w:val="24"/>
        </w:rPr>
      </w:pPr>
      <w:r w:rsidRPr="00381978">
        <w:rPr>
          <w:rFonts w:ascii="楷体" w:eastAsia="楷体" w:hAnsi="楷体" w:hint="eastAsia"/>
          <w:sz w:val="24"/>
          <w:szCs w:val="24"/>
        </w:rPr>
        <w:t>供应端方面随着进口的增加和新棉上市预期，棉花供应已趋宽松。下游旺季不旺，纺织厂和印染、布料皆维持着较低开机率。社会大量库存压制，棉纱价格走弱，亏损加深。且由于担忧新棉上市时原料价格大幅升高，纺织企业都已囤积了相对足量的棉花原料。供强需弱格局下，新棉的成本支撑表现不强，轧花厂紧随期货价格走势，对籽棉收购价紧随期货走势进行了下调或暂停收购。预期转空，随着多头资金集中践踏离场甚至多转空，01主力合约震荡偏弱，再创阶段新低。不过，随着价格持续偏弱，抛储政策或将出现调整。且近两周时间郑棉主力已跌去2000＋元／吨，已反映了多数利空，期现基差升至高位，下方空间已有限</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9035058"/>
      <w:r>
        <w:rPr>
          <w:rFonts w:ascii="楷体" w:eastAsia="楷体" w:hAnsi="楷体" w:hint="eastAsia"/>
          <w:b/>
          <w:sz w:val="24"/>
          <w:szCs w:val="24"/>
        </w:rPr>
        <w:t>白糖：</w:t>
      </w:r>
      <w:r w:rsidR="00381978" w:rsidRPr="00381978">
        <w:rPr>
          <w:rFonts w:ascii="楷体" w:eastAsia="楷体" w:hAnsi="楷体" w:hint="eastAsia"/>
          <w:b/>
          <w:sz w:val="24"/>
          <w:szCs w:val="24"/>
        </w:rPr>
        <w:t>空单止盈离场</w:t>
      </w:r>
      <w:bookmarkEnd w:id="50"/>
    </w:p>
    <w:p w:rsidR="00296325" w:rsidRDefault="00381978" w:rsidP="00296325">
      <w:pPr>
        <w:ind w:leftChars="300" w:left="630"/>
        <w:rPr>
          <w:rFonts w:ascii="楷体" w:eastAsia="楷体" w:hAnsi="楷体"/>
          <w:sz w:val="24"/>
          <w:szCs w:val="24"/>
        </w:rPr>
      </w:pPr>
      <w:r w:rsidRPr="00381978">
        <w:rPr>
          <w:rFonts w:ascii="楷体" w:eastAsia="楷体" w:hAnsi="楷体" w:hint="eastAsia"/>
          <w:sz w:val="24"/>
          <w:szCs w:val="24"/>
        </w:rPr>
        <w:t>咨询机构 Datagro 周﹣公布，巴西中南部地区2024/25年度(2024年4月﹣2025年3月）糖产量预计达到4,260万吨纪录高位，糖厂将偏重榨糖。但厄尔尼诺天气影响下，市场对新季白糖的供应依然感到担忧，ICE原糖收涨。主要产糖大国印度的乙醇燃料计划使其甘蔗使用量大增，此外新季减产概率较大。泰国的产糖前景也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1" w:name="_Toc149035059"/>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1"/>
    </w:p>
    <w:p w:rsidR="00152664" w:rsidRDefault="00152664" w:rsidP="00152664">
      <w:pPr>
        <w:ind w:leftChars="200" w:left="420"/>
        <w:outlineLvl w:val="1"/>
        <w:rPr>
          <w:rFonts w:ascii="Times New Roman" w:eastAsia="楷体" w:hAnsi="Times New Roman"/>
          <w:b/>
          <w:color w:val="000000" w:themeColor="text1"/>
          <w:sz w:val="24"/>
          <w:szCs w:val="24"/>
        </w:rPr>
      </w:pPr>
      <w:bookmarkStart w:id="52" w:name="_Toc149035060"/>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B80E26" w:rsidRPr="00B80E26">
        <w:rPr>
          <w:rFonts w:ascii="Times New Roman" w:eastAsia="楷体" w:hAnsi="Times New Roman" w:hint="eastAsia"/>
          <w:b/>
          <w:color w:val="000000" w:themeColor="text1"/>
          <w:sz w:val="24"/>
          <w:szCs w:val="24"/>
        </w:rPr>
        <w:t>SCFIS</w:t>
      </w:r>
      <w:r w:rsidR="00B80E26" w:rsidRPr="00B80E26">
        <w:rPr>
          <w:rFonts w:ascii="Times New Roman" w:eastAsia="楷体" w:hAnsi="Times New Roman" w:hint="eastAsia"/>
          <w:b/>
          <w:color w:val="000000" w:themeColor="text1"/>
          <w:sz w:val="24"/>
          <w:szCs w:val="24"/>
        </w:rPr>
        <w:t>欧线跌幅放缓，</w:t>
      </w:r>
      <w:r w:rsidR="00B80E26" w:rsidRPr="00B80E26">
        <w:rPr>
          <w:rFonts w:ascii="Times New Roman" w:eastAsia="楷体" w:hAnsi="Times New Roman" w:hint="eastAsia"/>
          <w:b/>
          <w:color w:val="000000" w:themeColor="text1"/>
          <w:sz w:val="24"/>
          <w:szCs w:val="24"/>
        </w:rPr>
        <w:t>EC</w:t>
      </w:r>
      <w:r w:rsidR="00B80E26" w:rsidRPr="00B80E26">
        <w:rPr>
          <w:rFonts w:ascii="Times New Roman" w:eastAsia="楷体" w:hAnsi="Times New Roman" w:hint="eastAsia"/>
          <w:b/>
          <w:color w:val="000000" w:themeColor="text1"/>
          <w:sz w:val="24"/>
          <w:szCs w:val="24"/>
        </w:rPr>
        <w:t>进入宽幅震荡</w:t>
      </w:r>
      <w:bookmarkEnd w:id="52"/>
    </w:p>
    <w:p w:rsidR="00B80E26" w:rsidRPr="00B80E26" w:rsidRDefault="00B80E26" w:rsidP="00B80E26">
      <w:pPr>
        <w:ind w:leftChars="300" w:left="630"/>
        <w:rPr>
          <w:rFonts w:ascii="Times New Roman" w:eastAsia="楷体" w:hAnsi="Times New Roman" w:hint="eastAsia"/>
          <w:color w:val="000000" w:themeColor="text1"/>
          <w:sz w:val="24"/>
          <w:szCs w:val="24"/>
        </w:rPr>
      </w:pPr>
      <w:r w:rsidRPr="00B80E26">
        <w:rPr>
          <w:rFonts w:ascii="Times New Roman" w:eastAsia="楷体" w:hAnsi="Times New Roman" w:hint="eastAsia"/>
          <w:color w:val="000000" w:themeColor="text1"/>
          <w:sz w:val="24"/>
          <w:szCs w:val="24"/>
        </w:rPr>
        <w:t>10</w:t>
      </w:r>
      <w:r w:rsidRPr="00B80E26">
        <w:rPr>
          <w:rFonts w:ascii="Times New Roman" w:eastAsia="楷体" w:hAnsi="Times New Roman" w:hint="eastAsia"/>
          <w:color w:val="000000" w:themeColor="text1"/>
          <w:sz w:val="24"/>
          <w:szCs w:val="24"/>
        </w:rPr>
        <w:t>月</w:t>
      </w:r>
      <w:r w:rsidRPr="00B80E26">
        <w:rPr>
          <w:rFonts w:ascii="Times New Roman" w:eastAsia="楷体" w:hAnsi="Times New Roman" w:hint="eastAsia"/>
          <w:color w:val="000000" w:themeColor="text1"/>
          <w:sz w:val="24"/>
          <w:szCs w:val="24"/>
        </w:rPr>
        <w:t>23</w:t>
      </w:r>
      <w:r w:rsidRPr="00B80E26">
        <w:rPr>
          <w:rFonts w:ascii="Times New Roman" w:eastAsia="楷体" w:hAnsi="Times New Roman" w:hint="eastAsia"/>
          <w:color w:val="000000" w:themeColor="text1"/>
          <w:sz w:val="24"/>
          <w:szCs w:val="24"/>
        </w:rPr>
        <w:t>日，</w:t>
      </w:r>
      <w:r w:rsidRPr="00B80E26">
        <w:rPr>
          <w:rFonts w:ascii="Times New Roman" w:eastAsia="楷体" w:hAnsi="Times New Roman" w:hint="eastAsia"/>
          <w:color w:val="000000" w:themeColor="text1"/>
          <w:sz w:val="24"/>
          <w:szCs w:val="24"/>
        </w:rPr>
        <w:t>SCFIS</w:t>
      </w:r>
      <w:r w:rsidRPr="00B80E26">
        <w:rPr>
          <w:rFonts w:ascii="Times New Roman" w:eastAsia="楷体" w:hAnsi="Times New Roman" w:hint="eastAsia"/>
          <w:color w:val="000000" w:themeColor="text1"/>
          <w:sz w:val="24"/>
          <w:szCs w:val="24"/>
        </w:rPr>
        <w:t>欧线结算运价指数报于</w:t>
      </w:r>
      <w:r w:rsidRPr="00B80E26">
        <w:rPr>
          <w:rFonts w:ascii="Times New Roman" w:eastAsia="楷体" w:hAnsi="Times New Roman" w:hint="eastAsia"/>
          <w:color w:val="000000" w:themeColor="text1"/>
          <w:sz w:val="24"/>
          <w:szCs w:val="24"/>
        </w:rPr>
        <w:t>597.17</w:t>
      </w:r>
      <w:r w:rsidRPr="00B80E26">
        <w:rPr>
          <w:rFonts w:ascii="Times New Roman" w:eastAsia="楷体" w:hAnsi="Times New Roman" w:hint="eastAsia"/>
          <w:color w:val="000000" w:themeColor="text1"/>
          <w:sz w:val="24"/>
          <w:szCs w:val="24"/>
        </w:rPr>
        <w:t>点，环比回落</w:t>
      </w:r>
      <w:r w:rsidRPr="00B80E26">
        <w:rPr>
          <w:rFonts w:ascii="Times New Roman" w:eastAsia="楷体" w:hAnsi="Times New Roman" w:hint="eastAsia"/>
          <w:color w:val="000000" w:themeColor="text1"/>
          <w:sz w:val="24"/>
          <w:szCs w:val="24"/>
        </w:rPr>
        <w:t>0.53%</w:t>
      </w:r>
      <w:r w:rsidRPr="00B80E26">
        <w:rPr>
          <w:rFonts w:ascii="Times New Roman" w:eastAsia="楷体" w:hAnsi="Times New Roman" w:hint="eastAsia"/>
          <w:color w:val="000000" w:themeColor="text1"/>
          <w:sz w:val="24"/>
          <w:szCs w:val="24"/>
        </w:rPr>
        <w:t>，</w:t>
      </w:r>
      <w:r w:rsidRPr="00B80E26">
        <w:rPr>
          <w:rFonts w:ascii="Times New Roman" w:eastAsia="楷体" w:hAnsi="Times New Roman" w:hint="eastAsia"/>
          <w:color w:val="000000" w:themeColor="text1"/>
          <w:sz w:val="24"/>
          <w:szCs w:val="24"/>
        </w:rPr>
        <w:t>10</w:t>
      </w:r>
      <w:r w:rsidRPr="00B80E26">
        <w:rPr>
          <w:rFonts w:ascii="Times New Roman" w:eastAsia="楷体" w:hAnsi="Times New Roman" w:hint="eastAsia"/>
          <w:color w:val="000000" w:themeColor="text1"/>
          <w:sz w:val="24"/>
          <w:szCs w:val="24"/>
        </w:rPr>
        <w:t>月</w:t>
      </w:r>
      <w:r w:rsidRPr="00B80E26">
        <w:rPr>
          <w:rFonts w:ascii="Times New Roman" w:eastAsia="楷体" w:hAnsi="Times New Roman" w:hint="eastAsia"/>
          <w:color w:val="000000" w:themeColor="text1"/>
          <w:sz w:val="24"/>
          <w:szCs w:val="24"/>
        </w:rPr>
        <w:t>20</w:t>
      </w:r>
      <w:r w:rsidRPr="00B80E26">
        <w:rPr>
          <w:rFonts w:ascii="Times New Roman" w:eastAsia="楷体" w:hAnsi="Times New Roman" w:hint="eastAsia"/>
          <w:color w:val="000000" w:themeColor="text1"/>
          <w:sz w:val="24"/>
          <w:szCs w:val="24"/>
        </w:rPr>
        <w:t>日公布</w:t>
      </w:r>
      <w:r w:rsidRPr="00B80E26">
        <w:rPr>
          <w:rFonts w:ascii="Times New Roman" w:eastAsia="楷体" w:hAnsi="Times New Roman" w:hint="eastAsia"/>
          <w:color w:val="000000" w:themeColor="text1"/>
          <w:sz w:val="24"/>
          <w:szCs w:val="24"/>
        </w:rPr>
        <w:t>SCFI</w:t>
      </w:r>
      <w:r w:rsidRPr="00B80E26">
        <w:rPr>
          <w:rFonts w:ascii="Times New Roman" w:eastAsia="楷体" w:hAnsi="Times New Roman" w:hint="eastAsia"/>
          <w:color w:val="000000" w:themeColor="text1"/>
          <w:sz w:val="24"/>
          <w:szCs w:val="24"/>
        </w:rPr>
        <w:t>数据上涨，表明即期运价短期有止跌迹象，供需矛盾边际改善。在供应端，船公司此前释出停航与调高运价的挺价计划，意图提高市场预期并为运价注入强心针，其中欧洲航线运力缩减幅度较大。外需方面，欧洲</w:t>
      </w:r>
      <w:r w:rsidRPr="00B80E26">
        <w:rPr>
          <w:rFonts w:ascii="Times New Roman" w:eastAsia="楷体" w:hAnsi="Times New Roman" w:hint="eastAsia"/>
          <w:color w:val="000000" w:themeColor="text1"/>
          <w:sz w:val="24"/>
          <w:szCs w:val="24"/>
        </w:rPr>
        <w:t>10</w:t>
      </w:r>
      <w:r w:rsidRPr="00B80E26">
        <w:rPr>
          <w:rFonts w:ascii="Times New Roman" w:eastAsia="楷体" w:hAnsi="Times New Roman" w:hint="eastAsia"/>
          <w:color w:val="000000" w:themeColor="text1"/>
          <w:sz w:val="24"/>
          <w:szCs w:val="24"/>
        </w:rPr>
        <w:t>月</w:t>
      </w:r>
      <w:r w:rsidRPr="00B80E26">
        <w:rPr>
          <w:rFonts w:ascii="Times New Roman" w:eastAsia="楷体" w:hAnsi="Times New Roman" w:hint="eastAsia"/>
          <w:color w:val="000000" w:themeColor="text1"/>
          <w:sz w:val="24"/>
          <w:szCs w:val="24"/>
        </w:rPr>
        <w:t>Sentix</w:t>
      </w:r>
      <w:r w:rsidRPr="00B80E26">
        <w:rPr>
          <w:rFonts w:ascii="Times New Roman" w:eastAsia="楷体" w:hAnsi="Times New Roman" w:hint="eastAsia"/>
          <w:color w:val="000000" w:themeColor="text1"/>
          <w:sz w:val="24"/>
          <w:szCs w:val="24"/>
        </w:rPr>
        <w:t>投资者信心指数进一步走低，欧洲经济疲软将延续至四季度，从而对欧洲需求产生抑制，四季度欧洲需求难以出现改善。</w:t>
      </w:r>
    </w:p>
    <w:p w:rsidR="00152664" w:rsidRDefault="00B80E26" w:rsidP="00B80E26">
      <w:pPr>
        <w:ind w:leftChars="300" w:left="630"/>
        <w:rPr>
          <w:rFonts w:ascii="Times New Roman" w:eastAsia="楷体" w:hAnsi="Times New Roman"/>
          <w:color w:val="000000" w:themeColor="text1"/>
          <w:sz w:val="24"/>
          <w:szCs w:val="24"/>
        </w:rPr>
      </w:pPr>
      <w:r w:rsidRPr="00B80E26">
        <w:rPr>
          <w:rFonts w:ascii="Times New Roman" w:eastAsia="楷体" w:hAnsi="Times New Roman" w:hint="eastAsia"/>
          <w:color w:val="000000" w:themeColor="text1"/>
          <w:sz w:val="24"/>
          <w:szCs w:val="24"/>
        </w:rPr>
        <w:lastRenderedPageBreak/>
        <w:t>短期欧线船公司运力缩减应对需弱格局，但长期来看供强需弱的长期逻辑难改变。未来仍然保持宽幅震荡思路，建议操作上等待机会高空为主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3" w:name="_Toc71212556"/>
      <w:bookmarkStart w:id="54" w:name="_Toc19667"/>
      <w:bookmarkStart w:id="55" w:name="_Toc98426751"/>
      <w:bookmarkStart w:id="56" w:name="_Toc12779"/>
      <w:bookmarkStart w:id="57" w:name="_Toc72481108"/>
      <w:r>
        <w:rPr>
          <w:rFonts w:ascii="Times New Roman" w:eastAsia="楷体" w:hAnsi="Times New Roman"/>
          <w:b/>
          <w:color w:val="411D05"/>
          <w:sz w:val="30"/>
          <w:szCs w:val="30"/>
        </w:rPr>
        <w:lastRenderedPageBreak/>
        <w:t>免责声明</w:t>
      </w:r>
      <w:bookmarkEnd w:id="53"/>
      <w:bookmarkEnd w:id="54"/>
      <w:bookmarkEnd w:id="55"/>
      <w:bookmarkEnd w:id="56"/>
      <w:bookmarkEnd w:id="57"/>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A8" w:rsidRDefault="004177A8">
      <w:r>
        <w:separator/>
      </w:r>
    </w:p>
  </w:endnote>
  <w:endnote w:type="continuationSeparator" w:id="0">
    <w:p w:rsidR="004177A8" w:rsidRDefault="0041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B97EA83" wp14:editId="1E0C929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9639C">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9639C">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A8" w:rsidRDefault="004177A8">
      <w:r>
        <w:separator/>
      </w:r>
    </w:p>
  </w:footnote>
  <w:footnote w:type="continuationSeparator" w:id="0">
    <w:p w:rsidR="004177A8" w:rsidRDefault="004177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04C4736B" wp14:editId="7F8C7CA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35F5229" wp14:editId="5ADFE36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381978">
      <w:rPr>
        <w:rFonts w:ascii="Times New Roman" w:eastAsia="楷体" w:hAnsi="Times New Roman" w:hint="eastAsia"/>
        <w:b/>
        <w:bCs/>
        <w:noProof/>
        <w:color w:val="833C0B"/>
        <w:sz w:val="21"/>
      </w:rPr>
      <w:t>2023</w:t>
    </w:r>
    <w:r w:rsidR="00381978">
      <w:rPr>
        <w:rFonts w:ascii="Times New Roman" w:eastAsia="楷体" w:hAnsi="Times New Roman" w:hint="eastAsia"/>
        <w:b/>
        <w:bCs/>
        <w:noProof/>
        <w:color w:val="833C0B"/>
        <w:sz w:val="21"/>
      </w:rPr>
      <w:t>年</w:t>
    </w:r>
    <w:r w:rsidR="00381978">
      <w:rPr>
        <w:rFonts w:ascii="Times New Roman" w:eastAsia="楷体" w:hAnsi="Times New Roman" w:hint="eastAsia"/>
        <w:b/>
        <w:bCs/>
        <w:noProof/>
        <w:color w:val="833C0B"/>
        <w:sz w:val="21"/>
      </w:rPr>
      <w:t>10</w:t>
    </w:r>
    <w:r w:rsidR="00381978">
      <w:rPr>
        <w:rFonts w:ascii="Times New Roman" w:eastAsia="楷体" w:hAnsi="Times New Roman" w:hint="eastAsia"/>
        <w:b/>
        <w:bCs/>
        <w:noProof/>
        <w:color w:val="833C0B"/>
        <w:sz w:val="21"/>
      </w:rPr>
      <w:t>月</w:t>
    </w:r>
    <w:r w:rsidR="00381978">
      <w:rPr>
        <w:rFonts w:ascii="Times New Roman" w:eastAsia="楷体" w:hAnsi="Times New Roman" w:hint="eastAsia"/>
        <w:b/>
        <w:bCs/>
        <w:noProof/>
        <w:color w:val="833C0B"/>
        <w:sz w:val="21"/>
      </w:rPr>
      <w:t>24</w:t>
    </w:r>
    <w:r w:rsidR="00381978">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33C29-D5EF-481B-B475-97751D0C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TotalTime>
  <Pages>11</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116</cp:revision>
  <cp:lastPrinted>2023-06-08T02:23:00Z</cp:lastPrinted>
  <dcterms:created xsi:type="dcterms:W3CDTF">2022-11-15T10:06:00Z</dcterms:created>
  <dcterms:modified xsi:type="dcterms:W3CDTF">2023-10-24T02:16:00Z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