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Pr="00152664" w:rsidRDefault="00CC3FFA" w:rsidP="00152664">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8E54BD"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8E54BD" w:rsidRPr="007A415E">
            <w:rPr>
              <w:rStyle w:val="a9"/>
              <w:noProof/>
            </w:rPr>
            <w:fldChar w:fldCharType="begin"/>
          </w:r>
          <w:r w:rsidR="008E54BD" w:rsidRPr="007A415E">
            <w:rPr>
              <w:rStyle w:val="a9"/>
              <w:noProof/>
            </w:rPr>
            <w:instrText xml:space="preserve"> </w:instrText>
          </w:r>
          <w:r w:rsidR="008E54BD">
            <w:rPr>
              <w:noProof/>
            </w:rPr>
            <w:instrText>HYPERLINK \l "_Toc148950122"</w:instrText>
          </w:r>
          <w:r w:rsidR="008E54BD" w:rsidRPr="007A415E">
            <w:rPr>
              <w:rStyle w:val="a9"/>
              <w:noProof/>
            </w:rPr>
            <w:instrText xml:space="preserve"> </w:instrText>
          </w:r>
          <w:r w:rsidR="008E54BD" w:rsidRPr="007A415E">
            <w:rPr>
              <w:rStyle w:val="a9"/>
              <w:noProof/>
            </w:rPr>
          </w:r>
          <w:r w:rsidR="008E54BD" w:rsidRPr="007A415E">
            <w:rPr>
              <w:rStyle w:val="a9"/>
              <w:noProof/>
            </w:rPr>
            <w:fldChar w:fldCharType="separate"/>
          </w:r>
          <w:r w:rsidR="008E54BD" w:rsidRPr="007A415E">
            <w:rPr>
              <w:rStyle w:val="a9"/>
              <w:rFonts w:ascii="Times New Roman" w:eastAsia="楷体" w:hAnsi="Times New Roman"/>
              <w:b/>
              <w:noProof/>
            </w:rPr>
            <w:t>[</w:t>
          </w:r>
          <w:r w:rsidR="008E54BD" w:rsidRPr="007A415E">
            <w:rPr>
              <w:rStyle w:val="a9"/>
              <w:rFonts w:ascii="Times New Roman" w:eastAsia="楷体" w:hAnsi="Times New Roman"/>
              <w:b/>
              <w:noProof/>
            </w:rPr>
            <w:t>金融</w:t>
          </w:r>
          <w:r w:rsidR="008E54BD" w:rsidRPr="007A415E">
            <w:rPr>
              <w:rStyle w:val="a9"/>
              <w:rFonts w:ascii="Times New Roman" w:eastAsia="楷体" w:hAnsi="Times New Roman"/>
              <w:b/>
              <w:noProof/>
            </w:rPr>
            <w:t>]</w:t>
          </w:r>
          <w:r w:rsidR="008E54BD" w:rsidRPr="007A415E">
            <w:rPr>
              <w:rStyle w:val="a9"/>
              <w:noProof/>
            </w:rPr>
            <w:fldChar w:fldCharType="end"/>
          </w:r>
        </w:p>
        <w:p w:rsidR="008E54BD" w:rsidRDefault="008E54BD">
          <w:pPr>
            <w:pStyle w:val="23"/>
            <w:tabs>
              <w:tab w:val="right" w:leader="dot" w:pos="8296"/>
            </w:tabs>
            <w:rPr>
              <w:rFonts w:eastAsiaTheme="minorEastAsia"/>
              <w:noProof/>
              <w:szCs w:val="22"/>
            </w:rPr>
          </w:pPr>
          <w:hyperlink w:anchor="_Toc148950123" w:history="1">
            <w:r w:rsidRPr="007A415E">
              <w:rPr>
                <w:rStyle w:val="a9"/>
                <w:rFonts w:ascii="Times New Roman" w:eastAsia="楷体" w:hAnsi="Times New Roman"/>
                <w:b/>
                <w:noProof/>
              </w:rPr>
              <w:t>股指：可逢低分批布局</w:t>
            </w:r>
            <w:r w:rsidRPr="007A415E">
              <w:rPr>
                <w:rStyle w:val="a9"/>
                <w:rFonts w:ascii="Times New Roman" w:eastAsia="楷体" w:hAnsi="Times New Roman"/>
                <w:b/>
                <w:noProof/>
              </w:rPr>
              <w:t>IM</w:t>
            </w:r>
            <w:r w:rsidRPr="007A415E">
              <w:rPr>
                <w:rStyle w:val="a9"/>
                <w:rFonts w:ascii="Times New Roman" w:eastAsia="楷体" w:hAnsi="Times New Roman"/>
                <w:b/>
                <w:noProof/>
              </w:rPr>
              <w:t>多单</w:t>
            </w:r>
          </w:hyperlink>
        </w:p>
        <w:p w:rsidR="008E54BD" w:rsidRDefault="008E54BD">
          <w:pPr>
            <w:pStyle w:val="11"/>
            <w:tabs>
              <w:tab w:val="right" w:leader="dot" w:pos="8296"/>
            </w:tabs>
            <w:rPr>
              <w:rFonts w:eastAsiaTheme="minorEastAsia"/>
              <w:noProof/>
              <w:szCs w:val="22"/>
            </w:rPr>
          </w:pPr>
          <w:hyperlink w:anchor="_Toc148950124" w:history="1">
            <w:r w:rsidRPr="007A415E">
              <w:rPr>
                <w:rStyle w:val="a9"/>
                <w:rFonts w:ascii="Times New Roman" w:eastAsia="楷体" w:hAnsi="Times New Roman"/>
                <w:b/>
                <w:noProof/>
              </w:rPr>
              <w:t>[</w:t>
            </w:r>
            <w:r w:rsidRPr="007A415E">
              <w:rPr>
                <w:rStyle w:val="a9"/>
                <w:rFonts w:ascii="Times New Roman" w:eastAsia="楷体" w:hAnsi="Times New Roman"/>
                <w:b/>
                <w:noProof/>
              </w:rPr>
              <w:t>贵金属</w:t>
            </w:r>
            <w:r w:rsidRPr="007A415E">
              <w:rPr>
                <w:rStyle w:val="a9"/>
                <w:rFonts w:ascii="Times New Roman" w:eastAsia="楷体" w:hAnsi="Times New Roman"/>
                <w:b/>
                <w:noProof/>
              </w:rPr>
              <w:t>]</w:t>
            </w:r>
          </w:hyperlink>
        </w:p>
        <w:p w:rsidR="008E54BD" w:rsidRDefault="008E54BD">
          <w:pPr>
            <w:pStyle w:val="23"/>
            <w:tabs>
              <w:tab w:val="right" w:leader="dot" w:pos="8296"/>
            </w:tabs>
            <w:rPr>
              <w:rFonts w:eastAsiaTheme="minorEastAsia"/>
              <w:noProof/>
              <w:szCs w:val="22"/>
            </w:rPr>
          </w:pPr>
          <w:hyperlink w:anchor="_Toc148950125" w:history="1">
            <w:r w:rsidRPr="007A415E">
              <w:rPr>
                <w:rStyle w:val="a9"/>
                <w:rFonts w:ascii="Times New Roman" w:eastAsia="楷体" w:hAnsi="Times New Roman"/>
                <w:b/>
                <w:noProof/>
              </w:rPr>
              <w:t>贵金属：联储暗示维持利率水平不变，贵金属价格大幅反弹</w:t>
            </w:r>
          </w:hyperlink>
        </w:p>
        <w:p w:rsidR="008E54BD" w:rsidRDefault="008E54BD">
          <w:pPr>
            <w:pStyle w:val="11"/>
            <w:tabs>
              <w:tab w:val="right" w:leader="dot" w:pos="8296"/>
            </w:tabs>
            <w:rPr>
              <w:rFonts w:eastAsiaTheme="minorEastAsia"/>
              <w:noProof/>
              <w:szCs w:val="22"/>
            </w:rPr>
          </w:pPr>
          <w:hyperlink w:anchor="_Toc148950126" w:history="1">
            <w:r w:rsidRPr="007A415E">
              <w:rPr>
                <w:rStyle w:val="a9"/>
                <w:rFonts w:ascii="Times New Roman" w:eastAsia="楷体" w:hAnsi="Times New Roman"/>
                <w:b/>
                <w:noProof/>
              </w:rPr>
              <w:t>[</w:t>
            </w:r>
            <w:r w:rsidRPr="007A415E">
              <w:rPr>
                <w:rStyle w:val="a9"/>
                <w:rFonts w:ascii="Times New Roman" w:eastAsia="楷体" w:hAnsi="Times New Roman"/>
                <w:b/>
                <w:noProof/>
              </w:rPr>
              <w:t>金属</w:t>
            </w:r>
            <w:r w:rsidRPr="007A415E">
              <w:rPr>
                <w:rStyle w:val="a9"/>
                <w:rFonts w:ascii="Times New Roman" w:eastAsia="楷体" w:hAnsi="Times New Roman"/>
                <w:b/>
                <w:noProof/>
              </w:rPr>
              <w:t>]</w:t>
            </w:r>
          </w:hyperlink>
        </w:p>
        <w:p w:rsidR="008E54BD" w:rsidRDefault="008E54BD">
          <w:pPr>
            <w:pStyle w:val="23"/>
            <w:tabs>
              <w:tab w:val="right" w:leader="dot" w:pos="8296"/>
            </w:tabs>
            <w:rPr>
              <w:rFonts w:eastAsiaTheme="minorEastAsia"/>
              <w:noProof/>
              <w:szCs w:val="22"/>
            </w:rPr>
          </w:pPr>
          <w:hyperlink w:anchor="_Toc148950127" w:history="1">
            <w:r w:rsidRPr="007A415E">
              <w:rPr>
                <w:rStyle w:val="a9"/>
                <w:rFonts w:ascii="楷体" w:eastAsia="楷体" w:hAnsi="楷体"/>
                <w:b/>
                <w:noProof/>
              </w:rPr>
              <w:t>碳酸锂：9月进口量环比大幅增长，期价大幅下跌</w:t>
            </w:r>
          </w:hyperlink>
        </w:p>
        <w:p w:rsidR="008E54BD" w:rsidRDefault="008E54BD">
          <w:pPr>
            <w:pStyle w:val="23"/>
            <w:tabs>
              <w:tab w:val="right" w:leader="dot" w:pos="8296"/>
            </w:tabs>
            <w:rPr>
              <w:rFonts w:eastAsiaTheme="minorEastAsia"/>
              <w:noProof/>
              <w:szCs w:val="22"/>
            </w:rPr>
          </w:pPr>
          <w:hyperlink w:anchor="_Toc148950128" w:history="1">
            <w:r w:rsidRPr="007A415E">
              <w:rPr>
                <w:rStyle w:val="a9"/>
                <w:rFonts w:ascii="楷体" w:eastAsia="楷体" w:hAnsi="楷体"/>
                <w:b/>
                <w:noProof/>
              </w:rPr>
              <w:t>螺纹钢：预期转弱，低估值下偏弱震荡</w:t>
            </w:r>
          </w:hyperlink>
        </w:p>
        <w:p w:rsidR="008E54BD" w:rsidRDefault="008E54BD">
          <w:pPr>
            <w:pStyle w:val="23"/>
            <w:tabs>
              <w:tab w:val="right" w:leader="dot" w:pos="8296"/>
            </w:tabs>
            <w:rPr>
              <w:rFonts w:eastAsiaTheme="minorEastAsia"/>
              <w:noProof/>
              <w:szCs w:val="22"/>
            </w:rPr>
          </w:pPr>
          <w:hyperlink w:anchor="_Toc148950129" w:history="1">
            <w:r w:rsidRPr="007A415E">
              <w:rPr>
                <w:rStyle w:val="a9"/>
                <w:rFonts w:ascii="楷体" w:eastAsia="楷体" w:hAnsi="楷体"/>
                <w:b/>
                <w:noProof/>
              </w:rPr>
              <w:t>焦炭：成材价格压制，震荡运行</w:t>
            </w:r>
          </w:hyperlink>
        </w:p>
        <w:p w:rsidR="008E54BD" w:rsidRDefault="008E54BD">
          <w:pPr>
            <w:pStyle w:val="23"/>
            <w:tabs>
              <w:tab w:val="right" w:leader="dot" w:pos="8296"/>
            </w:tabs>
            <w:rPr>
              <w:rFonts w:eastAsiaTheme="minorEastAsia"/>
              <w:noProof/>
              <w:szCs w:val="22"/>
            </w:rPr>
          </w:pPr>
          <w:hyperlink w:anchor="_Toc148950130" w:history="1">
            <w:r w:rsidRPr="007A415E">
              <w:rPr>
                <w:rStyle w:val="a9"/>
                <w:rFonts w:ascii="楷体" w:eastAsia="楷体" w:hAnsi="楷体"/>
                <w:b/>
                <w:noProof/>
              </w:rPr>
              <w:t>焦煤：高溢价开始收缩，价格高位震荡</w:t>
            </w:r>
          </w:hyperlink>
        </w:p>
        <w:p w:rsidR="008E54BD" w:rsidRDefault="008E54BD">
          <w:pPr>
            <w:pStyle w:val="23"/>
            <w:tabs>
              <w:tab w:val="right" w:leader="dot" w:pos="8296"/>
            </w:tabs>
            <w:rPr>
              <w:rFonts w:eastAsiaTheme="minorEastAsia"/>
              <w:noProof/>
              <w:szCs w:val="22"/>
            </w:rPr>
          </w:pPr>
          <w:hyperlink w:anchor="_Toc148950131" w:history="1">
            <w:r w:rsidRPr="007A415E">
              <w:rPr>
                <w:rStyle w:val="a9"/>
                <w:rFonts w:ascii="楷体" w:eastAsia="楷体" w:hAnsi="楷体"/>
                <w:b/>
                <w:noProof/>
              </w:rPr>
              <w:t>铜：短期偏弱震荡，上下驱动均有限</w:t>
            </w:r>
          </w:hyperlink>
        </w:p>
        <w:p w:rsidR="008E54BD" w:rsidRDefault="008E54BD">
          <w:pPr>
            <w:pStyle w:val="23"/>
            <w:tabs>
              <w:tab w:val="right" w:leader="dot" w:pos="8296"/>
            </w:tabs>
            <w:rPr>
              <w:rFonts w:eastAsiaTheme="minorEastAsia"/>
              <w:noProof/>
              <w:szCs w:val="22"/>
            </w:rPr>
          </w:pPr>
          <w:hyperlink w:anchor="_Toc148950132" w:history="1">
            <w:r w:rsidRPr="007A415E">
              <w:rPr>
                <w:rStyle w:val="a9"/>
                <w:rFonts w:ascii="楷体" w:eastAsia="楷体" w:hAnsi="楷体"/>
                <w:b/>
                <w:noProof/>
              </w:rPr>
              <w:t>铝：铝是高产能低库存，下方价格仍有支撑</w:t>
            </w:r>
          </w:hyperlink>
        </w:p>
        <w:p w:rsidR="008E54BD" w:rsidRDefault="008E54BD">
          <w:pPr>
            <w:pStyle w:val="23"/>
            <w:tabs>
              <w:tab w:val="right" w:leader="dot" w:pos="8296"/>
            </w:tabs>
            <w:rPr>
              <w:rFonts w:eastAsiaTheme="minorEastAsia"/>
              <w:noProof/>
              <w:szCs w:val="22"/>
            </w:rPr>
          </w:pPr>
          <w:hyperlink w:anchor="_Toc148950133" w:history="1">
            <w:r w:rsidRPr="007A415E">
              <w:rPr>
                <w:rStyle w:val="a9"/>
                <w:rFonts w:ascii="楷体" w:eastAsia="楷体" w:hAnsi="楷体"/>
                <w:b/>
                <w:noProof/>
              </w:rPr>
              <w:t>锌：锌价震荡盘整</w:t>
            </w:r>
          </w:hyperlink>
        </w:p>
        <w:p w:rsidR="008E54BD" w:rsidRDefault="008E54BD">
          <w:pPr>
            <w:pStyle w:val="23"/>
            <w:tabs>
              <w:tab w:val="right" w:leader="dot" w:pos="8296"/>
            </w:tabs>
            <w:rPr>
              <w:rFonts w:eastAsiaTheme="minorEastAsia"/>
              <w:noProof/>
              <w:szCs w:val="22"/>
            </w:rPr>
          </w:pPr>
          <w:hyperlink w:anchor="_Toc148950134" w:history="1">
            <w:r w:rsidRPr="007A415E">
              <w:rPr>
                <w:rStyle w:val="a9"/>
                <w:rFonts w:ascii="楷体" w:eastAsia="楷体" w:hAnsi="楷体"/>
                <w:b/>
                <w:noProof/>
              </w:rPr>
              <w:t>镍：或震荡偏弱运行，观望为主</w:t>
            </w:r>
          </w:hyperlink>
        </w:p>
        <w:p w:rsidR="008E54BD" w:rsidRDefault="008E54BD">
          <w:pPr>
            <w:pStyle w:val="23"/>
            <w:tabs>
              <w:tab w:val="right" w:leader="dot" w:pos="8296"/>
            </w:tabs>
            <w:rPr>
              <w:rFonts w:eastAsiaTheme="minorEastAsia"/>
              <w:noProof/>
              <w:szCs w:val="22"/>
            </w:rPr>
          </w:pPr>
          <w:hyperlink w:anchor="_Toc148950135" w:history="1">
            <w:r w:rsidRPr="007A415E">
              <w:rPr>
                <w:rStyle w:val="a9"/>
                <w:rFonts w:ascii="楷体" w:eastAsia="楷体" w:hAnsi="楷体"/>
                <w:b/>
                <w:noProof/>
              </w:rPr>
              <w:t>铅：铝价上方压力仍存</w:t>
            </w:r>
          </w:hyperlink>
        </w:p>
        <w:p w:rsidR="008E54BD" w:rsidRDefault="008E54BD">
          <w:pPr>
            <w:pStyle w:val="23"/>
            <w:tabs>
              <w:tab w:val="right" w:leader="dot" w:pos="8296"/>
            </w:tabs>
            <w:rPr>
              <w:rFonts w:eastAsiaTheme="minorEastAsia"/>
              <w:noProof/>
              <w:szCs w:val="22"/>
            </w:rPr>
          </w:pPr>
          <w:hyperlink w:anchor="_Toc148950136" w:history="1">
            <w:r w:rsidRPr="007A415E">
              <w:rPr>
                <w:rStyle w:val="a9"/>
                <w:rFonts w:ascii="楷体" w:eastAsia="楷体" w:hAnsi="楷体"/>
                <w:b/>
                <w:noProof/>
              </w:rPr>
              <w:t>不锈钢：供需双弱态势下，不锈钢承压运行</w:t>
            </w:r>
          </w:hyperlink>
        </w:p>
        <w:p w:rsidR="008E54BD" w:rsidRDefault="008E54BD">
          <w:pPr>
            <w:pStyle w:val="23"/>
            <w:tabs>
              <w:tab w:val="right" w:leader="dot" w:pos="8296"/>
            </w:tabs>
            <w:rPr>
              <w:rFonts w:eastAsiaTheme="minorEastAsia"/>
              <w:noProof/>
              <w:szCs w:val="22"/>
            </w:rPr>
          </w:pPr>
          <w:hyperlink w:anchor="_Toc148950137" w:history="1">
            <w:r w:rsidRPr="007A415E">
              <w:rPr>
                <w:rStyle w:val="a9"/>
                <w:rFonts w:ascii="楷体" w:eastAsia="楷体" w:hAnsi="楷体"/>
                <w:b/>
                <w:noProof/>
              </w:rPr>
              <w:t>工业硅：多空博弈加剧，市场或震荡运行</w:t>
            </w:r>
          </w:hyperlink>
        </w:p>
        <w:p w:rsidR="008E54BD" w:rsidRDefault="008E54BD">
          <w:pPr>
            <w:pStyle w:val="11"/>
            <w:tabs>
              <w:tab w:val="right" w:leader="dot" w:pos="8296"/>
            </w:tabs>
            <w:rPr>
              <w:rFonts w:eastAsiaTheme="minorEastAsia"/>
              <w:noProof/>
              <w:szCs w:val="22"/>
            </w:rPr>
          </w:pPr>
          <w:hyperlink w:anchor="_Toc148950138" w:history="1">
            <w:r w:rsidRPr="007A415E">
              <w:rPr>
                <w:rStyle w:val="a9"/>
                <w:rFonts w:ascii="Times New Roman" w:eastAsia="楷体" w:hAnsi="Times New Roman"/>
                <w:b/>
                <w:noProof/>
              </w:rPr>
              <w:t>[</w:t>
            </w:r>
            <w:r w:rsidRPr="007A415E">
              <w:rPr>
                <w:rStyle w:val="a9"/>
                <w:rFonts w:ascii="Times New Roman" w:eastAsia="楷体" w:hAnsi="Times New Roman"/>
                <w:b/>
                <w:noProof/>
              </w:rPr>
              <w:t>化工</w:t>
            </w:r>
            <w:r w:rsidRPr="007A415E">
              <w:rPr>
                <w:rStyle w:val="a9"/>
                <w:rFonts w:ascii="Times New Roman" w:eastAsia="楷体" w:hAnsi="Times New Roman"/>
                <w:b/>
                <w:noProof/>
              </w:rPr>
              <w:t>]</w:t>
            </w:r>
          </w:hyperlink>
        </w:p>
        <w:p w:rsidR="008E54BD" w:rsidRDefault="008E54BD">
          <w:pPr>
            <w:pStyle w:val="23"/>
            <w:tabs>
              <w:tab w:val="right" w:leader="dot" w:pos="8296"/>
            </w:tabs>
            <w:rPr>
              <w:rFonts w:eastAsiaTheme="minorEastAsia"/>
              <w:noProof/>
              <w:szCs w:val="22"/>
            </w:rPr>
          </w:pPr>
          <w:hyperlink w:anchor="_Toc148950139" w:history="1">
            <w:r w:rsidRPr="007A415E">
              <w:rPr>
                <w:rStyle w:val="a9"/>
                <w:rFonts w:ascii="Times New Roman" w:eastAsia="楷体" w:hAnsi="Times New Roman"/>
                <w:b/>
                <w:noProof/>
              </w:rPr>
              <w:t>天然橡胶</w:t>
            </w:r>
            <w:r w:rsidRPr="007A415E">
              <w:rPr>
                <w:rStyle w:val="a9"/>
                <w:rFonts w:ascii="Times New Roman" w:eastAsia="楷体" w:hAnsi="Times New Roman"/>
                <w:b/>
                <w:noProof/>
              </w:rPr>
              <w:t>:</w:t>
            </w:r>
            <w:r w:rsidRPr="007A415E">
              <w:rPr>
                <w:rStyle w:val="a9"/>
                <w:rFonts w:ascii="楷体" w:eastAsia="楷体" w:hAnsi="楷体"/>
                <w:b/>
                <w:noProof/>
              </w:rPr>
              <w:t xml:space="preserve"> 市场做多热情有所减弱。天胶仍有回调预期</w:t>
            </w:r>
          </w:hyperlink>
        </w:p>
        <w:p w:rsidR="008E54BD" w:rsidRDefault="008E54BD">
          <w:pPr>
            <w:pStyle w:val="23"/>
            <w:tabs>
              <w:tab w:val="right" w:leader="dot" w:pos="8296"/>
            </w:tabs>
            <w:rPr>
              <w:rFonts w:eastAsiaTheme="minorEastAsia"/>
              <w:noProof/>
              <w:szCs w:val="22"/>
            </w:rPr>
          </w:pPr>
          <w:hyperlink w:anchor="_Toc148950140" w:history="1">
            <w:r w:rsidRPr="007A415E">
              <w:rPr>
                <w:rStyle w:val="a9"/>
                <w:rFonts w:ascii="楷体" w:eastAsia="楷体" w:hAnsi="楷体"/>
                <w:b/>
                <w:noProof/>
              </w:rPr>
              <w:t>PTA：</w:t>
            </w:r>
            <w:r w:rsidRPr="007A415E">
              <w:rPr>
                <w:rStyle w:val="a9"/>
                <w:rFonts w:ascii="Calibri" w:eastAsia="楷体" w:hAnsi="Calibri" w:cs="Calibri"/>
                <w:b/>
                <w:noProof/>
              </w:rPr>
              <w:t> </w:t>
            </w:r>
            <w:r w:rsidRPr="007A415E">
              <w:rPr>
                <w:rStyle w:val="a9"/>
                <w:rFonts w:ascii="楷体" w:eastAsia="楷体" w:hAnsi="楷体"/>
                <w:b/>
                <w:noProof/>
              </w:rPr>
              <w:t>供需矛盾暂时缓解 但向上驱动仍不足</w:t>
            </w:r>
          </w:hyperlink>
        </w:p>
        <w:p w:rsidR="008E54BD" w:rsidRDefault="008E54BD">
          <w:pPr>
            <w:pStyle w:val="23"/>
            <w:tabs>
              <w:tab w:val="right" w:leader="dot" w:pos="8296"/>
            </w:tabs>
            <w:rPr>
              <w:rFonts w:eastAsiaTheme="minorEastAsia"/>
              <w:noProof/>
              <w:szCs w:val="22"/>
            </w:rPr>
          </w:pPr>
          <w:hyperlink w:anchor="_Toc148950141" w:history="1">
            <w:r w:rsidRPr="007A415E">
              <w:rPr>
                <w:rStyle w:val="a9"/>
                <w:rFonts w:ascii="楷体" w:eastAsia="楷体" w:hAnsi="楷体"/>
                <w:b/>
                <w:noProof/>
              </w:rPr>
              <w:t>PVC：高库存+弱复苏 驱动不足</w:t>
            </w:r>
          </w:hyperlink>
        </w:p>
        <w:p w:rsidR="008E54BD" w:rsidRDefault="008E54BD">
          <w:pPr>
            <w:pStyle w:val="23"/>
            <w:tabs>
              <w:tab w:val="right" w:leader="dot" w:pos="8296"/>
            </w:tabs>
            <w:rPr>
              <w:rFonts w:eastAsiaTheme="minorEastAsia"/>
              <w:noProof/>
              <w:szCs w:val="22"/>
            </w:rPr>
          </w:pPr>
          <w:hyperlink w:anchor="_Toc148950142" w:history="1">
            <w:r w:rsidRPr="007A415E">
              <w:rPr>
                <w:rStyle w:val="a9"/>
                <w:rFonts w:ascii="楷体" w:eastAsia="楷体" w:hAnsi="楷体"/>
                <w:b/>
                <w:noProof/>
              </w:rPr>
              <w:t>聚烯烃：市场缺乏利好提振 聚烯烃偏弱整理为主</w:t>
            </w:r>
          </w:hyperlink>
        </w:p>
        <w:p w:rsidR="008E54BD" w:rsidRDefault="008E54BD">
          <w:pPr>
            <w:pStyle w:val="23"/>
            <w:tabs>
              <w:tab w:val="right" w:leader="dot" w:pos="8296"/>
            </w:tabs>
            <w:rPr>
              <w:rFonts w:eastAsiaTheme="minorEastAsia"/>
              <w:noProof/>
              <w:szCs w:val="22"/>
            </w:rPr>
          </w:pPr>
          <w:hyperlink w:anchor="_Toc148950143" w:history="1">
            <w:r w:rsidRPr="007A415E">
              <w:rPr>
                <w:rStyle w:val="a9"/>
                <w:rFonts w:ascii="楷体" w:eastAsia="楷体" w:hAnsi="楷体"/>
                <w:b/>
                <w:noProof/>
              </w:rPr>
              <w:t>MEG：具备低多价值</w:t>
            </w:r>
          </w:hyperlink>
        </w:p>
        <w:p w:rsidR="008E54BD" w:rsidRDefault="008E54BD">
          <w:pPr>
            <w:pStyle w:val="23"/>
            <w:tabs>
              <w:tab w:val="right" w:leader="dot" w:pos="8296"/>
            </w:tabs>
            <w:rPr>
              <w:rFonts w:eastAsiaTheme="minorEastAsia"/>
              <w:noProof/>
              <w:szCs w:val="22"/>
            </w:rPr>
          </w:pPr>
          <w:hyperlink w:anchor="_Toc148950144" w:history="1">
            <w:r w:rsidRPr="007A415E">
              <w:rPr>
                <w:rStyle w:val="a9"/>
                <w:rFonts w:ascii="楷体" w:eastAsia="楷体" w:hAnsi="楷体"/>
                <w:b/>
                <w:noProof/>
              </w:rPr>
              <w:t>玻璃：供需弱平衡，震荡行情</w:t>
            </w:r>
          </w:hyperlink>
        </w:p>
        <w:p w:rsidR="008E54BD" w:rsidRDefault="008E54BD">
          <w:pPr>
            <w:pStyle w:val="23"/>
            <w:tabs>
              <w:tab w:val="right" w:leader="dot" w:pos="8296"/>
            </w:tabs>
            <w:rPr>
              <w:rFonts w:eastAsiaTheme="minorEastAsia"/>
              <w:noProof/>
              <w:szCs w:val="22"/>
            </w:rPr>
          </w:pPr>
          <w:hyperlink w:anchor="_Toc148950145" w:history="1">
            <w:r w:rsidRPr="007A415E">
              <w:rPr>
                <w:rStyle w:val="a9"/>
                <w:rFonts w:ascii="楷体" w:eastAsia="楷体" w:hAnsi="楷体"/>
                <w:b/>
                <w:noProof/>
              </w:rPr>
              <w:t>纯碱：现货加速下跌，震荡偏空</w:t>
            </w:r>
          </w:hyperlink>
        </w:p>
        <w:p w:rsidR="008E54BD" w:rsidRDefault="008E54BD">
          <w:pPr>
            <w:pStyle w:val="11"/>
            <w:tabs>
              <w:tab w:val="right" w:leader="dot" w:pos="8296"/>
            </w:tabs>
            <w:rPr>
              <w:rFonts w:eastAsiaTheme="minorEastAsia"/>
              <w:noProof/>
              <w:szCs w:val="22"/>
            </w:rPr>
          </w:pPr>
          <w:hyperlink w:anchor="_Toc148950146" w:history="1">
            <w:r w:rsidRPr="007A415E">
              <w:rPr>
                <w:rStyle w:val="a9"/>
                <w:rFonts w:ascii="Times New Roman" w:eastAsia="楷体" w:hAnsi="Times New Roman"/>
                <w:b/>
                <w:noProof/>
              </w:rPr>
              <w:t>[</w:t>
            </w:r>
            <w:r w:rsidRPr="007A415E">
              <w:rPr>
                <w:rStyle w:val="a9"/>
                <w:rFonts w:ascii="Times New Roman" w:eastAsia="楷体" w:hAnsi="Times New Roman"/>
                <w:b/>
                <w:noProof/>
              </w:rPr>
              <w:t>农产品</w:t>
            </w:r>
            <w:r w:rsidRPr="007A415E">
              <w:rPr>
                <w:rStyle w:val="a9"/>
                <w:rFonts w:ascii="Times New Roman" w:eastAsia="楷体" w:hAnsi="Times New Roman"/>
                <w:b/>
                <w:noProof/>
              </w:rPr>
              <w:t>]</w:t>
            </w:r>
          </w:hyperlink>
        </w:p>
        <w:p w:rsidR="008E54BD" w:rsidRDefault="008E54BD">
          <w:pPr>
            <w:pStyle w:val="23"/>
            <w:tabs>
              <w:tab w:val="right" w:leader="dot" w:pos="8296"/>
            </w:tabs>
            <w:rPr>
              <w:rFonts w:eastAsiaTheme="minorEastAsia"/>
              <w:noProof/>
              <w:szCs w:val="22"/>
            </w:rPr>
          </w:pPr>
          <w:hyperlink w:anchor="_Toc148950147" w:history="1">
            <w:r w:rsidRPr="007A415E">
              <w:rPr>
                <w:rStyle w:val="a9"/>
                <w:rFonts w:ascii="楷体" w:eastAsia="楷体" w:hAnsi="楷体"/>
                <w:b/>
                <w:noProof/>
              </w:rPr>
              <w:t>豆粕/菜粕：两粕震荡调整</w:t>
            </w:r>
          </w:hyperlink>
        </w:p>
        <w:p w:rsidR="008E54BD" w:rsidRDefault="008E54BD">
          <w:pPr>
            <w:pStyle w:val="23"/>
            <w:tabs>
              <w:tab w:val="right" w:leader="dot" w:pos="8296"/>
            </w:tabs>
            <w:rPr>
              <w:rFonts w:eastAsiaTheme="minorEastAsia"/>
              <w:noProof/>
              <w:szCs w:val="22"/>
            </w:rPr>
          </w:pPr>
          <w:hyperlink w:anchor="_Toc148950148" w:history="1">
            <w:r w:rsidRPr="007A415E">
              <w:rPr>
                <w:rStyle w:val="a9"/>
                <w:rFonts w:ascii="楷体" w:eastAsia="楷体" w:hAnsi="楷体"/>
                <w:b/>
                <w:noProof/>
              </w:rPr>
              <w:t>油脂：短期缺乏驱动，宽幅震荡</w:t>
            </w:r>
          </w:hyperlink>
        </w:p>
        <w:p w:rsidR="008E54BD" w:rsidRDefault="008E54BD">
          <w:pPr>
            <w:pStyle w:val="23"/>
            <w:tabs>
              <w:tab w:val="right" w:leader="dot" w:pos="8296"/>
            </w:tabs>
            <w:rPr>
              <w:rFonts w:eastAsiaTheme="minorEastAsia"/>
              <w:noProof/>
              <w:szCs w:val="22"/>
            </w:rPr>
          </w:pPr>
          <w:hyperlink w:anchor="_Toc148950149" w:history="1">
            <w:r w:rsidRPr="007A415E">
              <w:rPr>
                <w:rStyle w:val="a9"/>
                <w:rFonts w:ascii="楷体" w:eastAsia="楷体" w:hAnsi="楷体"/>
                <w:b/>
                <w:bCs/>
                <w:noProof/>
              </w:rPr>
              <w:t>玉米与淀粉：</w:t>
            </w:r>
            <w:r w:rsidRPr="007A415E">
              <w:rPr>
                <w:rStyle w:val="a9"/>
                <w:rFonts w:ascii="楷体" w:eastAsia="楷体" w:hAnsi="楷体"/>
                <w:b/>
                <w:noProof/>
              </w:rPr>
              <w:t>继续等待新作压力释放</w:t>
            </w:r>
          </w:hyperlink>
        </w:p>
        <w:p w:rsidR="008E54BD" w:rsidRDefault="008E54BD">
          <w:pPr>
            <w:pStyle w:val="23"/>
            <w:tabs>
              <w:tab w:val="right" w:leader="dot" w:pos="8296"/>
            </w:tabs>
            <w:rPr>
              <w:rFonts w:eastAsiaTheme="minorEastAsia"/>
              <w:noProof/>
              <w:szCs w:val="22"/>
            </w:rPr>
          </w:pPr>
          <w:hyperlink w:anchor="_Toc148950150" w:history="1">
            <w:r w:rsidRPr="007A415E">
              <w:rPr>
                <w:rStyle w:val="a9"/>
                <w:rFonts w:ascii="楷体" w:eastAsia="楷体" w:hAnsi="楷体"/>
                <w:b/>
                <w:bCs/>
                <w:noProof/>
              </w:rPr>
              <w:t>畜禽养殖：期价延续弱势</w:t>
            </w:r>
          </w:hyperlink>
        </w:p>
        <w:p w:rsidR="008E54BD" w:rsidRDefault="008E54BD">
          <w:pPr>
            <w:pStyle w:val="23"/>
            <w:tabs>
              <w:tab w:val="right" w:leader="dot" w:pos="8296"/>
            </w:tabs>
            <w:rPr>
              <w:rFonts w:eastAsiaTheme="minorEastAsia"/>
              <w:noProof/>
              <w:szCs w:val="22"/>
            </w:rPr>
          </w:pPr>
          <w:hyperlink w:anchor="_Toc148950151" w:history="1">
            <w:r w:rsidRPr="007A415E">
              <w:rPr>
                <w:rStyle w:val="a9"/>
                <w:rFonts w:ascii="楷体" w:eastAsia="楷体" w:hAnsi="楷体"/>
                <w:b/>
                <w:noProof/>
              </w:rPr>
              <w:t>郑棉：空单暂止盈离场</w:t>
            </w:r>
          </w:hyperlink>
        </w:p>
        <w:p w:rsidR="008E54BD" w:rsidRDefault="008E54BD">
          <w:pPr>
            <w:pStyle w:val="23"/>
            <w:tabs>
              <w:tab w:val="right" w:leader="dot" w:pos="8296"/>
            </w:tabs>
            <w:rPr>
              <w:rFonts w:eastAsiaTheme="minorEastAsia"/>
              <w:noProof/>
              <w:szCs w:val="22"/>
            </w:rPr>
          </w:pPr>
          <w:hyperlink w:anchor="_Toc148950152" w:history="1">
            <w:r w:rsidRPr="007A415E">
              <w:rPr>
                <w:rStyle w:val="a9"/>
                <w:rFonts w:ascii="楷体" w:eastAsia="楷体" w:hAnsi="楷体"/>
                <w:b/>
                <w:noProof/>
              </w:rPr>
              <w:t>白糖：空单持有</w:t>
            </w:r>
          </w:hyperlink>
        </w:p>
        <w:p w:rsidR="008E54BD" w:rsidRDefault="008E54BD">
          <w:pPr>
            <w:pStyle w:val="11"/>
            <w:tabs>
              <w:tab w:val="right" w:leader="dot" w:pos="8296"/>
            </w:tabs>
            <w:rPr>
              <w:rFonts w:eastAsiaTheme="minorEastAsia"/>
              <w:noProof/>
              <w:szCs w:val="22"/>
            </w:rPr>
          </w:pPr>
          <w:hyperlink w:anchor="_Toc148950153" w:history="1">
            <w:r w:rsidRPr="007A415E">
              <w:rPr>
                <w:rStyle w:val="a9"/>
                <w:rFonts w:ascii="Times New Roman" w:eastAsia="楷体" w:hAnsi="Times New Roman"/>
                <w:b/>
                <w:noProof/>
              </w:rPr>
              <w:t>[</w:t>
            </w:r>
            <w:r w:rsidRPr="007A415E">
              <w:rPr>
                <w:rStyle w:val="a9"/>
                <w:rFonts w:ascii="Times New Roman" w:eastAsia="楷体" w:hAnsi="Times New Roman"/>
                <w:b/>
                <w:noProof/>
              </w:rPr>
              <w:t>指数</w:t>
            </w:r>
            <w:r w:rsidRPr="007A415E">
              <w:rPr>
                <w:rStyle w:val="a9"/>
                <w:rFonts w:ascii="Times New Roman" w:eastAsia="楷体" w:hAnsi="Times New Roman"/>
                <w:b/>
                <w:noProof/>
              </w:rPr>
              <w:t>]</w:t>
            </w:r>
          </w:hyperlink>
        </w:p>
        <w:p w:rsidR="008E54BD" w:rsidRDefault="008E54BD">
          <w:pPr>
            <w:pStyle w:val="23"/>
            <w:tabs>
              <w:tab w:val="right" w:leader="dot" w:pos="8296"/>
            </w:tabs>
            <w:rPr>
              <w:rFonts w:eastAsiaTheme="minorEastAsia"/>
              <w:noProof/>
              <w:szCs w:val="22"/>
            </w:rPr>
          </w:pPr>
          <w:hyperlink w:anchor="_Toc148950154" w:history="1">
            <w:r w:rsidRPr="007A415E">
              <w:rPr>
                <w:rStyle w:val="a9"/>
                <w:rFonts w:ascii="Times New Roman" w:eastAsia="楷体" w:hAnsi="Times New Roman"/>
                <w:b/>
                <w:noProof/>
              </w:rPr>
              <w:t>集运指数（欧线）：</w:t>
            </w:r>
            <w:r w:rsidRPr="007A415E">
              <w:rPr>
                <w:rStyle w:val="a9"/>
                <w:rFonts w:ascii="Times New Roman" w:eastAsia="楷体" w:hAnsi="Times New Roman"/>
                <w:b/>
                <w:noProof/>
              </w:rPr>
              <w:t>SCFI</w:t>
            </w:r>
            <w:r w:rsidRPr="007A415E">
              <w:rPr>
                <w:rStyle w:val="a9"/>
                <w:rFonts w:ascii="Times New Roman" w:eastAsia="楷体" w:hAnsi="Times New Roman"/>
                <w:b/>
                <w:noProof/>
              </w:rPr>
              <w:t>欧线结束</w:t>
            </w:r>
            <w:r w:rsidRPr="007A415E">
              <w:rPr>
                <w:rStyle w:val="a9"/>
                <w:rFonts w:ascii="Times New Roman" w:eastAsia="楷体" w:hAnsi="Times New Roman"/>
                <w:b/>
                <w:noProof/>
              </w:rPr>
              <w:t>10</w:t>
            </w:r>
            <w:r w:rsidRPr="007A415E">
              <w:rPr>
                <w:rStyle w:val="a9"/>
                <w:rFonts w:ascii="Times New Roman" w:eastAsia="楷体" w:hAnsi="Times New Roman"/>
                <w:b/>
                <w:noProof/>
              </w:rPr>
              <w:t>连跌，短期进入宽幅震荡</w:t>
            </w:r>
          </w:hyperlink>
        </w:p>
        <w:p w:rsidR="003F56A5" w:rsidRPr="00152664" w:rsidRDefault="00CC3FFA" w:rsidP="00152664">
          <w:pPr>
            <w:pStyle w:val="11"/>
            <w:tabs>
              <w:tab w:val="right" w:leader="dot" w:pos="8296"/>
            </w:tabs>
            <w:rPr>
              <w:rFonts w:eastAsiaTheme="minorEastAsia"/>
              <w:noProof/>
              <w:szCs w:val="22"/>
            </w:rPr>
          </w:pPr>
          <w:r>
            <w:rPr>
              <w:bCs/>
            </w:rPr>
            <w:fldChar w:fldCharType="end"/>
          </w:r>
          <w:r w:rsidR="00152664">
            <w:rPr>
              <w:rFonts w:eastAsiaTheme="minorEastAsia"/>
              <w:noProof/>
              <w:szCs w:val="22"/>
            </w:rPr>
            <w:t xml:space="preserve"> </w:t>
          </w:r>
        </w:p>
      </w:sdtContent>
    </w:sdt>
    <w:p w:rsidR="003F56A5" w:rsidRPr="001D5419" w:rsidRDefault="00CC3FFA" w:rsidP="001D5419">
      <w:pPr>
        <w:jc w:val="center"/>
        <w:rPr>
          <w:rFonts w:ascii="Times New Roman" w:eastAsia="楷体" w:hAnsi="Times New Roman" w:cs="Times New Roman"/>
          <w:color w:val="823C0B"/>
        </w:rPr>
        <w:sectPr w:rsidR="003F56A5" w:rsidRPr="001D5419">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sidRPr="001D5419">
        <w:rPr>
          <w:rFonts w:ascii="Times New Roman" w:eastAsia="楷体" w:hAnsi="Times New Roman" w:cs="Times New Roman" w:hint="eastAsia"/>
          <w:color w:val="823C0B"/>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4895012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48950123"/>
      <w:bookmarkEnd w:id="4"/>
      <w:r>
        <w:rPr>
          <w:rFonts w:ascii="Times New Roman" w:eastAsia="楷体" w:hAnsi="Times New Roman" w:hint="eastAsia"/>
          <w:b/>
          <w:color w:val="000000" w:themeColor="text1"/>
          <w:sz w:val="24"/>
          <w:szCs w:val="24"/>
        </w:rPr>
        <w:t>股指：</w:t>
      </w:r>
      <w:bookmarkEnd w:id="6"/>
      <w:bookmarkEnd w:id="7"/>
      <w:r w:rsidR="00E66C98" w:rsidRPr="00E66C98">
        <w:rPr>
          <w:rFonts w:ascii="Times New Roman" w:eastAsia="楷体" w:hAnsi="Times New Roman" w:hint="eastAsia"/>
          <w:b/>
          <w:color w:val="000000" w:themeColor="text1"/>
          <w:sz w:val="24"/>
          <w:szCs w:val="24"/>
        </w:rPr>
        <w:t>可逢低分批布局</w:t>
      </w:r>
      <w:r w:rsidR="00E66C98" w:rsidRPr="00E66C98">
        <w:rPr>
          <w:rFonts w:ascii="Times New Roman" w:eastAsia="楷体" w:hAnsi="Times New Roman" w:hint="eastAsia"/>
          <w:b/>
          <w:color w:val="000000" w:themeColor="text1"/>
          <w:sz w:val="24"/>
          <w:szCs w:val="24"/>
        </w:rPr>
        <w:t>IM</w:t>
      </w:r>
      <w:r w:rsidR="00E66C98" w:rsidRPr="00E66C98">
        <w:rPr>
          <w:rFonts w:ascii="Times New Roman" w:eastAsia="楷体" w:hAnsi="Times New Roman" w:hint="eastAsia"/>
          <w:b/>
          <w:color w:val="000000" w:themeColor="text1"/>
          <w:sz w:val="24"/>
          <w:szCs w:val="24"/>
        </w:rPr>
        <w:t>多单</w:t>
      </w:r>
      <w:bookmarkEnd w:id="8"/>
    </w:p>
    <w:p w:rsidR="003F56A5" w:rsidRDefault="00E66C98" w:rsidP="00D14B3E">
      <w:pPr>
        <w:ind w:leftChars="300" w:left="630"/>
        <w:rPr>
          <w:rFonts w:ascii="Times New Roman" w:eastAsia="楷体" w:hAnsi="Times New Roman"/>
          <w:color w:val="000000" w:themeColor="text1"/>
          <w:sz w:val="24"/>
          <w:szCs w:val="24"/>
        </w:rPr>
      </w:pPr>
      <w:r w:rsidRPr="00E66C98">
        <w:rPr>
          <w:rFonts w:ascii="Times New Roman" w:eastAsia="楷体" w:hAnsi="Times New Roman" w:hint="eastAsia"/>
          <w:color w:val="000000" w:themeColor="text1"/>
          <w:sz w:val="24"/>
          <w:szCs w:val="24"/>
        </w:rPr>
        <w:t>近期海外扰动构成</w:t>
      </w:r>
      <w:r w:rsidRPr="00E66C98">
        <w:rPr>
          <w:rFonts w:ascii="Times New Roman" w:eastAsia="楷体" w:hAnsi="Times New Roman" w:hint="eastAsia"/>
          <w:color w:val="000000" w:themeColor="text1"/>
          <w:sz w:val="24"/>
          <w:szCs w:val="24"/>
        </w:rPr>
        <w:t>A</w:t>
      </w:r>
      <w:r w:rsidRPr="00E66C98">
        <w:rPr>
          <w:rFonts w:ascii="Times New Roman" w:eastAsia="楷体" w:hAnsi="Times New Roman" w:hint="eastAsia"/>
          <w:color w:val="000000" w:themeColor="text1"/>
          <w:sz w:val="24"/>
          <w:szCs w:val="24"/>
        </w:rPr>
        <w:t>股调整的主要底色，实际上也是对</w:t>
      </w:r>
      <w:r w:rsidRPr="00E66C98">
        <w:rPr>
          <w:rFonts w:ascii="Times New Roman" w:eastAsia="楷体" w:hAnsi="Times New Roman" w:hint="eastAsia"/>
          <w:color w:val="000000" w:themeColor="text1"/>
          <w:sz w:val="24"/>
          <w:szCs w:val="24"/>
        </w:rPr>
        <w:t>A</w:t>
      </w:r>
      <w:r w:rsidRPr="00E66C98">
        <w:rPr>
          <w:rFonts w:ascii="Times New Roman" w:eastAsia="楷体" w:hAnsi="Times New Roman" w:hint="eastAsia"/>
          <w:color w:val="000000" w:themeColor="text1"/>
          <w:sz w:val="24"/>
          <w:szCs w:val="24"/>
        </w:rPr>
        <w:t>股面临的中短期问题的客观反映，经上周大幅调整，各指数性价比均出现明显改善，或到部分中长期资金配置阈值，激发市场内在稳定性，按照“巴菲特指标”来看，当前</w:t>
      </w:r>
      <w:r w:rsidRPr="00E66C98">
        <w:rPr>
          <w:rFonts w:ascii="Times New Roman" w:eastAsia="楷体" w:hAnsi="Times New Roman" w:hint="eastAsia"/>
          <w:color w:val="000000" w:themeColor="text1"/>
          <w:sz w:val="24"/>
          <w:szCs w:val="24"/>
        </w:rPr>
        <w:t>A</w:t>
      </w:r>
      <w:r w:rsidRPr="00E66C98">
        <w:rPr>
          <w:rFonts w:ascii="Times New Roman" w:eastAsia="楷体" w:hAnsi="Times New Roman" w:hint="eastAsia"/>
          <w:color w:val="000000" w:themeColor="text1"/>
          <w:sz w:val="24"/>
          <w:szCs w:val="24"/>
        </w:rPr>
        <w:t>股市场也是处于安全边际相对较高的配置区域，整体下行空间或有限，但向上机遇还需看到国内外宏观环境的共振</w:t>
      </w:r>
      <w:r w:rsidRPr="00E66C98">
        <w:rPr>
          <w:rFonts w:ascii="Times New Roman" w:eastAsia="楷体" w:hAnsi="Times New Roman" w:hint="eastAsia"/>
          <w:color w:val="000000" w:themeColor="text1"/>
          <w:sz w:val="24"/>
          <w:szCs w:val="24"/>
        </w:rPr>
        <w:t>/</w:t>
      </w:r>
      <w:r w:rsidRPr="00E66C98">
        <w:rPr>
          <w:rFonts w:ascii="Times New Roman" w:eastAsia="楷体" w:hAnsi="Times New Roman" w:hint="eastAsia"/>
          <w:color w:val="000000" w:themeColor="text1"/>
          <w:sz w:val="24"/>
          <w:szCs w:val="24"/>
        </w:rPr>
        <w:t>重大变化，否则在仅依靠内部资金的维稳，市场仍将维持弱势震荡</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4895012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48950125"/>
      <w:r>
        <w:rPr>
          <w:rFonts w:ascii="Times New Roman" w:eastAsia="楷体" w:hAnsi="Times New Roman" w:hint="eastAsia"/>
          <w:b/>
          <w:color w:val="000000" w:themeColor="text1"/>
          <w:sz w:val="24"/>
          <w:szCs w:val="24"/>
        </w:rPr>
        <w:t>贵金属：</w:t>
      </w:r>
      <w:r w:rsidR="00E66C98" w:rsidRPr="00E66C98">
        <w:rPr>
          <w:rFonts w:ascii="Times New Roman" w:eastAsia="楷体" w:hAnsi="Times New Roman" w:hint="eastAsia"/>
          <w:b/>
          <w:color w:val="000000" w:themeColor="text1"/>
          <w:sz w:val="24"/>
          <w:szCs w:val="24"/>
        </w:rPr>
        <w:t>联储暗示维持利率水平不变，贵金属价格大幅反弹</w:t>
      </w:r>
      <w:bookmarkEnd w:id="10"/>
    </w:p>
    <w:p w:rsidR="003F56A5" w:rsidRDefault="00E66C98">
      <w:pPr>
        <w:ind w:leftChars="300" w:left="630"/>
        <w:rPr>
          <w:rFonts w:ascii="Times New Roman" w:eastAsia="楷体" w:hAnsi="Times New Roman"/>
          <w:sz w:val="24"/>
          <w:szCs w:val="24"/>
        </w:rPr>
      </w:pPr>
      <w:r w:rsidRPr="00E66C98">
        <w:rPr>
          <w:rFonts w:ascii="Times New Roman" w:eastAsia="楷体" w:hAnsi="Times New Roman" w:hint="eastAsia"/>
          <w:color w:val="000000" w:themeColor="text1"/>
          <w:sz w:val="24"/>
          <w:szCs w:val="24"/>
        </w:rPr>
        <w:t>美联储主席鲍威尔表示，通胀仍然过高，降通胀道路可能遇到阻碍且需要一些时间，致力于将通胀可持续地降至</w:t>
      </w:r>
      <w:r w:rsidRPr="00E66C98">
        <w:rPr>
          <w:rFonts w:ascii="Times New Roman" w:eastAsia="楷体" w:hAnsi="Times New Roman" w:hint="eastAsia"/>
          <w:color w:val="000000" w:themeColor="text1"/>
          <w:sz w:val="24"/>
          <w:szCs w:val="24"/>
        </w:rPr>
        <w:t>2%</w:t>
      </w:r>
      <w:r w:rsidRPr="00E66C98">
        <w:rPr>
          <w:rFonts w:ascii="Times New Roman" w:eastAsia="楷体" w:hAnsi="Times New Roman" w:hint="eastAsia"/>
          <w:color w:val="000000" w:themeColor="text1"/>
          <w:sz w:val="24"/>
          <w:szCs w:val="24"/>
        </w:rPr>
        <w:t>，要达到这一目标，可能需要一段时期低于趋势的经济增长，以及劳动力市场状况进一步疲软；美联储需要放任美债收益率上行并对其进行观察，收益率上升已经造成金融条件显著收紧，且其或意味着无需进行更多加息。截至</w:t>
      </w:r>
      <w:r w:rsidRPr="00E66C98">
        <w:rPr>
          <w:rFonts w:ascii="Times New Roman" w:eastAsia="楷体" w:hAnsi="Times New Roman" w:hint="eastAsia"/>
          <w:color w:val="000000" w:themeColor="text1"/>
          <w:sz w:val="24"/>
          <w:szCs w:val="24"/>
        </w:rPr>
        <w:t>10</w:t>
      </w:r>
      <w:r w:rsidRPr="00E66C98">
        <w:rPr>
          <w:rFonts w:ascii="Times New Roman" w:eastAsia="楷体" w:hAnsi="Times New Roman" w:hint="eastAsia"/>
          <w:color w:val="000000" w:themeColor="text1"/>
          <w:sz w:val="24"/>
          <w:szCs w:val="24"/>
        </w:rPr>
        <w:t>月</w:t>
      </w:r>
      <w:r w:rsidRPr="00E66C98">
        <w:rPr>
          <w:rFonts w:ascii="Times New Roman" w:eastAsia="楷体" w:hAnsi="Times New Roman" w:hint="eastAsia"/>
          <w:color w:val="000000" w:themeColor="text1"/>
          <w:sz w:val="24"/>
          <w:szCs w:val="24"/>
        </w:rPr>
        <w:t>17</w:t>
      </w:r>
      <w:r w:rsidRPr="00E66C98">
        <w:rPr>
          <w:rFonts w:ascii="Times New Roman" w:eastAsia="楷体" w:hAnsi="Times New Roman" w:hint="eastAsia"/>
          <w:color w:val="000000" w:themeColor="text1"/>
          <w:sz w:val="24"/>
          <w:szCs w:val="24"/>
        </w:rPr>
        <w:t>日当周，</w:t>
      </w:r>
      <w:r w:rsidRPr="00E66C98">
        <w:rPr>
          <w:rFonts w:ascii="Times New Roman" w:eastAsia="楷体" w:hAnsi="Times New Roman" w:hint="eastAsia"/>
          <w:color w:val="000000" w:themeColor="text1"/>
          <w:sz w:val="24"/>
          <w:szCs w:val="24"/>
        </w:rPr>
        <w:t>COMEX</w:t>
      </w:r>
      <w:r w:rsidRPr="00E66C98">
        <w:rPr>
          <w:rFonts w:ascii="Times New Roman" w:eastAsia="楷体" w:hAnsi="Times New Roman" w:hint="eastAsia"/>
          <w:color w:val="000000" w:themeColor="text1"/>
          <w:sz w:val="24"/>
          <w:szCs w:val="24"/>
        </w:rPr>
        <w:t>黄金期货管理基金持仓转为净多仓，净多持仓</w:t>
      </w:r>
      <w:r w:rsidRPr="00E66C98">
        <w:rPr>
          <w:rFonts w:ascii="Times New Roman" w:eastAsia="楷体" w:hAnsi="Times New Roman" w:hint="eastAsia"/>
          <w:color w:val="000000" w:themeColor="text1"/>
          <w:sz w:val="24"/>
          <w:szCs w:val="24"/>
        </w:rPr>
        <w:t>15103</w:t>
      </w:r>
      <w:r w:rsidRPr="00E66C98">
        <w:rPr>
          <w:rFonts w:ascii="Times New Roman" w:eastAsia="楷体" w:hAnsi="Times New Roman" w:hint="eastAsia"/>
          <w:color w:val="000000" w:themeColor="text1"/>
          <w:sz w:val="24"/>
          <w:szCs w:val="24"/>
        </w:rPr>
        <w:t>手，截至</w:t>
      </w:r>
      <w:r w:rsidRPr="00E66C98">
        <w:rPr>
          <w:rFonts w:ascii="Times New Roman" w:eastAsia="楷体" w:hAnsi="Times New Roman" w:hint="eastAsia"/>
          <w:color w:val="000000" w:themeColor="text1"/>
          <w:sz w:val="24"/>
          <w:szCs w:val="24"/>
        </w:rPr>
        <w:t>10</w:t>
      </w:r>
      <w:r w:rsidRPr="00E66C98">
        <w:rPr>
          <w:rFonts w:ascii="Times New Roman" w:eastAsia="楷体" w:hAnsi="Times New Roman" w:hint="eastAsia"/>
          <w:color w:val="000000" w:themeColor="text1"/>
          <w:sz w:val="24"/>
          <w:szCs w:val="24"/>
        </w:rPr>
        <w:t>月</w:t>
      </w:r>
      <w:r w:rsidRPr="00E66C98">
        <w:rPr>
          <w:rFonts w:ascii="Times New Roman" w:eastAsia="楷体" w:hAnsi="Times New Roman" w:hint="eastAsia"/>
          <w:color w:val="000000" w:themeColor="text1"/>
          <w:sz w:val="24"/>
          <w:szCs w:val="24"/>
        </w:rPr>
        <w:t>17</w:t>
      </w:r>
      <w:r w:rsidRPr="00E66C98">
        <w:rPr>
          <w:rFonts w:ascii="Times New Roman" w:eastAsia="楷体" w:hAnsi="Times New Roman" w:hint="eastAsia"/>
          <w:color w:val="000000" w:themeColor="text1"/>
          <w:sz w:val="24"/>
          <w:szCs w:val="24"/>
        </w:rPr>
        <w:t>日当周，</w:t>
      </w:r>
      <w:r w:rsidRPr="00E66C98">
        <w:rPr>
          <w:rFonts w:ascii="Times New Roman" w:eastAsia="楷体" w:hAnsi="Times New Roman" w:hint="eastAsia"/>
          <w:color w:val="000000" w:themeColor="text1"/>
          <w:sz w:val="24"/>
          <w:szCs w:val="24"/>
        </w:rPr>
        <w:t>COMEX</w:t>
      </w:r>
      <w:r w:rsidRPr="00E66C98">
        <w:rPr>
          <w:rFonts w:ascii="Times New Roman" w:eastAsia="楷体" w:hAnsi="Times New Roman" w:hint="eastAsia"/>
          <w:color w:val="000000" w:themeColor="text1"/>
          <w:sz w:val="24"/>
          <w:szCs w:val="24"/>
        </w:rPr>
        <w:t>白银期货管理基金持仓转为净多仓，净多持仓</w:t>
      </w:r>
      <w:r w:rsidRPr="00E66C98">
        <w:rPr>
          <w:rFonts w:ascii="Times New Roman" w:eastAsia="楷体" w:hAnsi="Times New Roman" w:hint="eastAsia"/>
          <w:color w:val="000000" w:themeColor="text1"/>
          <w:sz w:val="24"/>
          <w:szCs w:val="24"/>
        </w:rPr>
        <w:t>3326</w:t>
      </w:r>
      <w:r w:rsidRPr="00E66C98">
        <w:rPr>
          <w:rFonts w:ascii="Times New Roman" w:eastAsia="楷体" w:hAnsi="Times New Roman" w:hint="eastAsia"/>
          <w:color w:val="000000" w:themeColor="text1"/>
          <w:sz w:val="24"/>
          <w:szCs w:val="24"/>
        </w:rPr>
        <w:t>手。截至</w:t>
      </w:r>
      <w:r w:rsidRPr="00E66C98">
        <w:rPr>
          <w:rFonts w:ascii="Times New Roman" w:eastAsia="楷体" w:hAnsi="Times New Roman" w:hint="eastAsia"/>
          <w:color w:val="000000" w:themeColor="text1"/>
          <w:sz w:val="24"/>
          <w:szCs w:val="24"/>
        </w:rPr>
        <w:t>10</w:t>
      </w:r>
      <w:r w:rsidRPr="00E66C98">
        <w:rPr>
          <w:rFonts w:ascii="Times New Roman" w:eastAsia="楷体" w:hAnsi="Times New Roman" w:hint="eastAsia"/>
          <w:color w:val="000000" w:themeColor="text1"/>
          <w:sz w:val="24"/>
          <w:szCs w:val="24"/>
        </w:rPr>
        <w:t>月</w:t>
      </w:r>
      <w:r w:rsidRPr="00E66C98">
        <w:rPr>
          <w:rFonts w:ascii="Times New Roman" w:eastAsia="楷体" w:hAnsi="Times New Roman" w:hint="eastAsia"/>
          <w:color w:val="000000" w:themeColor="text1"/>
          <w:sz w:val="24"/>
          <w:szCs w:val="24"/>
        </w:rPr>
        <w:t>20</w:t>
      </w:r>
      <w:r w:rsidRPr="00E66C98">
        <w:rPr>
          <w:rFonts w:ascii="Times New Roman" w:eastAsia="楷体" w:hAnsi="Times New Roman" w:hint="eastAsia"/>
          <w:color w:val="000000" w:themeColor="text1"/>
          <w:sz w:val="24"/>
          <w:szCs w:val="24"/>
        </w:rPr>
        <w:t>日，</w:t>
      </w:r>
      <w:r w:rsidRPr="00E66C98">
        <w:rPr>
          <w:rFonts w:ascii="Times New Roman" w:eastAsia="楷体" w:hAnsi="Times New Roman" w:hint="eastAsia"/>
          <w:color w:val="000000" w:themeColor="text1"/>
          <w:sz w:val="24"/>
          <w:szCs w:val="24"/>
        </w:rPr>
        <w:t>SPDR</w:t>
      </w:r>
      <w:r w:rsidRPr="00E66C98">
        <w:rPr>
          <w:rFonts w:ascii="Times New Roman" w:eastAsia="楷体" w:hAnsi="Times New Roman" w:hint="eastAsia"/>
          <w:color w:val="000000" w:themeColor="text1"/>
          <w:sz w:val="24"/>
          <w:szCs w:val="24"/>
        </w:rPr>
        <w:t>黄金</w:t>
      </w:r>
      <w:r w:rsidRPr="00E66C98">
        <w:rPr>
          <w:rFonts w:ascii="Times New Roman" w:eastAsia="楷体" w:hAnsi="Times New Roman" w:hint="eastAsia"/>
          <w:color w:val="000000" w:themeColor="text1"/>
          <w:sz w:val="24"/>
          <w:szCs w:val="24"/>
        </w:rPr>
        <w:t>ETF</w:t>
      </w:r>
      <w:r w:rsidRPr="00E66C98">
        <w:rPr>
          <w:rFonts w:ascii="Times New Roman" w:eastAsia="楷体" w:hAnsi="Times New Roman" w:hint="eastAsia"/>
          <w:color w:val="000000" w:themeColor="text1"/>
          <w:sz w:val="24"/>
          <w:szCs w:val="24"/>
        </w:rPr>
        <w:t>持仓</w:t>
      </w:r>
      <w:r w:rsidRPr="00E66C98">
        <w:rPr>
          <w:rFonts w:ascii="Times New Roman" w:eastAsia="楷体" w:hAnsi="Times New Roman" w:hint="eastAsia"/>
          <w:color w:val="000000" w:themeColor="text1"/>
          <w:sz w:val="24"/>
          <w:szCs w:val="24"/>
        </w:rPr>
        <w:t>863.24</w:t>
      </w:r>
      <w:r w:rsidRPr="00E66C98">
        <w:rPr>
          <w:rFonts w:ascii="Times New Roman" w:eastAsia="楷体" w:hAnsi="Times New Roman" w:hint="eastAsia"/>
          <w:color w:val="000000" w:themeColor="text1"/>
          <w:sz w:val="24"/>
          <w:szCs w:val="24"/>
        </w:rPr>
        <w:t>吨，周内流入</w:t>
      </w:r>
      <w:r w:rsidRPr="00E66C98">
        <w:rPr>
          <w:rFonts w:ascii="Times New Roman" w:eastAsia="楷体" w:hAnsi="Times New Roman" w:hint="eastAsia"/>
          <w:color w:val="000000" w:themeColor="text1"/>
          <w:sz w:val="24"/>
          <w:szCs w:val="24"/>
        </w:rPr>
        <w:t>0.87</w:t>
      </w:r>
      <w:r w:rsidRPr="00E66C98">
        <w:rPr>
          <w:rFonts w:ascii="Times New Roman" w:eastAsia="楷体" w:hAnsi="Times New Roman" w:hint="eastAsia"/>
          <w:color w:val="000000" w:themeColor="text1"/>
          <w:sz w:val="24"/>
          <w:szCs w:val="24"/>
        </w:rPr>
        <w:t>吨。截至</w:t>
      </w:r>
      <w:r w:rsidRPr="00E66C98">
        <w:rPr>
          <w:rFonts w:ascii="Times New Roman" w:eastAsia="楷体" w:hAnsi="Times New Roman" w:hint="eastAsia"/>
          <w:color w:val="000000" w:themeColor="text1"/>
          <w:sz w:val="24"/>
          <w:szCs w:val="24"/>
        </w:rPr>
        <w:t>10</w:t>
      </w:r>
      <w:r w:rsidRPr="00E66C98">
        <w:rPr>
          <w:rFonts w:ascii="Times New Roman" w:eastAsia="楷体" w:hAnsi="Times New Roman" w:hint="eastAsia"/>
          <w:color w:val="000000" w:themeColor="text1"/>
          <w:sz w:val="24"/>
          <w:szCs w:val="24"/>
        </w:rPr>
        <w:t>月</w:t>
      </w:r>
      <w:r w:rsidRPr="00E66C98">
        <w:rPr>
          <w:rFonts w:ascii="Times New Roman" w:eastAsia="楷体" w:hAnsi="Times New Roman" w:hint="eastAsia"/>
          <w:color w:val="000000" w:themeColor="text1"/>
          <w:sz w:val="24"/>
          <w:szCs w:val="24"/>
        </w:rPr>
        <w:t>20</w:t>
      </w:r>
      <w:r w:rsidRPr="00E66C98">
        <w:rPr>
          <w:rFonts w:ascii="Times New Roman" w:eastAsia="楷体" w:hAnsi="Times New Roman" w:hint="eastAsia"/>
          <w:color w:val="000000" w:themeColor="text1"/>
          <w:sz w:val="24"/>
          <w:szCs w:val="24"/>
        </w:rPr>
        <w:t>日，</w:t>
      </w:r>
      <w:r w:rsidRPr="00E66C98">
        <w:rPr>
          <w:rFonts w:ascii="Times New Roman" w:eastAsia="楷体" w:hAnsi="Times New Roman" w:hint="eastAsia"/>
          <w:color w:val="000000" w:themeColor="text1"/>
          <w:sz w:val="24"/>
          <w:szCs w:val="24"/>
        </w:rPr>
        <w:t>SLV</w:t>
      </w:r>
      <w:r w:rsidRPr="00E66C98">
        <w:rPr>
          <w:rFonts w:ascii="Times New Roman" w:eastAsia="楷体" w:hAnsi="Times New Roman" w:hint="eastAsia"/>
          <w:color w:val="000000" w:themeColor="text1"/>
          <w:sz w:val="24"/>
          <w:szCs w:val="24"/>
        </w:rPr>
        <w:t>白银</w:t>
      </w:r>
      <w:r w:rsidRPr="00E66C98">
        <w:rPr>
          <w:rFonts w:ascii="Times New Roman" w:eastAsia="楷体" w:hAnsi="Times New Roman" w:hint="eastAsia"/>
          <w:color w:val="000000" w:themeColor="text1"/>
          <w:sz w:val="24"/>
          <w:szCs w:val="24"/>
        </w:rPr>
        <w:t>ETF</w:t>
      </w:r>
      <w:r w:rsidRPr="00E66C98">
        <w:rPr>
          <w:rFonts w:ascii="Times New Roman" w:eastAsia="楷体" w:hAnsi="Times New Roman" w:hint="eastAsia"/>
          <w:color w:val="000000" w:themeColor="text1"/>
          <w:sz w:val="24"/>
          <w:szCs w:val="24"/>
        </w:rPr>
        <w:t>持仓</w:t>
      </w:r>
      <w:r w:rsidRPr="00E66C98">
        <w:rPr>
          <w:rFonts w:ascii="Times New Roman" w:eastAsia="楷体" w:hAnsi="Times New Roman" w:hint="eastAsia"/>
          <w:color w:val="000000" w:themeColor="text1"/>
          <w:sz w:val="24"/>
          <w:szCs w:val="24"/>
        </w:rPr>
        <w:t>13743.74</w:t>
      </w:r>
      <w:r w:rsidRPr="00E66C98">
        <w:rPr>
          <w:rFonts w:ascii="Times New Roman" w:eastAsia="楷体" w:hAnsi="Times New Roman" w:hint="eastAsia"/>
          <w:color w:val="000000" w:themeColor="text1"/>
          <w:sz w:val="24"/>
          <w:szCs w:val="24"/>
        </w:rPr>
        <w:t>吨，周内流出</w:t>
      </w:r>
      <w:r w:rsidRPr="00E66C98">
        <w:rPr>
          <w:rFonts w:ascii="Times New Roman" w:eastAsia="楷体" w:hAnsi="Times New Roman" w:hint="eastAsia"/>
          <w:color w:val="000000" w:themeColor="text1"/>
          <w:sz w:val="24"/>
          <w:szCs w:val="24"/>
        </w:rPr>
        <w:t>228.04</w:t>
      </w:r>
      <w:r w:rsidRPr="00E66C98">
        <w:rPr>
          <w:rFonts w:ascii="Times New Roman" w:eastAsia="楷体" w:hAnsi="Times New Roman" w:hint="eastAsia"/>
          <w:color w:val="000000" w:themeColor="text1"/>
          <w:sz w:val="24"/>
          <w:szCs w:val="24"/>
        </w:rPr>
        <w:t>吨。由于美联储主席暗示下次会议保持利率不变，金价受此支撑大幅上涨，建议沪金、沪银思路仍以偏多为主</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4895012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48950127"/>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E66C98" w:rsidRPr="00E66C98">
        <w:rPr>
          <w:rFonts w:ascii="楷体" w:eastAsia="楷体" w:hAnsi="楷体" w:hint="eastAsia"/>
          <w:b/>
          <w:color w:val="000000" w:themeColor="text1"/>
          <w:sz w:val="24"/>
          <w:szCs w:val="24"/>
        </w:rPr>
        <w:t>9月进口量环比大幅增长，期价大幅下跌</w:t>
      </w:r>
      <w:bookmarkEnd w:id="18"/>
    </w:p>
    <w:p w:rsidR="00F50569" w:rsidRDefault="00E66C98" w:rsidP="00F50569">
      <w:pPr>
        <w:ind w:leftChars="300" w:left="630"/>
        <w:rPr>
          <w:rFonts w:ascii="楷体" w:eastAsia="楷体" w:hAnsi="楷体"/>
          <w:color w:val="000000" w:themeColor="text1"/>
          <w:sz w:val="24"/>
          <w:szCs w:val="24"/>
        </w:rPr>
      </w:pPr>
      <w:r w:rsidRPr="00E66C98">
        <w:rPr>
          <w:rFonts w:ascii="楷体" w:eastAsia="楷体" w:hAnsi="楷体" w:hint="eastAsia"/>
          <w:color w:val="000000" w:themeColor="text1"/>
          <w:sz w:val="24"/>
          <w:szCs w:val="24"/>
        </w:rPr>
        <w:t>江西地区减停产企业开工有所恢复，处于产能爬坡阶段，产量供应较上周增加；外购矿石及回收料企业仍存成本倒挂情况，部分装置仍处于减停产状态。上周碳酸锂期货价格大幅下跌，影响因素在于：一是生产端检修、减产未对供需关系形成显著转变，锂企维持挺价情绪但对行情的影响在近期逐步减弱。二是周中市场传闻涉及下游排产预测，未经证实的数据之中多家电池企业排产降幅在10%以上，从消息面上对锂价形成利空。三是今日盘中海关进出口数据公布，9月国内碳酸锂进口量为13656吨，环比增加25.9%，超出此前市场预期，进口端供应充足的超预期表现令锂价进一步承压下调。整体而言碳酸锂上游开工略有恢复、维持去库，但弱势的下游需求令期价承压，近期锂价或偏弱运行</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48950128"/>
      <w:r>
        <w:rPr>
          <w:rFonts w:ascii="楷体" w:eastAsia="楷体" w:hAnsi="楷体" w:hint="eastAsia"/>
          <w:b/>
          <w:color w:val="000000" w:themeColor="text1"/>
          <w:sz w:val="24"/>
          <w:szCs w:val="24"/>
        </w:rPr>
        <w:t>螺纹钢：</w:t>
      </w:r>
      <w:bookmarkEnd w:id="16"/>
      <w:bookmarkEnd w:id="17"/>
      <w:r w:rsidR="00E66C98" w:rsidRPr="00E66C98">
        <w:rPr>
          <w:rFonts w:ascii="楷体" w:eastAsia="楷体" w:hAnsi="楷体" w:hint="eastAsia"/>
          <w:b/>
          <w:color w:val="000000" w:themeColor="text1"/>
          <w:sz w:val="24"/>
          <w:szCs w:val="24"/>
        </w:rPr>
        <w:t>预期转弱，低估值下偏弱震荡</w:t>
      </w:r>
      <w:bookmarkEnd w:id="19"/>
      <w:r w:rsidR="009E75B7" w:rsidRPr="009E75B7">
        <w:rPr>
          <w:rFonts w:ascii="楷体" w:eastAsia="楷体" w:hAnsi="楷体" w:hint="eastAsia"/>
          <w:b/>
          <w:color w:val="000000" w:themeColor="text1"/>
          <w:sz w:val="24"/>
          <w:szCs w:val="24"/>
        </w:rPr>
        <w:t xml:space="preserve">  </w:t>
      </w:r>
      <w:r w:rsidR="009127EC" w:rsidRPr="009127EC">
        <w:rPr>
          <w:rFonts w:ascii="楷体" w:eastAsia="楷体" w:hAnsi="楷体" w:hint="eastAsia"/>
          <w:b/>
          <w:color w:val="000000" w:themeColor="text1"/>
          <w:sz w:val="24"/>
          <w:szCs w:val="24"/>
        </w:rPr>
        <w:t xml:space="preserve">  </w:t>
      </w:r>
    </w:p>
    <w:p w:rsidR="003F56A5" w:rsidRDefault="00E66C98" w:rsidP="00201944">
      <w:pPr>
        <w:ind w:leftChars="300" w:left="630"/>
        <w:rPr>
          <w:rFonts w:ascii="楷体" w:eastAsia="楷体" w:hAnsi="楷体"/>
          <w:color w:val="000000" w:themeColor="text1"/>
          <w:sz w:val="24"/>
          <w:szCs w:val="24"/>
        </w:rPr>
      </w:pPr>
      <w:r w:rsidRPr="00E66C98">
        <w:rPr>
          <w:rFonts w:ascii="楷体" w:eastAsia="楷体" w:hAnsi="楷体" w:hint="eastAsia"/>
          <w:color w:val="000000" w:themeColor="text1"/>
          <w:sz w:val="24"/>
          <w:szCs w:val="24"/>
        </w:rPr>
        <w:t>出口有所波动，短期受预期走弱影响，价格向下继续测试支撑。需求较难</w:t>
      </w:r>
      <w:r w:rsidRPr="00E66C98">
        <w:rPr>
          <w:rFonts w:ascii="楷体" w:eastAsia="楷体" w:hAnsi="楷体" w:hint="eastAsia"/>
          <w:color w:val="000000" w:themeColor="text1"/>
          <w:sz w:val="24"/>
          <w:szCs w:val="24"/>
        </w:rPr>
        <w:lastRenderedPageBreak/>
        <w:t>提供向上弹性，供需矛盾不突出，但目前成本支撑价格，钢价偏弱震荡</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48950129"/>
      <w:r>
        <w:rPr>
          <w:rFonts w:ascii="楷体" w:eastAsia="楷体" w:hAnsi="楷体" w:hint="eastAsia"/>
          <w:b/>
          <w:color w:val="000000" w:themeColor="text1"/>
          <w:sz w:val="24"/>
          <w:szCs w:val="24"/>
        </w:rPr>
        <w:t>焦炭：</w:t>
      </w:r>
      <w:bookmarkEnd w:id="20"/>
      <w:bookmarkEnd w:id="21"/>
      <w:r w:rsidR="00E66C98" w:rsidRPr="00E66C98">
        <w:rPr>
          <w:rFonts w:ascii="楷体" w:eastAsia="楷体" w:hAnsi="楷体" w:hint="eastAsia"/>
          <w:b/>
          <w:color w:val="000000" w:themeColor="text1"/>
          <w:sz w:val="24"/>
          <w:szCs w:val="24"/>
        </w:rPr>
        <w:t>成材价格压制，震荡运行</w:t>
      </w:r>
      <w:bookmarkEnd w:id="22"/>
    </w:p>
    <w:p w:rsidR="003F56A5" w:rsidRDefault="00E66C98" w:rsidP="00572E35">
      <w:pPr>
        <w:ind w:leftChars="300" w:left="630"/>
        <w:rPr>
          <w:rFonts w:ascii="楷体" w:eastAsia="楷体" w:hAnsi="楷体"/>
          <w:color w:val="000000" w:themeColor="text1"/>
          <w:sz w:val="24"/>
          <w:szCs w:val="24"/>
        </w:rPr>
      </w:pPr>
      <w:r w:rsidRPr="00E66C98">
        <w:rPr>
          <w:rFonts w:ascii="楷体" w:eastAsia="楷体" w:hAnsi="楷体" w:hint="eastAsia"/>
          <w:color w:val="000000" w:themeColor="text1"/>
          <w:sz w:val="24"/>
          <w:szCs w:val="24"/>
        </w:rPr>
        <w:t>焦炭供需缺口再次收缩，但整体仍存在缺口，现货高价下提涨或较为曲折，短期偏弱运行，整体或震荡运行</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48950130"/>
      <w:r>
        <w:rPr>
          <w:rFonts w:ascii="楷体" w:eastAsia="楷体" w:hAnsi="楷体" w:hint="eastAsia"/>
          <w:b/>
          <w:color w:val="000000" w:themeColor="text1"/>
          <w:sz w:val="24"/>
          <w:szCs w:val="24"/>
        </w:rPr>
        <w:t>焦煤：</w:t>
      </w:r>
      <w:r w:rsidR="00E66C98" w:rsidRPr="00E66C98">
        <w:rPr>
          <w:rFonts w:ascii="楷体" w:eastAsia="楷体" w:hAnsi="楷体" w:hint="eastAsia"/>
          <w:b/>
          <w:sz w:val="24"/>
          <w:szCs w:val="24"/>
        </w:rPr>
        <w:t>高溢价开始收缩，价格高位震荡</w:t>
      </w:r>
      <w:bookmarkEnd w:id="23"/>
    </w:p>
    <w:p w:rsidR="003F56A5" w:rsidRDefault="00E66C98">
      <w:pPr>
        <w:ind w:leftChars="300" w:left="630"/>
        <w:rPr>
          <w:rFonts w:ascii="楷体" w:eastAsia="楷体" w:hAnsi="楷体"/>
          <w:bCs/>
          <w:sz w:val="24"/>
          <w:szCs w:val="24"/>
        </w:rPr>
      </w:pPr>
      <w:r w:rsidRPr="00E66C98">
        <w:rPr>
          <w:rFonts w:ascii="楷体" w:eastAsia="楷体" w:hAnsi="楷体" w:hint="eastAsia"/>
          <w:sz w:val="24"/>
          <w:szCs w:val="24"/>
        </w:rPr>
        <w:t>复产推动高溢价主焦煤有所会落，盘面受成材影响偏弱测试支撑，整体低库存仍有支撑，但现货价格过高下，下游较为谨慎，估值修复后震荡运行</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48950131"/>
      <w:r>
        <w:rPr>
          <w:rFonts w:ascii="楷体" w:eastAsia="楷体" w:hAnsi="楷体" w:hint="eastAsia"/>
          <w:b/>
          <w:color w:val="000000" w:themeColor="text1"/>
          <w:sz w:val="24"/>
          <w:szCs w:val="24"/>
        </w:rPr>
        <w:t>铜：</w:t>
      </w:r>
      <w:bookmarkEnd w:id="24"/>
      <w:bookmarkEnd w:id="25"/>
      <w:r w:rsidR="00E66C98" w:rsidRPr="00E66C98">
        <w:rPr>
          <w:rFonts w:ascii="楷体" w:eastAsia="楷体" w:hAnsi="楷体" w:hint="eastAsia"/>
          <w:b/>
          <w:color w:val="000000" w:themeColor="text1"/>
          <w:sz w:val="24"/>
          <w:szCs w:val="24"/>
        </w:rPr>
        <w:t>短期偏弱震荡，上下驱动均有限</w:t>
      </w:r>
      <w:bookmarkEnd w:id="26"/>
    </w:p>
    <w:p w:rsidR="00E66C98" w:rsidRPr="00E66C98" w:rsidRDefault="00E66C98" w:rsidP="00E66C98">
      <w:pPr>
        <w:ind w:leftChars="300" w:left="630"/>
        <w:rPr>
          <w:rFonts w:ascii="楷体" w:eastAsia="楷体" w:hAnsi="楷体" w:hint="eastAsia"/>
          <w:color w:val="000000" w:themeColor="text1"/>
          <w:sz w:val="24"/>
          <w:szCs w:val="24"/>
        </w:rPr>
      </w:pPr>
      <w:r w:rsidRPr="00E66C98">
        <w:rPr>
          <w:rFonts w:ascii="楷体" w:eastAsia="楷体" w:hAnsi="楷体" w:hint="eastAsia"/>
          <w:color w:val="000000" w:themeColor="text1"/>
          <w:sz w:val="24"/>
          <w:szCs w:val="24"/>
        </w:rPr>
        <w:t>(1)库存：10月20日，SHFE周库存58223吨，较上周五增1329吨；LME仓单库存191925吨，较上周五增11025吨。</w:t>
      </w:r>
    </w:p>
    <w:p w:rsidR="00E66C98" w:rsidRPr="00E66C98" w:rsidRDefault="00E66C98" w:rsidP="00E66C98">
      <w:pPr>
        <w:ind w:leftChars="300" w:left="630"/>
        <w:rPr>
          <w:rFonts w:ascii="楷体" w:eastAsia="楷体" w:hAnsi="楷体" w:hint="eastAsia"/>
          <w:color w:val="000000" w:themeColor="text1"/>
          <w:sz w:val="24"/>
          <w:szCs w:val="24"/>
        </w:rPr>
      </w:pPr>
      <w:r w:rsidRPr="00E66C98">
        <w:rPr>
          <w:rFonts w:ascii="楷体" w:eastAsia="楷体" w:hAnsi="楷体" w:hint="eastAsia"/>
          <w:color w:val="000000" w:themeColor="text1"/>
          <w:sz w:val="24"/>
          <w:szCs w:val="24"/>
        </w:rPr>
        <w:t>(2)精废价差：10月20日，Mysteel精废价差882，扩张110。目前价差在合理价差1369之下。</w:t>
      </w:r>
    </w:p>
    <w:p w:rsidR="00E66C98" w:rsidRPr="00E66C98" w:rsidRDefault="00E66C98" w:rsidP="00E66C98">
      <w:pPr>
        <w:ind w:leftChars="300" w:left="630"/>
        <w:rPr>
          <w:rFonts w:ascii="楷体" w:eastAsia="楷体" w:hAnsi="楷体"/>
          <w:color w:val="000000" w:themeColor="text1"/>
          <w:sz w:val="24"/>
          <w:szCs w:val="24"/>
        </w:rPr>
      </w:pPr>
    </w:p>
    <w:p w:rsidR="00127803" w:rsidRPr="00127803" w:rsidRDefault="00E66C98" w:rsidP="00E66C98">
      <w:pPr>
        <w:ind w:leftChars="300" w:left="630"/>
        <w:rPr>
          <w:rFonts w:ascii="楷体" w:eastAsia="楷体" w:hAnsi="楷体"/>
          <w:color w:val="000000" w:themeColor="text1"/>
          <w:sz w:val="24"/>
          <w:szCs w:val="24"/>
        </w:rPr>
      </w:pPr>
      <w:r w:rsidRPr="00E66C98">
        <w:rPr>
          <w:rFonts w:ascii="楷体" w:eastAsia="楷体" w:hAnsi="楷体" w:hint="eastAsia"/>
          <w:color w:val="000000" w:themeColor="text1"/>
          <w:sz w:val="24"/>
          <w:szCs w:val="24"/>
        </w:rPr>
        <w:t>综述：当前整体宏观情绪仍偏空，美元高位运行，人民币偏弱，国内股市再次破位下行，市场信心不足。基本面，供需偏松，现货升水受抑， 铜价承压，但精废价差低位下，精铜替代消费明显，本周国内库存增量放缓，一定程度上给与价格支撑，但向上驱动仍需宏观层面助力。预计短期价格偏弱震荡，上下驱动均有限，波动区间参考65700-67000。继续关注价格下跌后的补库意愿</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1B0610" w:rsidRDefault="00CC3FFA" w:rsidP="001B0610">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48950132"/>
      <w:r>
        <w:rPr>
          <w:rFonts w:ascii="楷体" w:eastAsia="楷体" w:hAnsi="楷体" w:hint="eastAsia"/>
          <w:b/>
          <w:color w:val="000000" w:themeColor="text1"/>
          <w:sz w:val="24"/>
          <w:szCs w:val="24"/>
        </w:rPr>
        <w:t>铝：</w:t>
      </w:r>
      <w:bookmarkEnd w:id="27"/>
      <w:bookmarkEnd w:id="28"/>
      <w:r w:rsidR="00E66C98" w:rsidRPr="00E66C98">
        <w:rPr>
          <w:rFonts w:ascii="楷体" w:eastAsia="楷体" w:hAnsi="楷体" w:hint="eastAsia"/>
          <w:b/>
          <w:color w:val="000000" w:themeColor="text1"/>
          <w:sz w:val="24"/>
          <w:szCs w:val="24"/>
        </w:rPr>
        <w:t>铝是高产能低库存，下方价格仍有支撑</w:t>
      </w:r>
      <w:bookmarkEnd w:id="29"/>
    </w:p>
    <w:p w:rsidR="003F56A5" w:rsidRDefault="00E66C98" w:rsidP="00127803">
      <w:pPr>
        <w:ind w:leftChars="300" w:left="630"/>
        <w:rPr>
          <w:rFonts w:ascii="楷体" w:eastAsia="楷体" w:hAnsi="楷体"/>
          <w:color w:val="000000" w:themeColor="text1"/>
          <w:sz w:val="24"/>
          <w:szCs w:val="24"/>
        </w:rPr>
      </w:pPr>
      <w:r w:rsidRPr="00E66C98">
        <w:rPr>
          <w:rFonts w:ascii="楷体" w:eastAsia="楷体" w:hAnsi="楷体" w:hint="eastAsia"/>
          <w:color w:val="000000" w:themeColor="text1"/>
          <w:sz w:val="24"/>
          <w:szCs w:val="24"/>
        </w:rPr>
        <w:t>中东热战冲突热化，美国通胀回升导致联储加息预期升温，美国政府债务赤字高企，市场避险情绪走增，国内宏观情绪有政策托底维持向好趋势。电解铝运行产能开工稳定，产量依旧高产，上游有原料供应紧缺限制，伴随氧化铝及冶炼辅料价格走增，电解铝理论成本增加，铝价现货走弱，压缩冶炼端利润，但整体影响不大，铝锭库存小幅累增，绝对低库存现状无明显改善，下游铝棒、铝板带箔企业开工情况扰动，需求面有所修复表现强韧。金九银十叠加国家利多政策面支撑刺激需求表现强韧，供应高产能开工但库存累积程度不及预期，绝对低库存情况仍未改善，铝价仍有较强支撑</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48950133"/>
      <w:r>
        <w:rPr>
          <w:rFonts w:ascii="楷体" w:eastAsia="楷体" w:hAnsi="楷体" w:hint="eastAsia"/>
          <w:b/>
          <w:color w:val="000000" w:themeColor="text1"/>
          <w:sz w:val="24"/>
          <w:szCs w:val="24"/>
        </w:rPr>
        <w:t>锌：</w:t>
      </w:r>
      <w:r w:rsidR="0018678E" w:rsidRPr="0018678E">
        <w:rPr>
          <w:rFonts w:ascii="楷体" w:eastAsia="楷体" w:hAnsi="楷体" w:hint="eastAsia"/>
          <w:b/>
          <w:color w:val="000000" w:themeColor="text1"/>
          <w:sz w:val="24"/>
          <w:szCs w:val="24"/>
        </w:rPr>
        <w:t>锌价震荡盘整</w:t>
      </w:r>
      <w:bookmarkEnd w:id="30"/>
    </w:p>
    <w:p w:rsidR="003F56A5" w:rsidRDefault="0018678E" w:rsidP="000B0648">
      <w:pPr>
        <w:ind w:leftChars="300" w:left="630"/>
        <w:rPr>
          <w:rFonts w:ascii="楷体" w:eastAsia="楷体" w:hAnsi="楷体"/>
          <w:color w:val="000000" w:themeColor="text1"/>
          <w:sz w:val="24"/>
          <w:szCs w:val="24"/>
        </w:rPr>
      </w:pPr>
      <w:r w:rsidRPr="0018678E">
        <w:rPr>
          <w:rFonts w:ascii="楷体" w:eastAsia="楷体" w:hAnsi="楷体" w:hint="eastAsia"/>
          <w:color w:val="000000" w:themeColor="text1"/>
          <w:sz w:val="24"/>
          <w:szCs w:val="24"/>
        </w:rPr>
        <w:t>美联储加息预期走强，国际地缘政治冲突引发市场避险情绪，宏观情绪承压。基本面上看，海外锌矿供应走紧，国内锌矿产量下行，前期部分冶炼厂家检修影响生产，随着检修逐步进入尾声，在近期锌价高位带来的高利润刺激之下，冶炼厂积极开产，目前厂内在节前备库之后原料储备较为充足，短期生产暂不受到上游供应收紧制约，另外进口锌盈利窗口打开，有效刺激锌锭进口，整体来看供应依旧偏松，但下游需求表现较为疲软，镀锌开工表现平稳但无明显增量，氧化锌、锌合金开工偏弱，下游现货端交易清淡，目前海内外锌市库存依旧在低位，锌价仍有支撑，整体价格维持震荡运行</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48950134"/>
      <w:r>
        <w:rPr>
          <w:rFonts w:ascii="楷体" w:eastAsia="楷体" w:hAnsi="楷体" w:hint="eastAsia"/>
          <w:b/>
          <w:color w:val="000000" w:themeColor="text1"/>
          <w:sz w:val="24"/>
          <w:szCs w:val="24"/>
        </w:rPr>
        <w:t>镍：</w:t>
      </w:r>
      <w:r w:rsidR="00E66C98" w:rsidRPr="00E66C98">
        <w:rPr>
          <w:rFonts w:ascii="楷体" w:eastAsia="楷体" w:hAnsi="楷体" w:hint="eastAsia"/>
          <w:b/>
          <w:color w:val="000000" w:themeColor="text1"/>
          <w:sz w:val="24"/>
          <w:szCs w:val="24"/>
        </w:rPr>
        <w:t>或震荡偏弱运行，观望为主</w:t>
      </w:r>
      <w:bookmarkEnd w:id="31"/>
    </w:p>
    <w:p w:rsidR="003F56A5" w:rsidRDefault="00E66C98">
      <w:pPr>
        <w:ind w:leftChars="300" w:left="630"/>
        <w:rPr>
          <w:rFonts w:ascii="楷体" w:eastAsia="楷体" w:hAnsi="楷体"/>
          <w:color w:val="000000" w:themeColor="text1"/>
          <w:sz w:val="24"/>
          <w:szCs w:val="24"/>
        </w:rPr>
      </w:pPr>
      <w:r w:rsidRPr="00E66C98">
        <w:rPr>
          <w:rFonts w:ascii="楷体" w:eastAsia="楷体" w:hAnsi="楷体" w:hint="eastAsia"/>
          <w:color w:val="000000" w:themeColor="text1"/>
          <w:sz w:val="24"/>
          <w:szCs w:val="24"/>
        </w:rPr>
        <w:t>宏观氛围整体偏空，给镍价带来压制。美债收益率升至多年来高位，美元指数强势运行，美联储主席鲍威尔虽然暗示11月暂停加息，但是货币紧缩环境将继续持续以抑制通胀，施压大宗商品。巴以冲突进一步加剧，市场避险情绪升温，若波及更多中东国家，将推升原油价格。国内前三季度GDP同比增长5.2%，各经济数据整体表现回暖，对市场情绪提振作用有限。基本面来看，精炼镍的存量项目和新投产项目产量逐步释放，镍中长期显著过剩预期较明晰。镍需求方面整体偏弱，不锈钢厂陆续减产，对镍消费形成拖累；新能源汽车对镍的消费维持疲软；合金和电镀对镍存在一定程度的刚性需求。全球精炼镍显性库存维持累库趋势，近期沪镍库存达到两年来高位。综合而言，镍的供需矛盾凸显，在基本面偏弱的格局下，镍价中长期将延续下行趋势。但由于库存仍处于历史低位，且硫酸镍和中间品价格短期内预计坚挺，镍价在连续下跌后估值偏低，短期内继续深跌的动能不足，或小幅反弹修复后震荡偏弱运行。操作上不建议追空，暂时观望为主</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48950135"/>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DB4E25" w:rsidRPr="00DB4E25">
        <w:rPr>
          <w:rFonts w:ascii="楷体" w:eastAsia="楷体" w:hAnsi="楷体" w:hint="eastAsia"/>
          <w:b/>
          <w:color w:val="000000" w:themeColor="text1"/>
          <w:sz w:val="24"/>
          <w:szCs w:val="24"/>
        </w:rPr>
        <w:t>铝价上方压力仍存</w:t>
      </w:r>
      <w:bookmarkEnd w:id="32"/>
    </w:p>
    <w:p w:rsidR="008B13D2" w:rsidRPr="008B13D2" w:rsidRDefault="00DB4E25" w:rsidP="008B13D2">
      <w:pPr>
        <w:ind w:leftChars="300" w:left="630"/>
        <w:rPr>
          <w:rFonts w:ascii="楷体" w:eastAsia="楷体" w:hAnsi="楷体"/>
          <w:color w:val="000000" w:themeColor="text1"/>
          <w:sz w:val="24"/>
          <w:szCs w:val="24"/>
        </w:rPr>
      </w:pPr>
      <w:r w:rsidRPr="00DB4E25">
        <w:rPr>
          <w:rFonts w:ascii="楷体" w:eastAsia="楷体" w:hAnsi="楷体" w:hint="eastAsia"/>
          <w:color w:val="000000" w:themeColor="text1"/>
          <w:sz w:val="24"/>
          <w:szCs w:val="24"/>
        </w:rPr>
        <w:t>巴以冲突加剧，原油价格暴涨，市场对联储加息预期走强，带动大宗整体情绪偏弱。国内电解铝运行产能高位，但复产产能多为铝水，铝棒加工费持续下行，铝棒库存被动去库，反映出铝合金下游需求偏弱。LME铝锭库存假期间出现累库迹象，国内铝市交易所库存及社库较大幅度累库，铝锭市场供应偏紧，近期铝锭进口利润窗口打开，国内原铝进口同比增长。“金九银十”旺季之下，旺季消费效应不显，订单增幅不及预期，铝价高位抑制下游采购意愿，下游企业开工率略有修复但不及预期。整体上看，国内铝锭市场供应偏紧但有进口增量补充，目前电解铝生产产能高位，铝水转化率或因铸锭量偏少的情况作出下调动作，需求维持弱修复，铝价在强供应、弱消费的现实之下，价格上行驱动有限，节日前多次尝试突破箱体运行区间上沿无果，假期海外市场情绪偏弱，预计铝价节后将重回震荡区间中枢附近，约计在18500-19000之间</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48950136"/>
      <w:r>
        <w:rPr>
          <w:rFonts w:ascii="楷体" w:eastAsia="楷体" w:hAnsi="楷体" w:hint="eastAsia"/>
          <w:b/>
          <w:color w:val="000000" w:themeColor="text1"/>
          <w:sz w:val="24"/>
          <w:szCs w:val="24"/>
        </w:rPr>
        <w:t>不锈钢：</w:t>
      </w:r>
      <w:r w:rsidR="0018678E" w:rsidRPr="0018678E">
        <w:rPr>
          <w:rFonts w:ascii="楷体" w:eastAsia="楷体" w:hAnsi="楷体" w:hint="eastAsia"/>
          <w:b/>
          <w:color w:val="000000" w:themeColor="text1"/>
          <w:sz w:val="24"/>
          <w:szCs w:val="24"/>
        </w:rPr>
        <w:t>供需双弱态势下，不锈钢承压运行</w:t>
      </w:r>
      <w:bookmarkEnd w:id="33"/>
    </w:p>
    <w:p w:rsidR="003F56A5" w:rsidRDefault="00E66C98">
      <w:pPr>
        <w:ind w:leftChars="300" w:left="630"/>
        <w:rPr>
          <w:rFonts w:ascii="楷体" w:eastAsia="楷体" w:hAnsi="楷体"/>
          <w:color w:val="000000" w:themeColor="text1"/>
          <w:sz w:val="24"/>
          <w:szCs w:val="24"/>
        </w:rPr>
      </w:pPr>
      <w:r w:rsidRPr="00E66C98">
        <w:rPr>
          <w:rFonts w:ascii="楷体" w:eastAsia="楷体" w:hAnsi="楷体" w:hint="eastAsia"/>
          <w:color w:val="000000" w:themeColor="text1"/>
          <w:sz w:val="24"/>
          <w:szCs w:val="24"/>
        </w:rPr>
        <w:t>成本端，下游镍铁亏损严重，对镍矿采购意愿不佳，近期镍矿价格偏弱，但在四季度供应偏紧局势下，镍矿价格预计持稳。国内镍铁厂的生产成本较高，同时下游需求疲弱对镍铁价格存在挤压，叠加印尼镍铁的回流压力，预计镍铁价格偏弱运行。供需端，钢厂在8月和9月的排产较高，但是不锈钢旺季不旺，且在矿端政策扰动期间冶炼成本高企，冶炼利润不断收窄，钢厂陆续开始宣布减产计划，10月和11月产量将有较大幅度的下降。需求端，海外需求表现疲弱，国内房地产等传统消费复苏较慢，需求短期内难有较大起色，市场持不锈钢后市持较悲观态度。库存方面，由于钢厂发货节奏放缓，且下游成交氛围略有好转，不锈钢社库近两周连续去库。综合来看，宏观利空情绪及需求不振因素给不锈钢价带来明显压制，但减产因素给不锈钢价带来支撑，不锈钢上下空间皆有限，预计震荡偏弱为主。关注社库变化及实际减产情况</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48950137"/>
      <w:r>
        <w:rPr>
          <w:rFonts w:ascii="楷体" w:eastAsia="楷体" w:hAnsi="楷体" w:hint="eastAsia"/>
          <w:b/>
          <w:color w:val="000000" w:themeColor="text1"/>
          <w:sz w:val="24"/>
          <w:szCs w:val="24"/>
        </w:rPr>
        <w:t>工业硅：</w:t>
      </w:r>
      <w:r w:rsidR="00E66C98" w:rsidRPr="00E66C98">
        <w:rPr>
          <w:rFonts w:ascii="楷体" w:eastAsia="楷体" w:hAnsi="楷体" w:hint="eastAsia"/>
          <w:b/>
          <w:sz w:val="24"/>
          <w:szCs w:val="24"/>
        </w:rPr>
        <w:t>多空博弈加剧，市场或震荡运行</w:t>
      </w:r>
      <w:bookmarkEnd w:id="34"/>
    </w:p>
    <w:p w:rsidR="003F56A5" w:rsidRDefault="00E66C98" w:rsidP="00827E8A">
      <w:pPr>
        <w:ind w:leftChars="300" w:left="630"/>
        <w:rPr>
          <w:rFonts w:ascii="楷体" w:eastAsia="楷体" w:hAnsi="楷体"/>
          <w:sz w:val="24"/>
          <w:szCs w:val="24"/>
        </w:rPr>
      </w:pPr>
      <w:r w:rsidRPr="00E66C98">
        <w:rPr>
          <w:rFonts w:ascii="楷体" w:eastAsia="楷体" w:hAnsi="楷体" w:hint="eastAsia"/>
          <w:sz w:val="24"/>
          <w:szCs w:val="24"/>
        </w:rPr>
        <w:t>10月20日，Si2312主力合约呈冲高回落走势，收盘价14445元/吨，较上一收盘价涨跌幅-0.34%。当前下游需求改善预期仍存，同时枯水期成本抬升预期较为确定，市场或仍有一定支撑。但仓单总量仍处于高位， 尤其即将到期仓单数量依旧较多，随着距离11月底集中注销越来越近，对于盘面反弹存在压制作用。整体来看，市场多空博弈加剧，阶段性或进入震荡行情。策略上，以波段操作为主，主力合约Si2312参考区间（14400，14800）</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4895013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E66C98" w:rsidRDefault="00CC3FFA" w:rsidP="00E66C98">
      <w:pPr>
        <w:ind w:firstLineChars="200" w:firstLine="482"/>
        <w:outlineLvl w:val="1"/>
        <w:rPr>
          <w:rFonts w:ascii="楷体" w:eastAsia="楷体" w:hAnsi="楷体"/>
          <w:b/>
          <w:sz w:val="24"/>
          <w:szCs w:val="24"/>
        </w:rPr>
      </w:pPr>
      <w:bookmarkStart w:id="37" w:name="_Toc148950139"/>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E66C98" w:rsidRPr="00E66C98">
        <w:rPr>
          <w:rFonts w:ascii="楷体" w:eastAsia="楷体" w:hAnsi="楷体" w:hint="eastAsia"/>
          <w:b/>
          <w:sz w:val="24"/>
          <w:szCs w:val="24"/>
        </w:rPr>
        <w:t>市场做多热情有所减弱。天胶仍有回调预期</w:t>
      </w:r>
      <w:bookmarkEnd w:id="37"/>
    </w:p>
    <w:p w:rsidR="003F56A5" w:rsidRDefault="00E66C98">
      <w:pPr>
        <w:ind w:leftChars="300" w:left="630"/>
        <w:rPr>
          <w:rFonts w:ascii="楷体" w:eastAsia="楷体" w:hAnsi="楷体"/>
          <w:sz w:val="24"/>
          <w:szCs w:val="24"/>
        </w:rPr>
      </w:pPr>
      <w:r w:rsidRPr="00E66C98">
        <w:rPr>
          <w:rFonts w:ascii="楷体" w:eastAsia="楷体" w:hAnsi="楷体" w:hint="eastAsia"/>
          <w:sz w:val="24"/>
          <w:szCs w:val="24"/>
        </w:rPr>
        <w:t>点评：近期天然橡胶高位回调，市场做多情绪明显减弱。供应方面，东南亚主产区降雨天气缓解，原料产出持续上量，原料收购价格存下降预期，供应端利好削弱。库存方面，国内天然橡胶库存虽仍在去库，但去库幅度偏缓，下游工厂对原材料高价抵触心理。需求端来看，下游轮胎企业开工率高位维持，假期放假天数较去年明显缩减。半钢胎略好于全钢胎，国内稳经济政策将有利于轮胎替换及配套需求的改善。节后工厂开工处于恢复提升状态，对原材料补库积极性提高，提振天胶市场。终端汽车方面，9月数据同环比继续走强，创过去十年同期历史新高，十月汽车消费旺季再度来临下汽车市场景气度高。整体看，近期基本面转好幅度有所减弱，在新的利好支撑出现前，橡胶谨防高位回落风险</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48950140"/>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BF4417" w:rsidRPr="00BF4417">
        <w:rPr>
          <w:rFonts w:ascii="Calibri" w:eastAsia="楷体" w:hAnsi="Calibri" w:cs="Calibri"/>
          <w:b/>
          <w:color w:val="000000" w:themeColor="text1"/>
          <w:sz w:val="24"/>
          <w:szCs w:val="24"/>
        </w:rPr>
        <w:t> </w:t>
      </w:r>
      <w:r w:rsidR="00E66C98" w:rsidRPr="00E66C98">
        <w:rPr>
          <w:rFonts w:ascii="楷体" w:eastAsia="楷体" w:hAnsi="楷体" w:hint="eastAsia"/>
          <w:b/>
          <w:color w:val="000000" w:themeColor="text1"/>
          <w:sz w:val="24"/>
          <w:szCs w:val="24"/>
        </w:rPr>
        <w:t>供需矛盾暂时缓解 但向上驱动仍不足</w:t>
      </w:r>
      <w:bookmarkEnd w:id="38"/>
      <w:r w:rsidR="00DF164D" w:rsidRPr="00DF164D">
        <w:rPr>
          <w:rFonts w:ascii="楷体" w:eastAsia="楷体" w:hAnsi="楷体" w:hint="eastAsia"/>
          <w:b/>
          <w:color w:val="000000" w:themeColor="text1"/>
          <w:sz w:val="24"/>
          <w:szCs w:val="24"/>
        </w:rPr>
        <w:t xml:space="preserve"> </w:t>
      </w:r>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E66C98" w:rsidP="002C73FE">
      <w:pPr>
        <w:ind w:leftChars="300" w:left="630"/>
        <w:rPr>
          <w:rFonts w:ascii="楷体" w:eastAsia="楷体" w:hAnsi="楷体"/>
          <w:color w:val="000000" w:themeColor="text1"/>
          <w:sz w:val="24"/>
          <w:szCs w:val="24"/>
        </w:rPr>
      </w:pPr>
      <w:r w:rsidRPr="00E66C98">
        <w:rPr>
          <w:rFonts w:ascii="楷体" w:eastAsia="楷体" w:hAnsi="楷体" w:hint="eastAsia"/>
          <w:color w:val="000000" w:themeColor="text1"/>
          <w:sz w:val="24"/>
          <w:szCs w:val="24"/>
        </w:rPr>
        <w:t>原油方面，当前原油盘面的核心矛盾在巴以局势上，情绪溢价较多，侧重留意宏观及供需转弱的风险。PX方面，盛虹石化400万吨及广东石化260万吨装置预计近日提负，海外10-11月装置重启较多，PX供应充足卖盘旺盛。随着调油需求走弱，歧化装置开工率有望进一步提升，近期PX N仍将偏弱运行。PTA供应方面，新材料360万吨装置重启，英力士110万吨停车检修，其他个别装置恢复，至10.19 PTA负荷调整至77%（+2.3%)。本周随着萧山两家聚酯装置的恢复，聚酯负荷整体有所回升，其他装置暂未听闻变动计划。综合来看，10.19初步核算国内大陆地区聚酯负荷在90.5%，环比小幅提升。终端开工率尚可但涤纶长丝库存节后累库节奏较快，随着聚酯原料价格走低，工厂出货意愿较大。展望后市，近期巴以冲突升级，油价短期将偏强运行。10月PTA装置检修计划较多，供需矛盾暂时缓解，PTA或会企稳但不看太高。随着11月份新产能投放供应回归及需求季节性走弱预期，供需承压。一旦PTA成本端趋势偏弱叠加供增需减预期，PTA仍存高位回落风险。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48950141"/>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9"/>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w:t>
      </w:r>
      <w:r w:rsidRPr="00E34EAB">
        <w:rPr>
          <w:rFonts w:ascii="楷体" w:eastAsia="楷体" w:hAnsi="楷体" w:hint="eastAsia"/>
          <w:color w:val="000000" w:themeColor="text1"/>
          <w:sz w:val="24"/>
          <w:szCs w:val="24"/>
        </w:rPr>
        <w:lastRenderedPageBreak/>
        <w:t>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DF164D" w:rsidRDefault="00CC3FFA" w:rsidP="00DF164D">
      <w:pPr>
        <w:ind w:leftChars="200" w:left="420"/>
        <w:outlineLvl w:val="1"/>
        <w:rPr>
          <w:rFonts w:ascii="楷体" w:eastAsia="楷体" w:hAnsi="楷体"/>
          <w:b/>
          <w:color w:val="000000" w:themeColor="text1"/>
          <w:sz w:val="24"/>
          <w:szCs w:val="24"/>
        </w:rPr>
      </w:pPr>
      <w:bookmarkStart w:id="40" w:name="_Toc148950142"/>
      <w:r>
        <w:rPr>
          <w:rFonts w:ascii="楷体" w:eastAsia="楷体" w:hAnsi="楷体" w:hint="eastAsia"/>
          <w:b/>
          <w:color w:val="000000" w:themeColor="text1"/>
          <w:sz w:val="24"/>
          <w:szCs w:val="24"/>
        </w:rPr>
        <w:t>聚烯烃：</w:t>
      </w:r>
      <w:r w:rsidR="00E66C98" w:rsidRPr="00E66C98">
        <w:rPr>
          <w:rFonts w:ascii="楷体" w:eastAsia="楷体" w:hAnsi="楷体" w:hint="eastAsia"/>
          <w:b/>
          <w:color w:val="000000" w:themeColor="text1"/>
          <w:sz w:val="24"/>
          <w:szCs w:val="24"/>
        </w:rPr>
        <w:t>市场缺乏利好提振 聚烯烃偏弱整理为主</w:t>
      </w:r>
      <w:bookmarkEnd w:id="40"/>
    </w:p>
    <w:p w:rsidR="003F56A5" w:rsidRDefault="00E66C98">
      <w:pPr>
        <w:ind w:leftChars="300" w:left="630"/>
        <w:rPr>
          <w:rFonts w:ascii="楷体" w:eastAsia="楷体" w:hAnsi="楷体"/>
          <w:bCs/>
          <w:sz w:val="24"/>
          <w:szCs w:val="24"/>
        </w:rPr>
      </w:pPr>
      <w:r w:rsidRPr="00E66C98">
        <w:rPr>
          <w:rFonts w:ascii="楷体" w:eastAsia="楷体" w:hAnsi="楷体" w:hint="eastAsia"/>
          <w:color w:val="000000" w:themeColor="text1"/>
          <w:sz w:val="24"/>
          <w:szCs w:val="24"/>
        </w:rPr>
        <w:t>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中东局势依然紧张，国际油价盘中继续上涨，然而哈马斯从加沙释放了两名美国人质后，原油市场部分风险溢价降低，欧美原油期货小幅收低。需求方面，PE下游方面，农膜整体需求平平，工厂生产清淡。棚膜工厂多停机检修；PP下游方面，BOPP市场成交刚需有量，整体量较上一交易日增加，BOPP企业未交付订单多数在一周以内，个别可至八月中。综合来看，PE方面，成本端，煤炭价格维持窄幅震荡；需求端，本周PE下游各行业整体开工率预计+0.88%，受电商节带动，终端提前下单采购。综上所述，预计今日PE价格或维持窄幅震荡为主。PP方面，新增产能陆续释放，市场供应压力增大。假期生产商累库，两油库存下降缓慢。成本端支撑减弱极大打压市场积极性。下游新增订单不足，成交气氛一般。预计今日聚丙烯市场延续走跌</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1" w:name="_Toc148950143"/>
      <w:r>
        <w:rPr>
          <w:rFonts w:ascii="楷体" w:eastAsia="楷体" w:hAnsi="楷体" w:hint="eastAsia"/>
          <w:b/>
          <w:color w:val="000000" w:themeColor="text1"/>
          <w:sz w:val="24"/>
          <w:szCs w:val="24"/>
        </w:rPr>
        <w:t>MEG：</w:t>
      </w:r>
      <w:r w:rsidR="00E66C98" w:rsidRPr="00E66C98">
        <w:rPr>
          <w:rFonts w:ascii="楷体" w:eastAsia="楷体" w:hAnsi="楷体" w:hint="eastAsia"/>
          <w:b/>
          <w:color w:val="000000" w:themeColor="text1"/>
          <w:sz w:val="24"/>
          <w:szCs w:val="24"/>
        </w:rPr>
        <w:t>具备低多价值</w:t>
      </w:r>
      <w:bookmarkEnd w:id="41"/>
    </w:p>
    <w:p w:rsidR="003F56A5" w:rsidRDefault="00E66C98" w:rsidP="00152664">
      <w:pPr>
        <w:ind w:leftChars="300" w:left="630"/>
        <w:rPr>
          <w:rFonts w:ascii="楷体" w:eastAsia="楷体" w:hAnsi="楷体"/>
          <w:color w:val="000000" w:themeColor="text1"/>
          <w:sz w:val="24"/>
          <w:szCs w:val="24"/>
        </w:rPr>
      </w:pPr>
      <w:r w:rsidRPr="00E66C98">
        <w:rPr>
          <w:rFonts w:ascii="楷体" w:eastAsia="楷体" w:hAnsi="楷体" w:hint="eastAsia"/>
          <w:color w:val="000000" w:themeColor="text1"/>
          <w:sz w:val="24"/>
          <w:szCs w:val="24"/>
        </w:rPr>
        <w:t>供需情况，10.16华东主港地区MEG港口库存约118.5万吨附近，环比上期增加1.1万吨。截至10月19日，中国大陆地区乙二醇整体开工负荷在58.18%（-4.57%），其中煤制乙二醇开工负荷在60.98%（-2.86%）。镇海炼化（65）预计停车2周左右、古雷石化（70）7-8成运行、中海壳牌（40）停车计划2个月、三江石化（100）临时停车，存量装置开工率将进一步下滑。截至10月19日，国内大陆地区聚酯负荷在90.5%，环比小幅提升。终端来看，节后江浙加弹综合开工已回升至86%（+2%），江浙织机综合开工提升至80%，江浙印染综合开工小幅下滑至82%，随着原料价格走弱及节后库存累积，涤纶近期出货意愿较强。综合来看，部分装置落实检修，近期供给端开工率大幅下滑。进口方面预估10月进口量在55万吨左右，10月有望实现小幅去库。四季度新投产装置推迟，后续存量供应收缩及聚酯开工回升，或维持动态平衡的节奏，暂维持4000-4500区间操作思路。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48950144"/>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E66C98" w:rsidRPr="00E66C98">
        <w:rPr>
          <w:rFonts w:ascii="楷体" w:eastAsia="楷体" w:hAnsi="楷体" w:hint="eastAsia"/>
          <w:b/>
          <w:color w:val="000000" w:themeColor="text1"/>
          <w:sz w:val="24"/>
          <w:szCs w:val="24"/>
        </w:rPr>
        <w:t>供需弱平衡，震荡行情</w:t>
      </w:r>
      <w:bookmarkEnd w:id="42"/>
    </w:p>
    <w:p w:rsidR="00A71A7E" w:rsidRDefault="00E66C98" w:rsidP="001F79C6">
      <w:pPr>
        <w:ind w:leftChars="300" w:left="630"/>
        <w:rPr>
          <w:rFonts w:ascii="楷体" w:eastAsia="楷体" w:hAnsi="楷体"/>
          <w:color w:val="000000" w:themeColor="text1"/>
          <w:sz w:val="24"/>
          <w:szCs w:val="24"/>
        </w:rPr>
      </w:pPr>
      <w:r w:rsidRPr="00E66C98">
        <w:rPr>
          <w:rFonts w:ascii="楷体" w:eastAsia="楷体" w:hAnsi="楷体" w:hint="eastAsia"/>
          <w:color w:val="000000" w:themeColor="text1"/>
          <w:sz w:val="24"/>
          <w:szCs w:val="24"/>
        </w:rPr>
        <w:t>玻璃国庆假期小幅补库后，产销边际回落，目前供需基本平衡。长假期间</w:t>
      </w:r>
      <w:r w:rsidRPr="00E66C98">
        <w:rPr>
          <w:rFonts w:ascii="楷体" w:eastAsia="楷体" w:hAnsi="楷体" w:hint="eastAsia"/>
          <w:color w:val="000000" w:themeColor="text1"/>
          <w:sz w:val="24"/>
          <w:szCs w:val="24"/>
        </w:rPr>
        <w:lastRenderedPageBreak/>
        <w:t>沙河贸易商库存不高，适量补库，华东和华南适量补库后，目前尚待消化，华北和华中主产区产销走弱，原片企业多优惠出库。供给端，前期点火产线出成品，周产量提升，但需求不温不火，若持续维持高产量，旺季后供大于求可能性较大，产业有出清落后产能的需求，已有企业部分产线开始冷修；需求上，中下游加工厂需求尚可，随采随用。成本端，煤价格和纯碱价格周内松动，对玻璃期价有一定利空影响。盘面短期继续随产销节奏和宏观情绪延续震荡，区间震荡（1600，1800），重点关注1.成本端煤价和纯碱价格回落速度，2.年底保交楼需求进度</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3" w:name="_Toc148950145"/>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E66C98" w:rsidRPr="00E66C98">
        <w:rPr>
          <w:rFonts w:ascii="楷体" w:eastAsia="楷体" w:hAnsi="楷体" w:hint="eastAsia"/>
          <w:b/>
          <w:color w:val="000000" w:themeColor="text1"/>
          <w:sz w:val="24"/>
          <w:szCs w:val="24"/>
        </w:rPr>
        <w:t>现货加速下跌，震荡偏空</w:t>
      </w:r>
      <w:bookmarkEnd w:id="43"/>
    </w:p>
    <w:p w:rsidR="00A71A7E" w:rsidRDefault="00E66C98" w:rsidP="00A71A7E">
      <w:pPr>
        <w:ind w:leftChars="300" w:left="630"/>
        <w:rPr>
          <w:rFonts w:ascii="楷体" w:eastAsia="楷体" w:hAnsi="楷体"/>
          <w:bCs/>
          <w:sz w:val="24"/>
          <w:szCs w:val="24"/>
        </w:rPr>
      </w:pPr>
      <w:r w:rsidRPr="00E66C98">
        <w:rPr>
          <w:rFonts w:ascii="楷体" w:eastAsia="楷体" w:hAnsi="楷体" w:hint="eastAsia"/>
          <w:color w:val="000000" w:themeColor="text1"/>
          <w:sz w:val="24"/>
          <w:szCs w:val="24"/>
        </w:rPr>
        <w:t>当前纯碱现货价格加速下跌，产量快速提升，累库加速。长假以后，供给上，远兴一、二线接近满产，三线月中已点火，金山五期产量提升至300-4000吨/天检修产线基本恢复，总产量快速抬升。需求上，下游终端玻璃厂部分8-9月预订的进口纯碱到港，现货价格加速下行。盘面上近月11月合约任由较大基差，走交割逻辑跟随现货波动。远月01合约由于供给到年底宽松较为确定，高基差与过剩预期博弈，短期现货跌至氨碱法成本附近有支撑，但近期若现货出现抢跑，远月仍以做空为主，建议反弹沿（1650，1750）震荡区间上沿布局空单</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4" w:name="_Toc14895014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4"/>
    </w:p>
    <w:p w:rsidR="003F56A5" w:rsidRDefault="00147B03">
      <w:pPr>
        <w:ind w:leftChars="200" w:left="420"/>
        <w:outlineLvl w:val="1"/>
        <w:rPr>
          <w:rFonts w:ascii="楷体" w:eastAsia="楷体" w:hAnsi="楷体"/>
          <w:b/>
          <w:sz w:val="24"/>
          <w:szCs w:val="24"/>
        </w:rPr>
      </w:pPr>
      <w:bookmarkStart w:id="45" w:name="_Toc148950147"/>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E66C98" w:rsidRPr="00E66C98">
        <w:rPr>
          <w:rFonts w:ascii="楷体" w:eastAsia="楷体" w:hAnsi="楷体" w:hint="eastAsia"/>
          <w:b/>
          <w:sz w:val="24"/>
          <w:szCs w:val="24"/>
        </w:rPr>
        <w:t>两粕震荡调整</w:t>
      </w:r>
      <w:bookmarkEnd w:id="45"/>
    </w:p>
    <w:p w:rsidR="003F56A5" w:rsidRDefault="00E66C98">
      <w:pPr>
        <w:ind w:leftChars="300" w:left="630"/>
        <w:rPr>
          <w:rFonts w:ascii="楷体" w:eastAsia="楷体" w:hAnsi="楷体"/>
          <w:sz w:val="24"/>
          <w:szCs w:val="24"/>
        </w:rPr>
      </w:pPr>
      <w:r w:rsidRPr="00E66C98">
        <w:rPr>
          <w:rFonts w:ascii="楷体" w:eastAsia="楷体" w:hAnsi="楷体" w:hint="eastAsia"/>
          <w:sz w:val="24"/>
          <w:szCs w:val="24"/>
        </w:rPr>
        <w:t>CBOT大豆在交易商获利了结下，高位回落，下探1300一线。虽美豆新季平衡表偏紧，现阶段对盘面影响有限，美豆当前出口及国内压榨改善，但仍面临着巴西大豆的出口竞争，当前收割快速推进阶段性卖压仍存，CBOT大豆价格预计上方空间有限。后续关注巴西大豆播种情况及美豆出口，南美当前仍维持丰产预期。国内现货基差继续承压，市场成交情况未见显著好转。供应端在9-10月份大豆阶段性到港减少下，当前油厂大豆库存维持偏低水平，随着节后油厂开机恢复，豆粕产出预计稳中缓增，油厂豆粕库存高于去年同期值为66.3万吨，当前沿海主流油厂豆粕现货报价小幅下调至4190-4360元/吨。9月份进口大豆到港量为715万吨，环比减23.6%，11-12月预计会增至月均1000万吨的到港，但对美豆新作整体买船偏慢，仍要关注后续大豆是否会有延迟到港情况。需求，下游生猪养殖利润不佳，但在能繁存栏高位下，下游维持刚需补库，随着近期现货基差走低企稳，下游成交有所好转，带动库存小幅去化。菜粕存供需改善预期，随着6月份后菜籽到港减少，油厂压榨也在逐步下滑，但四季度随着菜籽进口增加，菜粕供应预计转宽。而需求方面，随着水产消费旺季的结束，菜粕刚需减少，主要关注豆菜粕价差较大下带来的替代需求。策略方面，远月压力仍存，短期近月供应仍存在担忧，可关注豆粕1-5正套机会</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6" w:name="_Toc148950148"/>
      <w:r>
        <w:rPr>
          <w:rFonts w:ascii="楷体" w:eastAsia="楷体" w:hAnsi="楷体" w:hint="eastAsia"/>
          <w:b/>
          <w:color w:val="000000" w:themeColor="text1"/>
          <w:sz w:val="24"/>
          <w:szCs w:val="24"/>
        </w:rPr>
        <w:t>油脂：</w:t>
      </w:r>
      <w:r w:rsidR="00E66C98" w:rsidRPr="00E66C98">
        <w:rPr>
          <w:rFonts w:ascii="楷体" w:eastAsia="楷体" w:hAnsi="楷体" w:hint="eastAsia"/>
          <w:b/>
          <w:sz w:val="24"/>
          <w:szCs w:val="24"/>
        </w:rPr>
        <w:t>短期缺乏驱动，宽幅震荡</w:t>
      </w:r>
      <w:bookmarkEnd w:id="46"/>
    </w:p>
    <w:p w:rsidR="003F56A5" w:rsidRDefault="00E66C98" w:rsidP="00792D31">
      <w:pPr>
        <w:ind w:leftChars="300" w:left="630"/>
        <w:rPr>
          <w:rFonts w:ascii="楷体" w:eastAsia="楷体" w:hAnsi="楷体"/>
          <w:sz w:val="24"/>
          <w:szCs w:val="24"/>
        </w:rPr>
      </w:pPr>
      <w:r w:rsidRPr="00E66C98">
        <w:rPr>
          <w:rFonts w:ascii="楷体" w:eastAsia="楷体" w:hAnsi="楷体" w:hint="eastAsia"/>
          <w:sz w:val="24"/>
          <w:szCs w:val="24"/>
        </w:rPr>
        <w:t>虽外部地缘冲突加剧国际原油走强，提振国际植物油生柴掺混消费，油脂下方获支撑，但价格上方仍受基本面压制。棕榈油，产地季节性增产周期</w:t>
      </w:r>
      <w:r w:rsidRPr="00E66C98">
        <w:rPr>
          <w:rFonts w:ascii="楷体" w:eastAsia="楷体" w:hAnsi="楷体" w:hint="eastAsia"/>
          <w:sz w:val="24"/>
          <w:szCs w:val="24"/>
        </w:rPr>
        <w:lastRenderedPageBreak/>
        <w:t>下10月存继续累库预期，印尼棕榈油7月份因产量增幅不及需求增幅，库存继续下降。而马棕9月库存增至新高，基本符合市场预期。产量9月环比增长4.33%至183万吨；出口量则下降至120万吨；9月库存环比增长9.6%至231万吨；但11月将进入产地季节性减产阶段，关注厄尔尼诺对产量的影响，为中长期潜在利多因素。国内棕榈油7-8月份进口到港维持高位，在买船积极下，供应端稳增，最新商业库存为80.91万吨。需求端，随着各地气温下降，棕榈油逐步进入消费淡季，掺混需求预计减少，棕榈油10月份预计表现偏弱。豆油库存去化仍需看需求增量。国内受9-10月大豆到港减少大豆库存偏低，虽油厂开机陆续恢复，但整体压榨水平中性偏低，豆油供应缓增。需求端，节后终端存在补库需求，且四季度为豆油消费旺季，部分掺混需求预计转向豆油，但当前价格优势并不明显，限制替代需求。菜油短期供应压力减轻，但四季度存供应宽松预期。当前主产地菜籽新作产量不确定性仍存，但当前加籽收割基本结束，集中上市压力也抑制期价走势。虽8-9月份进口加籽到港量减少，菜籽开机及压榨水平偏低，但整体仍高于去年同期，8月菜籽进口39.6万吨，环比增167%，且四季度菜籽进口将增加。需求方面，与豆油价差持续收窄，库存去化仍需看到替代需求出现。短期油脂维持宽幅震荡，上行驱动不足，建议在60日均线附近高空或关注豆棕套利低多机会；后续关注天气及需求表现，中长期维持谨慎看多观点</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7" w:name="_Toc148950149"/>
      <w:r>
        <w:rPr>
          <w:rFonts w:ascii="楷体" w:eastAsia="楷体" w:hAnsi="楷体" w:hint="eastAsia"/>
          <w:b/>
          <w:bCs/>
          <w:color w:val="000000" w:themeColor="text1"/>
        </w:rPr>
        <w:t>玉米与淀粉：</w:t>
      </w:r>
      <w:r w:rsidR="00E66C98" w:rsidRPr="00E66C98">
        <w:rPr>
          <w:rFonts w:ascii="楷体" w:eastAsia="楷体" w:hAnsi="楷体" w:hint="eastAsia"/>
          <w:b/>
        </w:rPr>
        <w:t>继续等待新作压力释放</w:t>
      </w:r>
      <w:bookmarkEnd w:id="47"/>
    </w:p>
    <w:p w:rsidR="00E66C98" w:rsidRPr="00E66C98" w:rsidRDefault="00E66C98" w:rsidP="00E66C98">
      <w:pPr>
        <w:pStyle w:val="paragraph"/>
        <w:spacing w:before="60" w:after="60"/>
        <w:ind w:leftChars="300" w:left="630"/>
        <w:rPr>
          <w:rFonts w:ascii="楷体" w:eastAsia="楷体" w:hAnsi="楷体" w:hint="eastAsia"/>
        </w:rPr>
      </w:pPr>
      <w:r w:rsidRPr="00E66C98">
        <w:rPr>
          <w:rFonts w:ascii="楷体" w:eastAsia="楷体" w:hAnsi="楷体" w:hint="eastAsia"/>
        </w:rPr>
        <w:t>对于玉米而言，在期价持续回落过程中，期现货结构转为现货升水11月，11月升水1月，但之后各合约转为远月小幅升水。这一期期现结构反映两个问题，其一是当前市场担心在于新作压力，其二是市场对于新作供需预期依然紧张，这意味着市场在等待新作压力释放后的低点再行入场，基于年度产需缺口进入补库存阶段。基于这样的理解，接下来需要关注三个层面，其一是期价下方的空间，其二是后期上涨驱动因素，其三是新作上市压力释放到主动补库存的转折时点。在我们看来，当前期价已经具备安全边际，且有市场渠道库存偏低和小麦现货上涨两个潜在上涨驱动因素，但目前尚不确定新作压力释放向主动补库存的转折时点。综上所述，我们维持谨慎看多观点，建议谨慎投资者观望，激进投资者择机做多，或持有前期多单。</w:t>
      </w:r>
    </w:p>
    <w:p w:rsidR="003F56A5" w:rsidRDefault="00E66C98" w:rsidP="00E66C98">
      <w:pPr>
        <w:pStyle w:val="paragraph"/>
        <w:spacing w:before="60" w:beforeAutospacing="0" w:after="60" w:afterAutospacing="0"/>
        <w:ind w:leftChars="300" w:left="630"/>
        <w:rPr>
          <w:rFonts w:ascii="楷体" w:eastAsia="楷体" w:hAnsi="楷体"/>
        </w:rPr>
      </w:pPr>
      <w:r w:rsidRPr="00E66C98">
        <w:rPr>
          <w:rFonts w:ascii="楷体" w:eastAsia="楷体" w:hAnsi="楷体" w:hint="eastAsia"/>
        </w:rPr>
        <w:t>对于淀粉而言，近期淀粉-玉米价差整体收窄，主要源于原料成本端的担忧，但行业供需端和副产品端相对利多，特别是副产品价格持续下跌影响相对较大，主要逻辑有二，其一是通过现货生产利润影响行业开机率，即通过供应端影响行业供需；其二是通过现货生产利润影响现货价格，继而通过基差影响盘面期价，因当前基差处于历史同期高位。在这种情况下，考虑到副产品、行业供需和现货基差三个方面因素，结合前面对玉米原料端的分析，我们倾向于后期淀粉-玉米价差有望再度走扩</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8" w:name="_Toc148950150"/>
      <w:r>
        <w:rPr>
          <w:rFonts w:ascii="楷体" w:eastAsia="楷体" w:hAnsi="楷体" w:hint="eastAsia"/>
          <w:b/>
          <w:bCs/>
          <w:color w:val="000000" w:themeColor="text1"/>
        </w:rPr>
        <w:t>畜禽养殖：</w:t>
      </w:r>
      <w:r w:rsidR="00E66C98" w:rsidRPr="00E66C98">
        <w:rPr>
          <w:rFonts w:ascii="楷体" w:eastAsia="楷体" w:hAnsi="楷体" w:hint="eastAsia"/>
          <w:b/>
          <w:bCs/>
          <w:color w:val="000000" w:themeColor="text1"/>
        </w:rPr>
        <w:t>期价延续弱势</w:t>
      </w:r>
      <w:bookmarkEnd w:id="48"/>
    </w:p>
    <w:p w:rsidR="00E66C98" w:rsidRPr="00E66C98" w:rsidRDefault="00E66C98" w:rsidP="00E66C98">
      <w:pPr>
        <w:pStyle w:val="paragraph"/>
        <w:spacing w:before="60" w:after="60"/>
        <w:ind w:leftChars="300" w:left="630"/>
        <w:rPr>
          <w:rFonts w:ascii="楷体" w:eastAsia="楷体" w:hAnsi="楷体" w:hint="eastAsia"/>
        </w:rPr>
      </w:pPr>
      <w:r w:rsidRPr="00E66C98">
        <w:rPr>
          <w:rFonts w:ascii="楷体" w:eastAsia="楷体" w:hAnsi="楷体" w:hint="eastAsia"/>
        </w:rPr>
        <w:lastRenderedPageBreak/>
        <w:t>对于生猪而言，在前期报告中我们指出，考虑到各方数据显示生猪产能去化缓慢，表明7月下旬以来的猪价上涨是供应去化带来的阶段性反弹，而非产能去化所带来的周期见底。在这种情况下，市场或更多关注现货价格波动的区间和节奏，就空间而言，参考农业农村部的数据，下半年总体供需环比上半年趋于改善，下半年现货价格波动区间较上半年有望抬高。当然，7月底现货价格反弹之后，由于市场整体供应依然充足，其上方空间亦有限，期价波动或更多取决于节奏。节奏主要是指市场通过压栏、二次育肥和冷冻库存来影响市场的供应变化，再结合需求的季节性变动，来影响期现货的波动节奏。考虑到市场供需矛盾并不突出，且接下来现货波动的节奏存在分歧，不确定性较大，观点维持中性，建议投资者继续观望为宜。</w:t>
      </w:r>
    </w:p>
    <w:p w:rsidR="003F56A5" w:rsidRDefault="00E66C98" w:rsidP="00E66C98">
      <w:pPr>
        <w:pStyle w:val="paragraph"/>
        <w:spacing w:before="60" w:beforeAutospacing="0" w:after="60" w:afterAutospacing="0"/>
        <w:ind w:leftChars="300" w:left="630"/>
        <w:rPr>
          <w:rFonts w:ascii="楷体" w:eastAsia="楷体" w:hAnsi="楷体"/>
        </w:rPr>
      </w:pPr>
      <w:r w:rsidRPr="00E66C98">
        <w:rPr>
          <w:rFonts w:ascii="楷体" w:eastAsia="楷体" w:hAnsi="楷体" w:hint="eastAsia"/>
        </w:rPr>
        <w:t>对于鸡蛋而言，9月期间期价特别是近月表现强于市场之前预期，主要源于今年现货季节性高点出现时间晚于往年，这使得市场担心前期悲观预期可能落空，甚至出现类似于去年10月现货再创新高的情况。但在我们看来，9月上半月现货表现强于预期或更多源于两个方面的原因，其一是今年春节后现货相对高位，鸡蛋进入冷库形成库存量相对较低，其二是市场对后期价格悲观，渠道库存偏低。而从供需角度看，卓创资讯数据显示，在产蛋鸡存栏连续三个月环比增加，考虑到今年节后以来蛋鸡苗销量均同比增加，而蛋鸡淘汰量持续处于历史低位水平，蛋鸡淘汰日龄则持续位于历史同期高位，由此可以看出，后期鸡蛋供需有望趋于改善。考虑到近期现货下跌幅度符合季节性回落预期，后期需要担心叠加春节后补栏带来的供应增量，现货表现或弱于预期，在这种情况下，我们维持谨慎看空观点</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9" w:name="_Toc148950151"/>
      <w:r>
        <w:rPr>
          <w:rFonts w:ascii="楷体" w:eastAsia="楷体" w:hAnsi="楷体" w:hint="eastAsia"/>
          <w:b/>
          <w:sz w:val="24"/>
          <w:szCs w:val="24"/>
        </w:rPr>
        <w:t>郑棉：</w:t>
      </w:r>
      <w:r w:rsidR="00E66C98" w:rsidRPr="00E66C98">
        <w:rPr>
          <w:rFonts w:ascii="楷体" w:eastAsia="楷体" w:hAnsi="楷体" w:hint="eastAsia"/>
          <w:b/>
          <w:sz w:val="24"/>
          <w:szCs w:val="24"/>
        </w:rPr>
        <w:t>空单暂止盈离场</w:t>
      </w:r>
      <w:bookmarkEnd w:id="49"/>
    </w:p>
    <w:p w:rsidR="003F56A5" w:rsidRDefault="00E66C98" w:rsidP="007B3290">
      <w:pPr>
        <w:ind w:leftChars="300" w:left="630"/>
        <w:rPr>
          <w:rFonts w:ascii="楷体" w:eastAsia="楷体" w:hAnsi="楷体"/>
          <w:sz w:val="24"/>
          <w:szCs w:val="24"/>
        </w:rPr>
      </w:pPr>
      <w:r w:rsidRPr="00E66C98">
        <w:rPr>
          <w:rFonts w:ascii="楷体" w:eastAsia="楷体" w:hAnsi="楷体" w:hint="eastAsia"/>
          <w:sz w:val="24"/>
          <w:szCs w:val="24"/>
        </w:rPr>
        <w:t>供应端方面随着进口的增加和新棉上市预期，棉花供应已趋宽松。下游旺季不旺，纺织厂和印染、布料皆维持着较低开机率。社会大量库存压制，棉纱价格走弱，亏损加深。且由于担忧新棉上市时原料价格大幅升高，纺织企业都已囤积了相对足量的棉花原料。供强需弱格局下，新棉的成本支撑表现不强，轧花厂紧随期货价格走势，对籽棉收购价紧随期货走势进行了下调或暂停收购。预期转空，随着多头资金集中践踏离场甚至多转空，01主力合约再度大跌，试探1.6万关口。不过，随着价格持续偏弱，抛储政策或将出现调整。建议暂离场观望</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296325" w:rsidRDefault="00296325" w:rsidP="00296325">
      <w:pPr>
        <w:ind w:leftChars="200" w:left="420"/>
        <w:outlineLvl w:val="1"/>
        <w:rPr>
          <w:rFonts w:ascii="楷体" w:eastAsia="楷体" w:hAnsi="楷体"/>
          <w:b/>
          <w:sz w:val="24"/>
          <w:szCs w:val="24"/>
        </w:rPr>
      </w:pPr>
      <w:bookmarkStart w:id="50" w:name="_Toc148950152"/>
      <w:r>
        <w:rPr>
          <w:rFonts w:ascii="楷体" w:eastAsia="楷体" w:hAnsi="楷体" w:hint="eastAsia"/>
          <w:b/>
          <w:sz w:val="24"/>
          <w:szCs w:val="24"/>
        </w:rPr>
        <w:t>白糖：</w:t>
      </w:r>
      <w:r w:rsidR="00E66C98" w:rsidRPr="00E66C98">
        <w:rPr>
          <w:rFonts w:ascii="楷体" w:eastAsia="楷体" w:hAnsi="楷体" w:hint="eastAsia"/>
          <w:b/>
          <w:sz w:val="24"/>
          <w:szCs w:val="24"/>
        </w:rPr>
        <w:t>空单持有</w:t>
      </w:r>
      <w:bookmarkEnd w:id="50"/>
    </w:p>
    <w:p w:rsidR="00296325" w:rsidRDefault="00E66C98" w:rsidP="00296325">
      <w:pPr>
        <w:ind w:leftChars="300" w:left="630"/>
        <w:rPr>
          <w:rFonts w:ascii="楷体" w:eastAsia="楷体" w:hAnsi="楷体"/>
          <w:sz w:val="24"/>
          <w:szCs w:val="24"/>
        </w:rPr>
      </w:pPr>
      <w:r w:rsidRPr="00E66C98">
        <w:rPr>
          <w:rFonts w:ascii="楷体" w:eastAsia="楷体" w:hAnsi="楷体" w:hint="eastAsia"/>
          <w:sz w:val="24"/>
          <w:szCs w:val="24"/>
        </w:rPr>
        <w:t>由于大量农产品出口，巴西港口拥堵，或影响其食糖出口。厄尔尼诺天气影响下，市场对新季白糖的供应依然感到担忧。主要产糖大国印度的乙醇燃料计划使其甘蔗使用量大增，此外新季减产概率较大。泰国的产糖前景也不乐观。对于国内糖价来说，传闻10月交割的原糖大部分将运往中国，新榨季也已开始，供应紧张局面短期内有所缓解。不过，国家统计局10月19日公布的数据显示，中国9月成品糖产量为26.2万吨，同比下滑31.1%。产量能否达到预期仍有待观察。2401主力合约预计区间6700-6900震荡</w:t>
      </w:r>
      <w:r w:rsidR="00296325">
        <w:rPr>
          <w:rFonts w:ascii="楷体" w:eastAsia="楷体" w:hAnsi="楷体" w:hint="eastAsia"/>
          <w:sz w:val="24"/>
          <w:szCs w:val="24"/>
        </w:rPr>
        <w:t>。</w:t>
      </w:r>
    </w:p>
    <w:p w:rsidR="00296325" w:rsidRPr="00296325" w:rsidRDefault="00296325">
      <w:pPr>
        <w:ind w:firstLineChars="200" w:firstLine="480"/>
        <w:rPr>
          <w:rFonts w:ascii="楷体" w:eastAsia="楷体" w:hAnsi="楷体"/>
          <w:bCs/>
          <w:sz w:val="24"/>
          <w:szCs w:val="24"/>
        </w:rPr>
      </w:pPr>
    </w:p>
    <w:p w:rsidR="00152664" w:rsidRDefault="00152664" w:rsidP="00152664">
      <w:pPr>
        <w:pBdr>
          <w:top w:val="single" w:sz="4" w:space="0" w:color="auto"/>
        </w:pBdr>
        <w:outlineLvl w:val="0"/>
        <w:rPr>
          <w:rFonts w:ascii="Times New Roman" w:eastAsia="楷体" w:hAnsi="Times New Roman"/>
          <w:b/>
          <w:color w:val="823C0B"/>
        </w:rPr>
      </w:pPr>
      <w:bookmarkStart w:id="51" w:name="_Toc148950153"/>
      <w:r>
        <w:rPr>
          <w:rFonts w:ascii="Times New Roman" w:eastAsia="楷体" w:hAnsi="Times New Roman" w:hint="eastAsia"/>
          <w:b/>
          <w:color w:val="823C0B"/>
          <w:sz w:val="30"/>
          <w:szCs w:val="30"/>
        </w:rPr>
        <w:lastRenderedPageBreak/>
        <w:t>[</w:t>
      </w:r>
      <w:r w:rsidRPr="00152664">
        <w:rPr>
          <w:rFonts w:ascii="Times New Roman" w:eastAsia="楷体" w:hAnsi="Times New Roman" w:hint="eastAsia"/>
          <w:b/>
          <w:color w:val="823C0B"/>
          <w:sz w:val="30"/>
          <w:szCs w:val="30"/>
        </w:rPr>
        <w:t>指数</w:t>
      </w:r>
      <w:r>
        <w:rPr>
          <w:rFonts w:ascii="Times New Roman" w:eastAsia="楷体" w:hAnsi="Times New Roman" w:hint="eastAsia"/>
          <w:b/>
          <w:color w:val="823C0B"/>
          <w:sz w:val="30"/>
          <w:szCs w:val="30"/>
        </w:rPr>
        <w:t>]</w:t>
      </w:r>
      <w:bookmarkEnd w:id="51"/>
    </w:p>
    <w:p w:rsidR="00152664" w:rsidRDefault="00152664" w:rsidP="00152664">
      <w:pPr>
        <w:ind w:leftChars="200" w:left="420"/>
        <w:outlineLvl w:val="1"/>
        <w:rPr>
          <w:rFonts w:ascii="Times New Roman" w:eastAsia="楷体" w:hAnsi="Times New Roman"/>
          <w:b/>
          <w:color w:val="000000" w:themeColor="text1"/>
          <w:sz w:val="24"/>
          <w:szCs w:val="24"/>
        </w:rPr>
      </w:pPr>
      <w:bookmarkStart w:id="52" w:name="_Toc148950154"/>
      <w:r w:rsidRPr="00152664">
        <w:rPr>
          <w:rFonts w:ascii="Times New Roman" w:eastAsia="楷体" w:hAnsi="Times New Roman" w:hint="eastAsia"/>
          <w:b/>
          <w:color w:val="000000" w:themeColor="text1"/>
          <w:sz w:val="24"/>
          <w:szCs w:val="24"/>
        </w:rPr>
        <w:t>集运指数（欧线）</w:t>
      </w:r>
      <w:r>
        <w:rPr>
          <w:rFonts w:ascii="Times New Roman" w:eastAsia="楷体" w:hAnsi="Times New Roman" w:hint="eastAsia"/>
          <w:b/>
          <w:color w:val="000000" w:themeColor="text1"/>
          <w:sz w:val="24"/>
          <w:szCs w:val="24"/>
        </w:rPr>
        <w:t>：</w:t>
      </w:r>
      <w:r w:rsidR="00E66C98" w:rsidRPr="00E66C98">
        <w:rPr>
          <w:rFonts w:ascii="Times New Roman" w:eastAsia="楷体" w:hAnsi="Times New Roman" w:hint="eastAsia"/>
          <w:b/>
          <w:color w:val="000000" w:themeColor="text1"/>
          <w:sz w:val="24"/>
          <w:szCs w:val="24"/>
        </w:rPr>
        <w:t>SCFI</w:t>
      </w:r>
      <w:r w:rsidR="00E66C98" w:rsidRPr="00E66C98">
        <w:rPr>
          <w:rFonts w:ascii="Times New Roman" w:eastAsia="楷体" w:hAnsi="Times New Roman" w:hint="eastAsia"/>
          <w:b/>
          <w:color w:val="000000" w:themeColor="text1"/>
          <w:sz w:val="24"/>
          <w:szCs w:val="24"/>
        </w:rPr>
        <w:t>欧线结束</w:t>
      </w:r>
      <w:r w:rsidR="00E66C98" w:rsidRPr="00E66C98">
        <w:rPr>
          <w:rFonts w:ascii="Times New Roman" w:eastAsia="楷体" w:hAnsi="Times New Roman" w:hint="eastAsia"/>
          <w:b/>
          <w:color w:val="000000" w:themeColor="text1"/>
          <w:sz w:val="24"/>
          <w:szCs w:val="24"/>
        </w:rPr>
        <w:t>10</w:t>
      </w:r>
      <w:r w:rsidR="00E66C98" w:rsidRPr="00E66C98">
        <w:rPr>
          <w:rFonts w:ascii="Times New Roman" w:eastAsia="楷体" w:hAnsi="Times New Roman" w:hint="eastAsia"/>
          <w:b/>
          <w:color w:val="000000" w:themeColor="text1"/>
          <w:sz w:val="24"/>
          <w:szCs w:val="24"/>
        </w:rPr>
        <w:t>连跌，短期进入宽幅震荡</w:t>
      </w:r>
      <w:bookmarkEnd w:id="52"/>
    </w:p>
    <w:p w:rsidR="00E66C98" w:rsidRPr="00E66C98" w:rsidRDefault="00E66C98" w:rsidP="00E66C98">
      <w:pPr>
        <w:ind w:leftChars="300" w:left="630"/>
        <w:rPr>
          <w:rFonts w:ascii="Times New Roman" w:eastAsia="楷体" w:hAnsi="Times New Roman" w:hint="eastAsia"/>
          <w:color w:val="000000" w:themeColor="text1"/>
          <w:sz w:val="24"/>
          <w:szCs w:val="24"/>
        </w:rPr>
      </w:pPr>
      <w:r w:rsidRPr="00E66C98">
        <w:rPr>
          <w:rFonts w:ascii="Times New Roman" w:eastAsia="楷体" w:hAnsi="Times New Roman" w:hint="eastAsia"/>
          <w:color w:val="000000" w:themeColor="text1"/>
          <w:sz w:val="24"/>
          <w:szCs w:val="24"/>
        </w:rPr>
        <w:t>在供应端，船公司此前释出停航与调高运价的挺价计划，意图提高市场预期并为运价注入强心针，</w:t>
      </w:r>
      <w:r w:rsidRPr="00E66C98">
        <w:rPr>
          <w:rFonts w:ascii="Times New Roman" w:eastAsia="楷体" w:hAnsi="Times New Roman" w:hint="eastAsia"/>
          <w:color w:val="000000" w:themeColor="text1"/>
          <w:sz w:val="24"/>
          <w:szCs w:val="24"/>
        </w:rPr>
        <w:t>10</w:t>
      </w:r>
      <w:r w:rsidRPr="00E66C98">
        <w:rPr>
          <w:rFonts w:ascii="Times New Roman" w:eastAsia="楷体" w:hAnsi="Times New Roman" w:hint="eastAsia"/>
          <w:color w:val="000000" w:themeColor="text1"/>
          <w:sz w:val="24"/>
          <w:szCs w:val="24"/>
        </w:rPr>
        <w:t>月</w:t>
      </w:r>
      <w:r w:rsidRPr="00E66C98">
        <w:rPr>
          <w:rFonts w:ascii="Times New Roman" w:eastAsia="楷体" w:hAnsi="Times New Roman" w:hint="eastAsia"/>
          <w:color w:val="000000" w:themeColor="text1"/>
          <w:sz w:val="24"/>
          <w:szCs w:val="24"/>
        </w:rPr>
        <w:t>20</w:t>
      </w:r>
      <w:r w:rsidRPr="00E66C98">
        <w:rPr>
          <w:rFonts w:ascii="Times New Roman" w:eastAsia="楷体" w:hAnsi="Times New Roman" w:hint="eastAsia"/>
          <w:color w:val="000000" w:themeColor="text1"/>
          <w:sz w:val="24"/>
          <w:szCs w:val="24"/>
        </w:rPr>
        <w:t>日公布</w:t>
      </w:r>
      <w:r w:rsidRPr="00E66C98">
        <w:rPr>
          <w:rFonts w:ascii="Times New Roman" w:eastAsia="楷体" w:hAnsi="Times New Roman" w:hint="eastAsia"/>
          <w:color w:val="000000" w:themeColor="text1"/>
          <w:sz w:val="24"/>
          <w:szCs w:val="24"/>
        </w:rPr>
        <w:t>SCFI</w:t>
      </w:r>
      <w:r w:rsidRPr="00E66C98">
        <w:rPr>
          <w:rFonts w:ascii="Times New Roman" w:eastAsia="楷体" w:hAnsi="Times New Roman" w:hint="eastAsia"/>
          <w:color w:val="000000" w:themeColor="text1"/>
          <w:sz w:val="24"/>
          <w:szCs w:val="24"/>
        </w:rPr>
        <w:t>欧线数据上涨</w:t>
      </w:r>
      <w:r w:rsidRPr="00E66C98">
        <w:rPr>
          <w:rFonts w:ascii="Times New Roman" w:eastAsia="楷体" w:hAnsi="Times New Roman" w:hint="eastAsia"/>
          <w:color w:val="000000" w:themeColor="text1"/>
          <w:sz w:val="24"/>
          <w:szCs w:val="24"/>
        </w:rPr>
        <w:t>2.9%</w:t>
      </w:r>
      <w:r w:rsidRPr="00E66C98">
        <w:rPr>
          <w:rFonts w:ascii="Times New Roman" w:eastAsia="楷体" w:hAnsi="Times New Roman" w:hint="eastAsia"/>
          <w:color w:val="000000" w:themeColor="text1"/>
          <w:sz w:val="24"/>
          <w:szCs w:val="24"/>
        </w:rPr>
        <w:t>初见止跌迹象。外需方面，欧洲</w:t>
      </w:r>
      <w:r w:rsidRPr="00E66C98">
        <w:rPr>
          <w:rFonts w:ascii="Times New Roman" w:eastAsia="楷体" w:hAnsi="Times New Roman" w:hint="eastAsia"/>
          <w:color w:val="000000" w:themeColor="text1"/>
          <w:sz w:val="24"/>
          <w:szCs w:val="24"/>
        </w:rPr>
        <w:t>10</w:t>
      </w:r>
      <w:r w:rsidRPr="00E66C98">
        <w:rPr>
          <w:rFonts w:ascii="Times New Roman" w:eastAsia="楷体" w:hAnsi="Times New Roman" w:hint="eastAsia"/>
          <w:color w:val="000000" w:themeColor="text1"/>
          <w:sz w:val="24"/>
          <w:szCs w:val="24"/>
        </w:rPr>
        <w:t>月</w:t>
      </w:r>
      <w:r w:rsidRPr="00E66C98">
        <w:rPr>
          <w:rFonts w:ascii="Times New Roman" w:eastAsia="楷体" w:hAnsi="Times New Roman" w:hint="eastAsia"/>
          <w:color w:val="000000" w:themeColor="text1"/>
          <w:sz w:val="24"/>
          <w:szCs w:val="24"/>
        </w:rPr>
        <w:t>Sentix</w:t>
      </w:r>
      <w:r w:rsidRPr="00E66C98">
        <w:rPr>
          <w:rFonts w:ascii="Times New Roman" w:eastAsia="楷体" w:hAnsi="Times New Roman" w:hint="eastAsia"/>
          <w:color w:val="000000" w:themeColor="text1"/>
          <w:sz w:val="24"/>
          <w:szCs w:val="24"/>
        </w:rPr>
        <w:t>投资者信心指数进一步走低，欧洲经济疲软将延续至四季度，从而对欧洲需求产生抑制，四季度欧洲需求难以出现改善。</w:t>
      </w:r>
    </w:p>
    <w:p w:rsidR="00152664" w:rsidRDefault="00E66C98" w:rsidP="00E66C98">
      <w:pPr>
        <w:ind w:leftChars="300" w:left="630"/>
        <w:rPr>
          <w:rFonts w:ascii="Times New Roman" w:eastAsia="楷体" w:hAnsi="Times New Roman"/>
          <w:color w:val="000000" w:themeColor="text1"/>
          <w:sz w:val="24"/>
          <w:szCs w:val="24"/>
        </w:rPr>
      </w:pPr>
      <w:r w:rsidRPr="00E66C98">
        <w:rPr>
          <w:rFonts w:ascii="Times New Roman" w:eastAsia="楷体" w:hAnsi="Times New Roman" w:hint="eastAsia"/>
          <w:color w:val="000000" w:themeColor="text1"/>
          <w:sz w:val="24"/>
          <w:szCs w:val="24"/>
        </w:rPr>
        <w:t>长期来看，供强需弱的长期逻辑并未改变，短期欧线船公司运力缩减应对需弱格局，市场仍在等待其中一方打破僵局，需留意观察本日</w:t>
      </w:r>
      <w:r w:rsidRPr="00E66C98">
        <w:rPr>
          <w:rFonts w:ascii="Times New Roman" w:eastAsia="楷体" w:hAnsi="Times New Roman" w:hint="eastAsia"/>
          <w:color w:val="000000" w:themeColor="text1"/>
          <w:sz w:val="24"/>
          <w:szCs w:val="24"/>
        </w:rPr>
        <w:t>SCFIS</w:t>
      </w:r>
      <w:r w:rsidRPr="00E66C98">
        <w:rPr>
          <w:rFonts w:ascii="Times New Roman" w:eastAsia="楷体" w:hAnsi="Times New Roman" w:hint="eastAsia"/>
          <w:color w:val="000000" w:themeColor="text1"/>
          <w:sz w:val="24"/>
          <w:szCs w:val="24"/>
        </w:rPr>
        <w:t>数据情况。未来仍然保持震荡偏空思路，建议操作上等待机会高空为主</w:t>
      </w:r>
      <w:r w:rsidR="00152664">
        <w:rPr>
          <w:rFonts w:ascii="Times New Roman" w:eastAsia="楷体" w:hAnsi="Times New Roman" w:hint="eastAsia"/>
          <w:color w:val="000000" w:themeColor="text1"/>
          <w:sz w:val="24"/>
          <w:szCs w:val="24"/>
        </w:rPr>
        <w:t>。</w:t>
      </w: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3" w:name="_Toc71212556"/>
      <w:bookmarkStart w:id="54" w:name="_Toc19667"/>
      <w:bookmarkStart w:id="55" w:name="_Toc98426751"/>
      <w:bookmarkStart w:id="56" w:name="_Toc12779"/>
      <w:bookmarkStart w:id="57" w:name="_Toc72481108"/>
      <w:r>
        <w:rPr>
          <w:rFonts w:ascii="Times New Roman" w:eastAsia="楷体" w:hAnsi="Times New Roman"/>
          <w:b/>
          <w:color w:val="411D05"/>
          <w:sz w:val="30"/>
          <w:szCs w:val="30"/>
        </w:rPr>
        <w:lastRenderedPageBreak/>
        <w:t>免责声明</w:t>
      </w:r>
      <w:bookmarkEnd w:id="53"/>
      <w:bookmarkEnd w:id="54"/>
      <w:bookmarkEnd w:id="55"/>
      <w:bookmarkEnd w:id="56"/>
      <w:bookmarkEnd w:id="57"/>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B5C" w:rsidRDefault="00383B5C">
      <w:r>
        <w:separator/>
      </w:r>
    </w:p>
  </w:endnote>
  <w:endnote w:type="continuationSeparator" w:id="0">
    <w:p w:rsidR="00383B5C" w:rsidRDefault="0038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1D5FADEB" wp14:editId="7A9FC2F2">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8E54BD">
                            <w:rPr>
                              <w:rFonts w:ascii="Times New Roman" w:eastAsia="楷体" w:hAnsi="Times New Roman" w:cs="Times New Roman"/>
                              <w:b/>
                              <w:noProof/>
                              <w:color w:val="833C0B"/>
                              <w:sz w:val="21"/>
                              <w:lang w:bidi="ar"/>
                            </w:rPr>
                            <w:t>9</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8E54BD">
                      <w:rPr>
                        <w:rFonts w:ascii="Times New Roman" w:eastAsia="楷体" w:hAnsi="Times New Roman" w:cs="Times New Roman"/>
                        <w:b/>
                        <w:noProof/>
                        <w:color w:val="833C0B"/>
                        <w:sz w:val="21"/>
                        <w:lang w:bidi="ar"/>
                      </w:rPr>
                      <w:t>9</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B5C" w:rsidRDefault="00383B5C">
      <w:r>
        <w:separator/>
      </w:r>
    </w:p>
  </w:footnote>
  <w:footnote w:type="continuationSeparator" w:id="0">
    <w:p w:rsidR="00383B5C" w:rsidRDefault="00383B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75206B71" wp14:editId="77C6B6CC">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5E06AF0E" wp14:editId="417690B7">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E66C98">
      <w:rPr>
        <w:rFonts w:ascii="Times New Roman" w:eastAsia="楷体" w:hAnsi="Times New Roman" w:hint="eastAsia"/>
        <w:b/>
        <w:bCs/>
        <w:noProof/>
        <w:color w:val="833C0B"/>
        <w:sz w:val="21"/>
      </w:rPr>
      <w:t>2023</w:t>
    </w:r>
    <w:r w:rsidR="00E66C98">
      <w:rPr>
        <w:rFonts w:ascii="Times New Roman" w:eastAsia="楷体" w:hAnsi="Times New Roman" w:hint="eastAsia"/>
        <w:b/>
        <w:bCs/>
        <w:noProof/>
        <w:color w:val="833C0B"/>
        <w:sz w:val="21"/>
      </w:rPr>
      <w:t>年</w:t>
    </w:r>
    <w:r w:rsidR="00E66C98">
      <w:rPr>
        <w:rFonts w:ascii="Times New Roman" w:eastAsia="楷体" w:hAnsi="Times New Roman" w:hint="eastAsia"/>
        <w:b/>
        <w:bCs/>
        <w:noProof/>
        <w:color w:val="833C0B"/>
        <w:sz w:val="21"/>
      </w:rPr>
      <w:t>10</w:t>
    </w:r>
    <w:r w:rsidR="00E66C98">
      <w:rPr>
        <w:rFonts w:ascii="Times New Roman" w:eastAsia="楷体" w:hAnsi="Times New Roman" w:hint="eastAsia"/>
        <w:b/>
        <w:bCs/>
        <w:noProof/>
        <w:color w:val="833C0B"/>
        <w:sz w:val="21"/>
      </w:rPr>
      <w:t>月</w:t>
    </w:r>
    <w:r w:rsidR="00E66C98">
      <w:rPr>
        <w:rFonts w:ascii="Times New Roman" w:eastAsia="楷体" w:hAnsi="Times New Roman" w:hint="eastAsia"/>
        <w:b/>
        <w:bCs/>
        <w:noProof/>
        <w:color w:val="833C0B"/>
        <w:sz w:val="21"/>
      </w:rPr>
      <w:t>23</w:t>
    </w:r>
    <w:r w:rsidR="00E66C98">
      <w:rPr>
        <w:rFonts w:ascii="Times New Roman" w:eastAsia="楷体" w:hAnsi="Times New Roman" w:hint="eastAsia"/>
        <w:b/>
        <w:bCs/>
        <w:noProof/>
        <w:color w:val="833C0B"/>
        <w:sz w:val="21"/>
      </w:rPr>
      <w:t>日星期一</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151C6"/>
    <w:rsid w:val="00020E82"/>
    <w:rsid w:val="00024902"/>
    <w:rsid w:val="00032A7A"/>
    <w:rsid w:val="00035EB2"/>
    <w:rsid w:val="000417D7"/>
    <w:rsid w:val="00050B6C"/>
    <w:rsid w:val="0005286B"/>
    <w:rsid w:val="0005726F"/>
    <w:rsid w:val="00057E99"/>
    <w:rsid w:val="00060F08"/>
    <w:rsid w:val="00072EAA"/>
    <w:rsid w:val="00076420"/>
    <w:rsid w:val="000820C6"/>
    <w:rsid w:val="00093E40"/>
    <w:rsid w:val="00094BAE"/>
    <w:rsid w:val="00096258"/>
    <w:rsid w:val="000A390A"/>
    <w:rsid w:val="000A413E"/>
    <w:rsid w:val="000B0648"/>
    <w:rsid w:val="000B4E70"/>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75B7"/>
    <w:rsid w:val="00127803"/>
    <w:rsid w:val="00127FF1"/>
    <w:rsid w:val="00147668"/>
    <w:rsid w:val="00147B03"/>
    <w:rsid w:val="0015047B"/>
    <w:rsid w:val="00152664"/>
    <w:rsid w:val="00156FEB"/>
    <w:rsid w:val="001579F3"/>
    <w:rsid w:val="00163984"/>
    <w:rsid w:val="00170E7B"/>
    <w:rsid w:val="00170EDF"/>
    <w:rsid w:val="001801C4"/>
    <w:rsid w:val="0018678E"/>
    <w:rsid w:val="001942CB"/>
    <w:rsid w:val="001945E9"/>
    <w:rsid w:val="001A3E49"/>
    <w:rsid w:val="001A44F9"/>
    <w:rsid w:val="001B0610"/>
    <w:rsid w:val="001B179D"/>
    <w:rsid w:val="001B1904"/>
    <w:rsid w:val="001B25C9"/>
    <w:rsid w:val="001B2D4C"/>
    <w:rsid w:val="001B6043"/>
    <w:rsid w:val="001B6394"/>
    <w:rsid w:val="001B6B7D"/>
    <w:rsid w:val="001C2E87"/>
    <w:rsid w:val="001C77D0"/>
    <w:rsid w:val="001D1F0A"/>
    <w:rsid w:val="001D40EA"/>
    <w:rsid w:val="001D4474"/>
    <w:rsid w:val="001D5419"/>
    <w:rsid w:val="001D7D0A"/>
    <w:rsid w:val="001E1A3C"/>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5297"/>
    <w:rsid w:val="00291461"/>
    <w:rsid w:val="00292AE8"/>
    <w:rsid w:val="002951EB"/>
    <w:rsid w:val="00296325"/>
    <w:rsid w:val="00297A1B"/>
    <w:rsid w:val="002A0670"/>
    <w:rsid w:val="002A6C89"/>
    <w:rsid w:val="002B0F87"/>
    <w:rsid w:val="002B2257"/>
    <w:rsid w:val="002B32AE"/>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3B5C"/>
    <w:rsid w:val="0038626D"/>
    <w:rsid w:val="0038677D"/>
    <w:rsid w:val="003953FD"/>
    <w:rsid w:val="003A1F3C"/>
    <w:rsid w:val="003A3DB4"/>
    <w:rsid w:val="003A5DDB"/>
    <w:rsid w:val="003C32DB"/>
    <w:rsid w:val="003C54F5"/>
    <w:rsid w:val="003C5F91"/>
    <w:rsid w:val="003D3A9E"/>
    <w:rsid w:val="003F2424"/>
    <w:rsid w:val="003F56A5"/>
    <w:rsid w:val="00404AFE"/>
    <w:rsid w:val="004123EF"/>
    <w:rsid w:val="004201F5"/>
    <w:rsid w:val="004230AC"/>
    <w:rsid w:val="00426AB5"/>
    <w:rsid w:val="00433C64"/>
    <w:rsid w:val="00440FBE"/>
    <w:rsid w:val="004427D1"/>
    <w:rsid w:val="00452F14"/>
    <w:rsid w:val="004567BD"/>
    <w:rsid w:val="00461147"/>
    <w:rsid w:val="004648E2"/>
    <w:rsid w:val="00484C53"/>
    <w:rsid w:val="00485A3F"/>
    <w:rsid w:val="00486646"/>
    <w:rsid w:val="00487F77"/>
    <w:rsid w:val="00490056"/>
    <w:rsid w:val="00491DD7"/>
    <w:rsid w:val="00495F18"/>
    <w:rsid w:val="004977A9"/>
    <w:rsid w:val="004A1926"/>
    <w:rsid w:val="004A382D"/>
    <w:rsid w:val="004A3F85"/>
    <w:rsid w:val="004A65B5"/>
    <w:rsid w:val="004A78BA"/>
    <w:rsid w:val="004B4D4D"/>
    <w:rsid w:val="004C11A7"/>
    <w:rsid w:val="004C4541"/>
    <w:rsid w:val="004C5F3F"/>
    <w:rsid w:val="004D0484"/>
    <w:rsid w:val="004D1AE5"/>
    <w:rsid w:val="004D6F74"/>
    <w:rsid w:val="004E269E"/>
    <w:rsid w:val="004E2959"/>
    <w:rsid w:val="004E3A10"/>
    <w:rsid w:val="004E58A5"/>
    <w:rsid w:val="004E6093"/>
    <w:rsid w:val="004E6F41"/>
    <w:rsid w:val="004F2492"/>
    <w:rsid w:val="005145ED"/>
    <w:rsid w:val="00521683"/>
    <w:rsid w:val="005245A4"/>
    <w:rsid w:val="00526949"/>
    <w:rsid w:val="00533D1C"/>
    <w:rsid w:val="00535DC9"/>
    <w:rsid w:val="005376B7"/>
    <w:rsid w:val="00540298"/>
    <w:rsid w:val="00541F3F"/>
    <w:rsid w:val="00547DD7"/>
    <w:rsid w:val="00550252"/>
    <w:rsid w:val="00551A8D"/>
    <w:rsid w:val="005523A5"/>
    <w:rsid w:val="00553DEC"/>
    <w:rsid w:val="00554002"/>
    <w:rsid w:val="00572E35"/>
    <w:rsid w:val="00576234"/>
    <w:rsid w:val="005818A8"/>
    <w:rsid w:val="0058734B"/>
    <w:rsid w:val="005903F3"/>
    <w:rsid w:val="00591B89"/>
    <w:rsid w:val="005926B7"/>
    <w:rsid w:val="00593B03"/>
    <w:rsid w:val="00593F40"/>
    <w:rsid w:val="0059697A"/>
    <w:rsid w:val="005A5EEB"/>
    <w:rsid w:val="005B5BDF"/>
    <w:rsid w:val="005B790A"/>
    <w:rsid w:val="005C05F7"/>
    <w:rsid w:val="005C05FA"/>
    <w:rsid w:val="005C49BA"/>
    <w:rsid w:val="005C5B1D"/>
    <w:rsid w:val="005E1CE0"/>
    <w:rsid w:val="005E6164"/>
    <w:rsid w:val="005F28F8"/>
    <w:rsid w:val="005F2CE6"/>
    <w:rsid w:val="005F45A8"/>
    <w:rsid w:val="005F5D8E"/>
    <w:rsid w:val="00605CB4"/>
    <w:rsid w:val="00606E2B"/>
    <w:rsid w:val="00610C41"/>
    <w:rsid w:val="00612D79"/>
    <w:rsid w:val="0061390B"/>
    <w:rsid w:val="00615F78"/>
    <w:rsid w:val="00622C65"/>
    <w:rsid w:val="006353D1"/>
    <w:rsid w:val="00637F19"/>
    <w:rsid w:val="00641752"/>
    <w:rsid w:val="00645DF5"/>
    <w:rsid w:val="00650F05"/>
    <w:rsid w:val="0065454E"/>
    <w:rsid w:val="00657B01"/>
    <w:rsid w:val="00661BB3"/>
    <w:rsid w:val="00666DE4"/>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11CD"/>
    <w:rsid w:val="0072164F"/>
    <w:rsid w:val="007253E7"/>
    <w:rsid w:val="0072736C"/>
    <w:rsid w:val="007315D8"/>
    <w:rsid w:val="00743CFD"/>
    <w:rsid w:val="007664C1"/>
    <w:rsid w:val="00772382"/>
    <w:rsid w:val="00782EFA"/>
    <w:rsid w:val="00785519"/>
    <w:rsid w:val="007866A5"/>
    <w:rsid w:val="0079299D"/>
    <w:rsid w:val="00792D31"/>
    <w:rsid w:val="00794D36"/>
    <w:rsid w:val="007952E9"/>
    <w:rsid w:val="00796CB2"/>
    <w:rsid w:val="007A410D"/>
    <w:rsid w:val="007A66FE"/>
    <w:rsid w:val="007A713B"/>
    <w:rsid w:val="007B3290"/>
    <w:rsid w:val="007B42D0"/>
    <w:rsid w:val="007B4FCE"/>
    <w:rsid w:val="007C1DB9"/>
    <w:rsid w:val="007C2FD2"/>
    <w:rsid w:val="007C6F18"/>
    <w:rsid w:val="007C7B84"/>
    <w:rsid w:val="007D29EC"/>
    <w:rsid w:val="007D4BBD"/>
    <w:rsid w:val="007D67CC"/>
    <w:rsid w:val="007E1660"/>
    <w:rsid w:val="007E1FC2"/>
    <w:rsid w:val="007F09BE"/>
    <w:rsid w:val="007F1327"/>
    <w:rsid w:val="007F140C"/>
    <w:rsid w:val="007F186E"/>
    <w:rsid w:val="007F197B"/>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288D"/>
    <w:rsid w:val="0083605E"/>
    <w:rsid w:val="00840F4E"/>
    <w:rsid w:val="008463FD"/>
    <w:rsid w:val="00853880"/>
    <w:rsid w:val="00856132"/>
    <w:rsid w:val="008649BB"/>
    <w:rsid w:val="008655EA"/>
    <w:rsid w:val="00867CA5"/>
    <w:rsid w:val="00873ECE"/>
    <w:rsid w:val="008740D4"/>
    <w:rsid w:val="00874708"/>
    <w:rsid w:val="00875F9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326A"/>
    <w:rsid w:val="009260D3"/>
    <w:rsid w:val="009316EC"/>
    <w:rsid w:val="009317CD"/>
    <w:rsid w:val="00934728"/>
    <w:rsid w:val="009644D9"/>
    <w:rsid w:val="0097131C"/>
    <w:rsid w:val="00972485"/>
    <w:rsid w:val="00973185"/>
    <w:rsid w:val="00982F5B"/>
    <w:rsid w:val="009870E4"/>
    <w:rsid w:val="00992BCC"/>
    <w:rsid w:val="009A12FA"/>
    <w:rsid w:val="009A564D"/>
    <w:rsid w:val="009B0D7B"/>
    <w:rsid w:val="009B3801"/>
    <w:rsid w:val="009B534D"/>
    <w:rsid w:val="009B591A"/>
    <w:rsid w:val="009C30FE"/>
    <w:rsid w:val="009C3E56"/>
    <w:rsid w:val="009C483C"/>
    <w:rsid w:val="009D2477"/>
    <w:rsid w:val="009D4A74"/>
    <w:rsid w:val="009D5253"/>
    <w:rsid w:val="009D5D79"/>
    <w:rsid w:val="009D64FE"/>
    <w:rsid w:val="009D75BB"/>
    <w:rsid w:val="009E0994"/>
    <w:rsid w:val="009E25E0"/>
    <w:rsid w:val="009E4452"/>
    <w:rsid w:val="009E5993"/>
    <w:rsid w:val="009E7578"/>
    <w:rsid w:val="009E75B7"/>
    <w:rsid w:val="009F5C7B"/>
    <w:rsid w:val="00A031CE"/>
    <w:rsid w:val="00A04421"/>
    <w:rsid w:val="00A11A0D"/>
    <w:rsid w:val="00A22080"/>
    <w:rsid w:val="00A223D3"/>
    <w:rsid w:val="00A32D1B"/>
    <w:rsid w:val="00A42079"/>
    <w:rsid w:val="00A531E8"/>
    <w:rsid w:val="00A573ED"/>
    <w:rsid w:val="00A60F08"/>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52CB"/>
    <w:rsid w:val="00AC5310"/>
    <w:rsid w:val="00AC7794"/>
    <w:rsid w:val="00AC7ECD"/>
    <w:rsid w:val="00AD009F"/>
    <w:rsid w:val="00AE6128"/>
    <w:rsid w:val="00AF54C5"/>
    <w:rsid w:val="00AF56FD"/>
    <w:rsid w:val="00AF5EA0"/>
    <w:rsid w:val="00B066DA"/>
    <w:rsid w:val="00B072C0"/>
    <w:rsid w:val="00B10135"/>
    <w:rsid w:val="00B10769"/>
    <w:rsid w:val="00B118A2"/>
    <w:rsid w:val="00B133D0"/>
    <w:rsid w:val="00B15418"/>
    <w:rsid w:val="00B17165"/>
    <w:rsid w:val="00B1737C"/>
    <w:rsid w:val="00B1758C"/>
    <w:rsid w:val="00B17639"/>
    <w:rsid w:val="00B23E58"/>
    <w:rsid w:val="00B23F73"/>
    <w:rsid w:val="00B33C93"/>
    <w:rsid w:val="00B443CE"/>
    <w:rsid w:val="00B4555A"/>
    <w:rsid w:val="00B51CAF"/>
    <w:rsid w:val="00B53C56"/>
    <w:rsid w:val="00B60464"/>
    <w:rsid w:val="00B606EF"/>
    <w:rsid w:val="00B618F8"/>
    <w:rsid w:val="00B64133"/>
    <w:rsid w:val="00B72E2D"/>
    <w:rsid w:val="00B745CB"/>
    <w:rsid w:val="00B805BD"/>
    <w:rsid w:val="00B81DA7"/>
    <w:rsid w:val="00B873E2"/>
    <w:rsid w:val="00B91D3D"/>
    <w:rsid w:val="00B94E7D"/>
    <w:rsid w:val="00B97F08"/>
    <w:rsid w:val="00BA4663"/>
    <w:rsid w:val="00BA696B"/>
    <w:rsid w:val="00BA7212"/>
    <w:rsid w:val="00BC5F45"/>
    <w:rsid w:val="00BC71D6"/>
    <w:rsid w:val="00BD4C85"/>
    <w:rsid w:val="00BE1EFD"/>
    <w:rsid w:val="00BE456E"/>
    <w:rsid w:val="00BF3137"/>
    <w:rsid w:val="00BF4417"/>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E7723"/>
    <w:rsid w:val="00CE7903"/>
    <w:rsid w:val="00CF6C71"/>
    <w:rsid w:val="00CF7A9A"/>
    <w:rsid w:val="00D00D60"/>
    <w:rsid w:val="00D017E5"/>
    <w:rsid w:val="00D01A19"/>
    <w:rsid w:val="00D04FF1"/>
    <w:rsid w:val="00D1367C"/>
    <w:rsid w:val="00D14B3E"/>
    <w:rsid w:val="00D1582A"/>
    <w:rsid w:val="00D17FB1"/>
    <w:rsid w:val="00D21BE4"/>
    <w:rsid w:val="00D25C5A"/>
    <w:rsid w:val="00D309C4"/>
    <w:rsid w:val="00D32D2F"/>
    <w:rsid w:val="00D341CA"/>
    <w:rsid w:val="00D41AF4"/>
    <w:rsid w:val="00D45E53"/>
    <w:rsid w:val="00D47039"/>
    <w:rsid w:val="00D55EAF"/>
    <w:rsid w:val="00D63655"/>
    <w:rsid w:val="00D66257"/>
    <w:rsid w:val="00D673AD"/>
    <w:rsid w:val="00D75630"/>
    <w:rsid w:val="00D762B2"/>
    <w:rsid w:val="00D842AA"/>
    <w:rsid w:val="00D86D76"/>
    <w:rsid w:val="00D87130"/>
    <w:rsid w:val="00D93E0B"/>
    <w:rsid w:val="00DA7546"/>
    <w:rsid w:val="00DB4E25"/>
    <w:rsid w:val="00DB6FBE"/>
    <w:rsid w:val="00DD145E"/>
    <w:rsid w:val="00DD29E1"/>
    <w:rsid w:val="00DD334E"/>
    <w:rsid w:val="00DE02C4"/>
    <w:rsid w:val="00DF164D"/>
    <w:rsid w:val="00DF1796"/>
    <w:rsid w:val="00DF270D"/>
    <w:rsid w:val="00DF3137"/>
    <w:rsid w:val="00DF3B28"/>
    <w:rsid w:val="00DF56EC"/>
    <w:rsid w:val="00E020F2"/>
    <w:rsid w:val="00E12059"/>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2969"/>
    <w:rsid w:val="00F55F14"/>
    <w:rsid w:val="00F622ED"/>
    <w:rsid w:val="00F65EEA"/>
    <w:rsid w:val="00F776D3"/>
    <w:rsid w:val="00F90537"/>
    <w:rsid w:val="00F91733"/>
    <w:rsid w:val="00F920DB"/>
    <w:rsid w:val="00F95209"/>
    <w:rsid w:val="00F964AD"/>
    <w:rsid w:val="00FB3956"/>
    <w:rsid w:val="00FC0F8B"/>
    <w:rsid w:val="00FC24AF"/>
    <w:rsid w:val="00FD6B0E"/>
    <w:rsid w:val="00FE1B77"/>
    <w:rsid w:val="00FE7219"/>
    <w:rsid w:val="00FF0163"/>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4E4DE6-D1CA-4952-88E5-36DA0690C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4232</TotalTime>
  <Pages>11</Pages>
  <Words>1802</Words>
  <Characters>10276</Characters>
  <Application>Microsoft Office Word</Application>
  <DocSecurity>0</DocSecurity>
  <Lines>85</Lines>
  <Paragraphs>24</Paragraphs>
  <ScaleCrop>false</ScaleCrop>
  <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113</cp:revision>
  <cp:lastPrinted>2023-06-08T02:23:00Z</cp:lastPrinted>
  <dcterms:created xsi:type="dcterms:W3CDTF">2022-11-15T10:06:00Z</dcterms:created>
  <dcterms:modified xsi:type="dcterms:W3CDTF">2023-10-23T02:41:00Z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