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0A390A"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0A390A" w:rsidRPr="00705717">
            <w:rPr>
              <w:rStyle w:val="a9"/>
              <w:noProof/>
            </w:rPr>
            <w:fldChar w:fldCharType="begin"/>
          </w:r>
          <w:r w:rsidR="000A390A" w:rsidRPr="00705717">
            <w:rPr>
              <w:rStyle w:val="a9"/>
              <w:noProof/>
            </w:rPr>
            <w:instrText xml:space="preserve"> </w:instrText>
          </w:r>
          <w:r w:rsidR="000A390A">
            <w:rPr>
              <w:noProof/>
            </w:rPr>
            <w:instrText>HYPERLINK \l "_Toc148346967"</w:instrText>
          </w:r>
          <w:r w:rsidR="000A390A" w:rsidRPr="00705717">
            <w:rPr>
              <w:rStyle w:val="a9"/>
              <w:noProof/>
            </w:rPr>
            <w:instrText xml:space="preserve"> </w:instrText>
          </w:r>
          <w:r w:rsidR="000A390A" w:rsidRPr="00705717">
            <w:rPr>
              <w:rStyle w:val="a9"/>
              <w:noProof/>
            </w:rPr>
          </w:r>
          <w:r w:rsidR="000A390A" w:rsidRPr="00705717">
            <w:rPr>
              <w:rStyle w:val="a9"/>
              <w:noProof/>
            </w:rPr>
            <w:fldChar w:fldCharType="separate"/>
          </w:r>
          <w:r w:rsidR="000A390A" w:rsidRPr="00705717">
            <w:rPr>
              <w:rStyle w:val="a9"/>
              <w:rFonts w:ascii="Times New Roman" w:eastAsia="楷体" w:hAnsi="Times New Roman"/>
              <w:b/>
              <w:noProof/>
            </w:rPr>
            <w:t>[</w:t>
          </w:r>
          <w:r w:rsidR="000A390A" w:rsidRPr="00705717">
            <w:rPr>
              <w:rStyle w:val="a9"/>
              <w:rFonts w:ascii="Times New Roman" w:eastAsia="楷体" w:hAnsi="Times New Roman"/>
              <w:b/>
              <w:noProof/>
            </w:rPr>
            <w:t>金融</w:t>
          </w:r>
          <w:r w:rsidR="000A390A" w:rsidRPr="00705717">
            <w:rPr>
              <w:rStyle w:val="a9"/>
              <w:rFonts w:ascii="Times New Roman" w:eastAsia="楷体" w:hAnsi="Times New Roman"/>
              <w:b/>
              <w:noProof/>
            </w:rPr>
            <w:t>]</w:t>
          </w:r>
          <w:r w:rsidR="000A390A" w:rsidRPr="00705717">
            <w:rPr>
              <w:rStyle w:val="a9"/>
              <w:noProof/>
            </w:rPr>
            <w:fldChar w:fldCharType="end"/>
          </w:r>
        </w:p>
        <w:p w:rsidR="000A390A" w:rsidRDefault="000A390A">
          <w:pPr>
            <w:pStyle w:val="23"/>
            <w:tabs>
              <w:tab w:val="right" w:leader="dot" w:pos="8296"/>
            </w:tabs>
            <w:rPr>
              <w:rFonts w:eastAsiaTheme="minorEastAsia"/>
              <w:noProof/>
              <w:szCs w:val="22"/>
            </w:rPr>
          </w:pPr>
          <w:hyperlink w:anchor="_Toc148346968" w:history="1">
            <w:r w:rsidRPr="00705717">
              <w:rPr>
                <w:rStyle w:val="a9"/>
                <w:rFonts w:ascii="Times New Roman" w:eastAsia="楷体" w:hAnsi="Times New Roman"/>
                <w:b/>
                <w:noProof/>
              </w:rPr>
              <w:t>股指：</w:t>
            </w:r>
            <w:r w:rsidRPr="00705717">
              <w:rPr>
                <w:rStyle w:val="a9"/>
                <w:rFonts w:ascii="Times New Roman" w:eastAsia="楷体" w:hAnsi="Times New Roman"/>
                <w:b/>
                <w:noProof/>
              </w:rPr>
              <w:t>IM</w:t>
            </w:r>
            <w:r w:rsidRPr="00705717">
              <w:rPr>
                <w:rStyle w:val="a9"/>
                <w:rFonts w:ascii="Times New Roman" w:eastAsia="楷体" w:hAnsi="Times New Roman"/>
                <w:b/>
                <w:noProof/>
              </w:rPr>
              <w:t>多单持有</w:t>
            </w:r>
          </w:hyperlink>
        </w:p>
        <w:p w:rsidR="000A390A" w:rsidRDefault="000A390A">
          <w:pPr>
            <w:pStyle w:val="11"/>
            <w:tabs>
              <w:tab w:val="right" w:leader="dot" w:pos="8296"/>
            </w:tabs>
            <w:rPr>
              <w:rFonts w:eastAsiaTheme="minorEastAsia"/>
              <w:noProof/>
              <w:szCs w:val="22"/>
            </w:rPr>
          </w:pPr>
          <w:hyperlink w:anchor="_Toc148346969" w:history="1">
            <w:r w:rsidRPr="00705717">
              <w:rPr>
                <w:rStyle w:val="a9"/>
                <w:rFonts w:ascii="Times New Roman" w:eastAsia="楷体" w:hAnsi="Times New Roman"/>
                <w:b/>
                <w:noProof/>
              </w:rPr>
              <w:t>[</w:t>
            </w:r>
            <w:r w:rsidRPr="00705717">
              <w:rPr>
                <w:rStyle w:val="a9"/>
                <w:rFonts w:ascii="Times New Roman" w:eastAsia="楷体" w:hAnsi="Times New Roman"/>
                <w:b/>
                <w:noProof/>
              </w:rPr>
              <w:t>贵金属</w:t>
            </w:r>
            <w:r w:rsidRPr="00705717">
              <w:rPr>
                <w:rStyle w:val="a9"/>
                <w:rFonts w:ascii="Times New Roman" w:eastAsia="楷体" w:hAnsi="Times New Roman"/>
                <w:b/>
                <w:noProof/>
              </w:rPr>
              <w:t>]</w:t>
            </w:r>
          </w:hyperlink>
        </w:p>
        <w:p w:rsidR="000A390A" w:rsidRDefault="000A390A">
          <w:pPr>
            <w:pStyle w:val="23"/>
            <w:tabs>
              <w:tab w:val="right" w:leader="dot" w:pos="8296"/>
            </w:tabs>
            <w:rPr>
              <w:rFonts w:eastAsiaTheme="minorEastAsia"/>
              <w:noProof/>
              <w:szCs w:val="22"/>
            </w:rPr>
          </w:pPr>
          <w:hyperlink w:anchor="_Toc148346970" w:history="1">
            <w:r w:rsidRPr="00705717">
              <w:rPr>
                <w:rStyle w:val="a9"/>
                <w:rFonts w:ascii="Times New Roman" w:eastAsia="楷体" w:hAnsi="Times New Roman"/>
                <w:b/>
                <w:noProof/>
              </w:rPr>
              <w:t>贵金属：美国通胀高于预期，贵金属价格反弹</w:t>
            </w:r>
          </w:hyperlink>
        </w:p>
        <w:p w:rsidR="000A390A" w:rsidRDefault="000A390A">
          <w:pPr>
            <w:pStyle w:val="11"/>
            <w:tabs>
              <w:tab w:val="right" w:leader="dot" w:pos="8296"/>
            </w:tabs>
            <w:rPr>
              <w:rFonts w:eastAsiaTheme="minorEastAsia"/>
              <w:noProof/>
              <w:szCs w:val="22"/>
            </w:rPr>
          </w:pPr>
          <w:hyperlink w:anchor="_Toc148346971" w:history="1">
            <w:r w:rsidRPr="00705717">
              <w:rPr>
                <w:rStyle w:val="a9"/>
                <w:rFonts w:ascii="Times New Roman" w:eastAsia="楷体" w:hAnsi="Times New Roman"/>
                <w:b/>
                <w:noProof/>
              </w:rPr>
              <w:t>[</w:t>
            </w:r>
            <w:r w:rsidRPr="00705717">
              <w:rPr>
                <w:rStyle w:val="a9"/>
                <w:rFonts w:ascii="Times New Roman" w:eastAsia="楷体" w:hAnsi="Times New Roman"/>
                <w:b/>
                <w:noProof/>
              </w:rPr>
              <w:t>金属</w:t>
            </w:r>
            <w:r w:rsidRPr="00705717">
              <w:rPr>
                <w:rStyle w:val="a9"/>
                <w:rFonts w:ascii="Times New Roman" w:eastAsia="楷体" w:hAnsi="Times New Roman"/>
                <w:b/>
                <w:noProof/>
              </w:rPr>
              <w:t>]</w:t>
            </w:r>
          </w:hyperlink>
        </w:p>
        <w:p w:rsidR="000A390A" w:rsidRDefault="000A390A">
          <w:pPr>
            <w:pStyle w:val="23"/>
            <w:tabs>
              <w:tab w:val="right" w:leader="dot" w:pos="8296"/>
            </w:tabs>
            <w:rPr>
              <w:rFonts w:eastAsiaTheme="minorEastAsia"/>
              <w:noProof/>
              <w:szCs w:val="22"/>
            </w:rPr>
          </w:pPr>
          <w:hyperlink w:anchor="_Toc148346972" w:history="1">
            <w:r w:rsidRPr="00705717">
              <w:rPr>
                <w:rStyle w:val="a9"/>
                <w:rFonts w:ascii="楷体" w:eastAsia="楷体" w:hAnsi="楷体"/>
                <w:b/>
                <w:noProof/>
              </w:rPr>
              <w:t>碳酸锂：厂商减产供应减量，期价大幅反弹</w:t>
            </w:r>
          </w:hyperlink>
        </w:p>
        <w:p w:rsidR="000A390A" w:rsidRDefault="000A390A">
          <w:pPr>
            <w:pStyle w:val="23"/>
            <w:tabs>
              <w:tab w:val="right" w:leader="dot" w:pos="8296"/>
            </w:tabs>
            <w:rPr>
              <w:rFonts w:eastAsiaTheme="minorEastAsia"/>
              <w:noProof/>
              <w:szCs w:val="22"/>
            </w:rPr>
          </w:pPr>
          <w:hyperlink w:anchor="_Toc148346973" w:history="1">
            <w:r w:rsidRPr="00705717">
              <w:rPr>
                <w:rStyle w:val="a9"/>
                <w:rFonts w:ascii="楷体" w:eastAsia="楷体" w:hAnsi="楷体"/>
                <w:b/>
                <w:noProof/>
              </w:rPr>
              <w:t>螺纹钢：成本支撑，需求压制，低估值下偏弱震荡</w:t>
            </w:r>
          </w:hyperlink>
        </w:p>
        <w:p w:rsidR="000A390A" w:rsidRDefault="000A390A">
          <w:pPr>
            <w:pStyle w:val="23"/>
            <w:tabs>
              <w:tab w:val="right" w:leader="dot" w:pos="8296"/>
            </w:tabs>
            <w:rPr>
              <w:rFonts w:eastAsiaTheme="minorEastAsia"/>
              <w:noProof/>
              <w:szCs w:val="22"/>
            </w:rPr>
          </w:pPr>
          <w:hyperlink w:anchor="_Toc148346974" w:history="1">
            <w:r w:rsidRPr="00705717">
              <w:rPr>
                <w:rStyle w:val="a9"/>
                <w:rFonts w:ascii="楷体" w:eastAsia="楷体" w:hAnsi="楷体"/>
                <w:b/>
                <w:noProof/>
              </w:rPr>
              <w:t>焦炭：成本支撑，震荡运行</w:t>
            </w:r>
          </w:hyperlink>
        </w:p>
        <w:p w:rsidR="000A390A" w:rsidRDefault="000A390A">
          <w:pPr>
            <w:pStyle w:val="23"/>
            <w:tabs>
              <w:tab w:val="right" w:leader="dot" w:pos="8296"/>
            </w:tabs>
            <w:rPr>
              <w:rFonts w:eastAsiaTheme="minorEastAsia"/>
              <w:noProof/>
              <w:szCs w:val="22"/>
            </w:rPr>
          </w:pPr>
          <w:hyperlink w:anchor="_Toc148346975" w:history="1">
            <w:r w:rsidRPr="00705717">
              <w:rPr>
                <w:rStyle w:val="a9"/>
                <w:rFonts w:ascii="楷体" w:eastAsia="楷体" w:hAnsi="楷体"/>
                <w:b/>
                <w:noProof/>
              </w:rPr>
              <w:t>焦煤：供需缺口收缩，价格高位震荡</w:t>
            </w:r>
          </w:hyperlink>
        </w:p>
        <w:p w:rsidR="000A390A" w:rsidRDefault="000A390A">
          <w:pPr>
            <w:pStyle w:val="23"/>
            <w:tabs>
              <w:tab w:val="right" w:leader="dot" w:pos="8296"/>
            </w:tabs>
            <w:rPr>
              <w:rFonts w:eastAsiaTheme="minorEastAsia"/>
              <w:noProof/>
              <w:szCs w:val="22"/>
            </w:rPr>
          </w:pPr>
          <w:hyperlink w:anchor="_Toc148346976" w:history="1">
            <w:r w:rsidRPr="00705717">
              <w:rPr>
                <w:rStyle w:val="a9"/>
                <w:rFonts w:ascii="楷体" w:eastAsia="楷体" w:hAnsi="楷体"/>
                <w:b/>
                <w:noProof/>
              </w:rPr>
              <w:t>铜：短期仍有走弱压力</w:t>
            </w:r>
          </w:hyperlink>
        </w:p>
        <w:p w:rsidR="000A390A" w:rsidRDefault="000A390A">
          <w:pPr>
            <w:pStyle w:val="23"/>
            <w:tabs>
              <w:tab w:val="right" w:leader="dot" w:pos="8296"/>
            </w:tabs>
            <w:rPr>
              <w:rFonts w:eastAsiaTheme="minorEastAsia"/>
              <w:noProof/>
              <w:szCs w:val="22"/>
            </w:rPr>
          </w:pPr>
          <w:hyperlink w:anchor="_Toc148346977" w:history="1">
            <w:r w:rsidRPr="00705717">
              <w:rPr>
                <w:rStyle w:val="a9"/>
                <w:rFonts w:ascii="楷体" w:eastAsia="楷体" w:hAnsi="楷体"/>
                <w:b/>
                <w:noProof/>
              </w:rPr>
              <w:t>铝：铝价上下有限，关注跌后逢低做多机会</w:t>
            </w:r>
          </w:hyperlink>
        </w:p>
        <w:p w:rsidR="000A390A" w:rsidRDefault="000A390A">
          <w:pPr>
            <w:pStyle w:val="23"/>
            <w:tabs>
              <w:tab w:val="right" w:leader="dot" w:pos="8296"/>
            </w:tabs>
            <w:rPr>
              <w:rFonts w:eastAsiaTheme="minorEastAsia"/>
              <w:noProof/>
              <w:szCs w:val="22"/>
            </w:rPr>
          </w:pPr>
          <w:hyperlink w:anchor="_Toc148346978" w:history="1">
            <w:r w:rsidRPr="00705717">
              <w:rPr>
                <w:rStyle w:val="a9"/>
                <w:rFonts w:ascii="楷体" w:eastAsia="楷体" w:hAnsi="楷体"/>
                <w:b/>
                <w:noProof/>
              </w:rPr>
              <w:t>锌：锌价偏弱运行</w:t>
            </w:r>
          </w:hyperlink>
        </w:p>
        <w:p w:rsidR="000A390A" w:rsidRDefault="000A390A">
          <w:pPr>
            <w:pStyle w:val="23"/>
            <w:tabs>
              <w:tab w:val="right" w:leader="dot" w:pos="8296"/>
            </w:tabs>
            <w:rPr>
              <w:rFonts w:eastAsiaTheme="minorEastAsia"/>
              <w:noProof/>
              <w:szCs w:val="22"/>
            </w:rPr>
          </w:pPr>
          <w:hyperlink w:anchor="_Toc148346979" w:history="1">
            <w:r w:rsidRPr="00705717">
              <w:rPr>
                <w:rStyle w:val="a9"/>
                <w:rFonts w:ascii="楷体" w:eastAsia="楷体" w:hAnsi="楷体"/>
                <w:b/>
                <w:noProof/>
              </w:rPr>
              <w:t>镍：供需矛盾叠加累库压力，预计延续震荡偏弱</w:t>
            </w:r>
          </w:hyperlink>
        </w:p>
        <w:p w:rsidR="000A390A" w:rsidRDefault="000A390A">
          <w:pPr>
            <w:pStyle w:val="23"/>
            <w:tabs>
              <w:tab w:val="right" w:leader="dot" w:pos="8296"/>
            </w:tabs>
            <w:rPr>
              <w:rFonts w:eastAsiaTheme="minorEastAsia"/>
              <w:noProof/>
              <w:szCs w:val="22"/>
            </w:rPr>
          </w:pPr>
          <w:hyperlink w:anchor="_Toc148346980" w:history="1">
            <w:r w:rsidRPr="00705717">
              <w:rPr>
                <w:rStyle w:val="a9"/>
                <w:rFonts w:ascii="楷体" w:eastAsia="楷体" w:hAnsi="楷体"/>
                <w:b/>
                <w:noProof/>
              </w:rPr>
              <w:t>铅：铝价上方压力仍存</w:t>
            </w:r>
          </w:hyperlink>
        </w:p>
        <w:p w:rsidR="000A390A" w:rsidRDefault="000A390A">
          <w:pPr>
            <w:pStyle w:val="23"/>
            <w:tabs>
              <w:tab w:val="right" w:leader="dot" w:pos="8296"/>
            </w:tabs>
            <w:rPr>
              <w:rFonts w:eastAsiaTheme="minorEastAsia"/>
              <w:noProof/>
              <w:szCs w:val="22"/>
            </w:rPr>
          </w:pPr>
          <w:hyperlink w:anchor="_Toc148346981" w:history="1">
            <w:r w:rsidRPr="00705717">
              <w:rPr>
                <w:rStyle w:val="a9"/>
                <w:rFonts w:ascii="楷体" w:eastAsia="楷体" w:hAnsi="楷体"/>
                <w:b/>
                <w:noProof/>
              </w:rPr>
              <w:t>不锈钢：供需双弱态势下，不锈钢价承压运行</w:t>
            </w:r>
          </w:hyperlink>
        </w:p>
        <w:p w:rsidR="000A390A" w:rsidRDefault="000A390A">
          <w:pPr>
            <w:pStyle w:val="23"/>
            <w:tabs>
              <w:tab w:val="right" w:leader="dot" w:pos="8296"/>
            </w:tabs>
            <w:rPr>
              <w:rFonts w:eastAsiaTheme="minorEastAsia"/>
              <w:noProof/>
              <w:szCs w:val="22"/>
            </w:rPr>
          </w:pPr>
          <w:hyperlink w:anchor="_Toc148346982" w:history="1">
            <w:r w:rsidRPr="00705717">
              <w:rPr>
                <w:rStyle w:val="a9"/>
                <w:rFonts w:ascii="楷体" w:eastAsia="楷体" w:hAnsi="楷体"/>
                <w:b/>
                <w:noProof/>
              </w:rPr>
              <w:t>工业硅：仓单压力逐步显现，市场或将承压运行</w:t>
            </w:r>
          </w:hyperlink>
        </w:p>
        <w:p w:rsidR="000A390A" w:rsidRDefault="000A390A">
          <w:pPr>
            <w:pStyle w:val="11"/>
            <w:tabs>
              <w:tab w:val="right" w:leader="dot" w:pos="8296"/>
            </w:tabs>
            <w:rPr>
              <w:rFonts w:eastAsiaTheme="minorEastAsia"/>
              <w:noProof/>
              <w:szCs w:val="22"/>
            </w:rPr>
          </w:pPr>
          <w:hyperlink w:anchor="_Toc148346983" w:history="1">
            <w:r w:rsidRPr="00705717">
              <w:rPr>
                <w:rStyle w:val="a9"/>
                <w:rFonts w:ascii="Times New Roman" w:eastAsia="楷体" w:hAnsi="Times New Roman"/>
                <w:b/>
                <w:noProof/>
              </w:rPr>
              <w:t>[</w:t>
            </w:r>
            <w:r w:rsidRPr="00705717">
              <w:rPr>
                <w:rStyle w:val="a9"/>
                <w:rFonts w:ascii="Times New Roman" w:eastAsia="楷体" w:hAnsi="Times New Roman"/>
                <w:b/>
                <w:noProof/>
              </w:rPr>
              <w:t>化工</w:t>
            </w:r>
            <w:r w:rsidRPr="00705717">
              <w:rPr>
                <w:rStyle w:val="a9"/>
                <w:rFonts w:ascii="Times New Roman" w:eastAsia="楷体" w:hAnsi="Times New Roman"/>
                <w:b/>
                <w:noProof/>
              </w:rPr>
              <w:t>]</w:t>
            </w:r>
          </w:hyperlink>
        </w:p>
        <w:p w:rsidR="000A390A" w:rsidRDefault="000A390A">
          <w:pPr>
            <w:pStyle w:val="23"/>
            <w:tabs>
              <w:tab w:val="right" w:leader="dot" w:pos="8296"/>
            </w:tabs>
            <w:rPr>
              <w:rFonts w:eastAsiaTheme="minorEastAsia"/>
              <w:noProof/>
              <w:szCs w:val="22"/>
            </w:rPr>
          </w:pPr>
          <w:hyperlink w:anchor="_Toc148346984" w:history="1">
            <w:r w:rsidRPr="00705717">
              <w:rPr>
                <w:rStyle w:val="a9"/>
                <w:rFonts w:ascii="Times New Roman" w:eastAsia="楷体" w:hAnsi="Times New Roman"/>
                <w:b/>
                <w:noProof/>
              </w:rPr>
              <w:t>天然橡胶</w:t>
            </w:r>
            <w:r w:rsidRPr="00705717">
              <w:rPr>
                <w:rStyle w:val="a9"/>
                <w:rFonts w:ascii="Times New Roman" w:eastAsia="楷体" w:hAnsi="Times New Roman"/>
                <w:b/>
                <w:noProof/>
              </w:rPr>
              <w:t>:</w:t>
            </w:r>
            <w:r w:rsidRPr="00705717">
              <w:rPr>
                <w:rStyle w:val="a9"/>
                <w:rFonts w:ascii="楷体" w:eastAsia="楷体" w:hAnsi="楷体"/>
                <w:b/>
                <w:noProof/>
              </w:rPr>
              <w:t xml:space="preserve"> 基本面积极因素偏多，橡胶仍存偏强预期</w:t>
            </w:r>
          </w:hyperlink>
        </w:p>
        <w:p w:rsidR="000A390A" w:rsidRDefault="000A390A">
          <w:pPr>
            <w:pStyle w:val="23"/>
            <w:tabs>
              <w:tab w:val="right" w:leader="dot" w:pos="8296"/>
            </w:tabs>
            <w:rPr>
              <w:rFonts w:eastAsiaTheme="minorEastAsia"/>
              <w:noProof/>
              <w:szCs w:val="22"/>
            </w:rPr>
          </w:pPr>
          <w:hyperlink w:anchor="_Toc148346985" w:history="1">
            <w:r w:rsidRPr="00705717">
              <w:rPr>
                <w:rStyle w:val="a9"/>
                <w:rFonts w:ascii="楷体" w:eastAsia="楷体" w:hAnsi="楷体"/>
                <w:b/>
                <w:noProof/>
              </w:rPr>
              <w:t>PTA：供需矛盾暂时缓解 但向上驱动仍不足</w:t>
            </w:r>
          </w:hyperlink>
        </w:p>
        <w:p w:rsidR="000A390A" w:rsidRDefault="000A390A">
          <w:pPr>
            <w:pStyle w:val="23"/>
            <w:tabs>
              <w:tab w:val="right" w:leader="dot" w:pos="8296"/>
            </w:tabs>
            <w:rPr>
              <w:rFonts w:eastAsiaTheme="minorEastAsia"/>
              <w:noProof/>
              <w:szCs w:val="22"/>
            </w:rPr>
          </w:pPr>
          <w:hyperlink w:anchor="_Toc148346986" w:history="1">
            <w:r w:rsidRPr="00705717">
              <w:rPr>
                <w:rStyle w:val="a9"/>
                <w:rFonts w:ascii="楷体" w:eastAsia="楷体" w:hAnsi="楷体"/>
                <w:b/>
                <w:noProof/>
              </w:rPr>
              <w:t>PVC：高库存+弱复苏 驱动不足</w:t>
            </w:r>
          </w:hyperlink>
        </w:p>
        <w:p w:rsidR="000A390A" w:rsidRDefault="000A390A">
          <w:pPr>
            <w:pStyle w:val="23"/>
            <w:tabs>
              <w:tab w:val="right" w:leader="dot" w:pos="8296"/>
            </w:tabs>
            <w:rPr>
              <w:rFonts w:eastAsiaTheme="minorEastAsia"/>
              <w:noProof/>
              <w:szCs w:val="22"/>
            </w:rPr>
          </w:pPr>
          <w:hyperlink w:anchor="_Toc148346987" w:history="1">
            <w:r w:rsidRPr="00705717">
              <w:rPr>
                <w:rStyle w:val="a9"/>
                <w:rFonts w:ascii="楷体" w:eastAsia="楷体" w:hAnsi="楷体"/>
                <w:b/>
                <w:noProof/>
              </w:rPr>
              <w:t>聚烯烃：市场缺乏利好提振 聚烯烃偏弱整理为主</w:t>
            </w:r>
          </w:hyperlink>
        </w:p>
        <w:p w:rsidR="000A390A" w:rsidRDefault="000A390A">
          <w:pPr>
            <w:pStyle w:val="23"/>
            <w:tabs>
              <w:tab w:val="right" w:leader="dot" w:pos="8296"/>
            </w:tabs>
            <w:rPr>
              <w:rFonts w:eastAsiaTheme="minorEastAsia"/>
              <w:noProof/>
              <w:szCs w:val="22"/>
            </w:rPr>
          </w:pPr>
          <w:hyperlink w:anchor="_Toc148346988" w:history="1">
            <w:r w:rsidRPr="00705717">
              <w:rPr>
                <w:rStyle w:val="a9"/>
                <w:rFonts w:ascii="楷体" w:eastAsia="楷体" w:hAnsi="楷体"/>
                <w:b/>
                <w:noProof/>
              </w:rPr>
              <w:t>MEG：具备低多价值</w:t>
            </w:r>
          </w:hyperlink>
        </w:p>
        <w:p w:rsidR="000A390A" w:rsidRDefault="000A390A">
          <w:pPr>
            <w:pStyle w:val="23"/>
            <w:tabs>
              <w:tab w:val="right" w:leader="dot" w:pos="8296"/>
            </w:tabs>
            <w:rPr>
              <w:rFonts w:eastAsiaTheme="minorEastAsia"/>
              <w:noProof/>
              <w:szCs w:val="22"/>
            </w:rPr>
          </w:pPr>
          <w:hyperlink w:anchor="_Toc148346989" w:history="1">
            <w:r w:rsidRPr="00705717">
              <w:rPr>
                <w:rStyle w:val="a9"/>
                <w:rFonts w:ascii="楷体" w:eastAsia="楷体" w:hAnsi="楷体"/>
                <w:b/>
                <w:noProof/>
              </w:rPr>
              <w:t>玻璃：产销走弱，震荡偏空</w:t>
            </w:r>
          </w:hyperlink>
        </w:p>
        <w:p w:rsidR="000A390A" w:rsidRDefault="000A390A">
          <w:pPr>
            <w:pStyle w:val="23"/>
            <w:tabs>
              <w:tab w:val="right" w:leader="dot" w:pos="8296"/>
            </w:tabs>
            <w:rPr>
              <w:rFonts w:eastAsiaTheme="minorEastAsia"/>
              <w:noProof/>
              <w:szCs w:val="22"/>
            </w:rPr>
          </w:pPr>
          <w:hyperlink w:anchor="_Toc148346990" w:history="1">
            <w:r w:rsidRPr="00705717">
              <w:rPr>
                <w:rStyle w:val="a9"/>
                <w:rFonts w:ascii="楷体" w:eastAsia="楷体" w:hAnsi="楷体"/>
                <w:b/>
                <w:noProof/>
              </w:rPr>
              <w:t>纯碱：现货重心下移，反弹逢高做空</w:t>
            </w:r>
          </w:hyperlink>
        </w:p>
        <w:p w:rsidR="000A390A" w:rsidRDefault="000A390A">
          <w:pPr>
            <w:pStyle w:val="11"/>
            <w:tabs>
              <w:tab w:val="right" w:leader="dot" w:pos="8296"/>
            </w:tabs>
            <w:rPr>
              <w:rFonts w:eastAsiaTheme="minorEastAsia"/>
              <w:noProof/>
              <w:szCs w:val="22"/>
            </w:rPr>
          </w:pPr>
          <w:hyperlink w:anchor="_Toc148346991" w:history="1">
            <w:r w:rsidRPr="00705717">
              <w:rPr>
                <w:rStyle w:val="a9"/>
                <w:rFonts w:ascii="Times New Roman" w:eastAsia="楷体" w:hAnsi="Times New Roman"/>
                <w:b/>
                <w:noProof/>
              </w:rPr>
              <w:t>[</w:t>
            </w:r>
            <w:r w:rsidRPr="00705717">
              <w:rPr>
                <w:rStyle w:val="a9"/>
                <w:rFonts w:ascii="Times New Roman" w:eastAsia="楷体" w:hAnsi="Times New Roman"/>
                <w:b/>
                <w:noProof/>
              </w:rPr>
              <w:t>农产品</w:t>
            </w:r>
            <w:r w:rsidRPr="00705717">
              <w:rPr>
                <w:rStyle w:val="a9"/>
                <w:rFonts w:ascii="Times New Roman" w:eastAsia="楷体" w:hAnsi="Times New Roman"/>
                <w:b/>
                <w:noProof/>
              </w:rPr>
              <w:t>]</w:t>
            </w:r>
          </w:hyperlink>
        </w:p>
        <w:p w:rsidR="000A390A" w:rsidRDefault="000A390A">
          <w:pPr>
            <w:pStyle w:val="23"/>
            <w:tabs>
              <w:tab w:val="right" w:leader="dot" w:pos="8296"/>
            </w:tabs>
            <w:rPr>
              <w:rFonts w:eastAsiaTheme="minorEastAsia"/>
              <w:noProof/>
              <w:szCs w:val="22"/>
            </w:rPr>
          </w:pPr>
          <w:hyperlink w:anchor="_Toc148346992" w:history="1">
            <w:r w:rsidRPr="00705717">
              <w:rPr>
                <w:rStyle w:val="a9"/>
                <w:rFonts w:ascii="楷体" w:eastAsia="楷体" w:hAnsi="楷体"/>
                <w:b/>
                <w:noProof/>
              </w:rPr>
              <w:t>豆粕/菜粕：上方压力仍存</w:t>
            </w:r>
          </w:hyperlink>
        </w:p>
        <w:p w:rsidR="000A390A" w:rsidRDefault="000A390A">
          <w:pPr>
            <w:pStyle w:val="23"/>
            <w:tabs>
              <w:tab w:val="right" w:leader="dot" w:pos="8296"/>
            </w:tabs>
            <w:rPr>
              <w:rFonts w:eastAsiaTheme="minorEastAsia"/>
              <w:noProof/>
              <w:szCs w:val="22"/>
            </w:rPr>
          </w:pPr>
          <w:hyperlink w:anchor="_Toc148346993" w:history="1">
            <w:r w:rsidRPr="00705717">
              <w:rPr>
                <w:rStyle w:val="a9"/>
                <w:rFonts w:ascii="楷体" w:eastAsia="楷体" w:hAnsi="楷体"/>
                <w:b/>
                <w:noProof/>
              </w:rPr>
              <w:t>油脂：短期上行驱动不足，宽幅震荡</w:t>
            </w:r>
          </w:hyperlink>
        </w:p>
        <w:p w:rsidR="000A390A" w:rsidRDefault="000A390A">
          <w:pPr>
            <w:pStyle w:val="23"/>
            <w:tabs>
              <w:tab w:val="right" w:leader="dot" w:pos="8296"/>
            </w:tabs>
            <w:rPr>
              <w:rFonts w:eastAsiaTheme="minorEastAsia"/>
              <w:noProof/>
              <w:szCs w:val="22"/>
            </w:rPr>
          </w:pPr>
          <w:hyperlink w:anchor="_Toc148346994" w:history="1">
            <w:r w:rsidRPr="00705717">
              <w:rPr>
                <w:rStyle w:val="a9"/>
                <w:rFonts w:ascii="楷体" w:eastAsia="楷体" w:hAnsi="楷体"/>
                <w:b/>
                <w:bCs/>
                <w:noProof/>
              </w:rPr>
              <w:t>玉米与淀粉：</w:t>
            </w:r>
            <w:r w:rsidRPr="00705717">
              <w:rPr>
                <w:rStyle w:val="a9"/>
                <w:rFonts w:ascii="楷体" w:eastAsia="楷体" w:hAnsi="楷体"/>
                <w:b/>
                <w:noProof/>
              </w:rPr>
              <w:t>淀粉-玉米价差继续小幅走扩</w:t>
            </w:r>
          </w:hyperlink>
        </w:p>
        <w:p w:rsidR="000A390A" w:rsidRDefault="000A390A">
          <w:pPr>
            <w:pStyle w:val="23"/>
            <w:tabs>
              <w:tab w:val="right" w:leader="dot" w:pos="8296"/>
            </w:tabs>
            <w:rPr>
              <w:rFonts w:eastAsiaTheme="minorEastAsia"/>
              <w:noProof/>
              <w:szCs w:val="22"/>
            </w:rPr>
          </w:pPr>
          <w:hyperlink w:anchor="_Toc148346995" w:history="1">
            <w:r w:rsidRPr="00705717">
              <w:rPr>
                <w:rStyle w:val="a9"/>
                <w:rFonts w:ascii="楷体" w:eastAsia="楷体" w:hAnsi="楷体"/>
                <w:b/>
                <w:bCs/>
                <w:noProof/>
              </w:rPr>
              <w:t>畜禽养殖：现货带动近月大幅下挫</w:t>
            </w:r>
          </w:hyperlink>
        </w:p>
        <w:p w:rsidR="000A390A" w:rsidRDefault="000A390A">
          <w:pPr>
            <w:pStyle w:val="23"/>
            <w:tabs>
              <w:tab w:val="right" w:leader="dot" w:pos="8296"/>
            </w:tabs>
            <w:rPr>
              <w:rFonts w:eastAsiaTheme="minorEastAsia"/>
              <w:noProof/>
              <w:szCs w:val="22"/>
            </w:rPr>
          </w:pPr>
          <w:hyperlink w:anchor="_Toc148346996" w:history="1">
            <w:r w:rsidRPr="00705717">
              <w:rPr>
                <w:rStyle w:val="a9"/>
                <w:rFonts w:ascii="楷体" w:eastAsia="楷体" w:hAnsi="楷体"/>
                <w:b/>
                <w:noProof/>
              </w:rPr>
              <w:t>郑棉：等待反弹后高空机会</w:t>
            </w:r>
          </w:hyperlink>
        </w:p>
        <w:p w:rsidR="000A390A" w:rsidRDefault="000A390A">
          <w:pPr>
            <w:pStyle w:val="23"/>
            <w:tabs>
              <w:tab w:val="right" w:leader="dot" w:pos="8296"/>
            </w:tabs>
            <w:rPr>
              <w:rFonts w:eastAsiaTheme="minorEastAsia"/>
              <w:noProof/>
              <w:szCs w:val="22"/>
            </w:rPr>
          </w:pPr>
          <w:hyperlink w:anchor="_Toc148346997" w:history="1">
            <w:r w:rsidRPr="00705717">
              <w:rPr>
                <w:rStyle w:val="a9"/>
                <w:rFonts w:ascii="楷体" w:eastAsia="楷体" w:hAnsi="楷体"/>
                <w:b/>
                <w:noProof/>
              </w:rPr>
              <w:t>白糖：区间宽幅震荡，观望或等待高空机会</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834696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8346968"/>
      <w:bookmarkEnd w:id="4"/>
      <w:r>
        <w:rPr>
          <w:rFonts w:ascii="Times New Roman" w:eastAsia="楷体" w:hAnsi="Times New Roman" w:hint="eastAsia"/>
          <w:b/>
          <w:color w:val="000000" w:themeColor="text1"/>
          <w:sz w:val="24"/>
          <w:szCs w:val="24"/>
        </w:rPr>
        <w:t>股指：</w:t>
      </w:r>
      <w:bookmarkEnd w:id="6"/>
      <w:bookmarkEnd w:id="7"/>
      <w:r w:rsidR="009E5993" w:rsidRPr="009E5993">
        <w:rPr>
          <w:rFonts w:ascii="Times New Roman" w:eastAsia="楷体" w:hAnsi="Times New Roman" w:hint="eastAsia"/>
          <w:b/>
          <w:color w:val="000000" w:themeColor="text1"/>
          <w:sz w:val="24"/>
          <w:szCs w:val="24"/>
        </w:rPr>
        <w:t>IM</w:t>
      </w:r>
      <w:r w:rsidR="009E5993" w:rsidRPr="009E5993">
        <w:rPr>
          <w:rFonts w:ascii="Times New Roman" w:eastAsia="楷体" w:hAnsi="Times New Roman" w:hint="eastAsia"/>
          <w:b/>
          <w:color w:val="000000" w:themeColor="text1"/>
          <w:sz w:val="24"/>
          <w:szCs w:val="24"/>
        </w:rPr>
        <w:t>多单持有</w:t>
      </w:r>
      <w:bookmarkEnd w:id="8"/>
    </w:p>
    <w:p w:rsidR="003F56A5" w:rsidRDefault="009E5993" w:rsidP="00D14B3E">
      <w:pPr>
        <w:ind w:leftChars="300" w:left="630"/>
        <w:rPr>
          <w:rFonts w:ascii="Times New Roman" w:eastAsia="楷体" w:hAnsi="Times New Roman"/>
          <w:color w:val="000000" w:themeColor="text1"/>
          <w:sz w:val="24"/>
          <w:szCs w:val="24"/>
        </w:rPr>
      </w:pPr>
      <w:r w:rsidRPr="009E5993">
        <w:rPr>
          <w:rFonts w:ascii="Times New Roman" w:eastAsia="楷体" w:hAnsi="Times New Roman" w:hint="eastAsia"/>
          <w:color w:val="000000" w:themeColor="text1"/>
          <w:sz w:val="24"/>
          <w:szCs w:val="24"/>
        </w:rPr>
        <w:t>海外风险事件压制市场风险偏好，周末碧桂园公告诱发地产债务违约担忧，尽管市场仍存一定尾部风险，但我们对市场中期持乐观态度。政策持续发力，经济数据出现底部企稳的迹象，在宏观重大变化出现前，市场的赚钱效应集中在少数有短期催化的方向上。震荡市短期积累一定涨幅后，市场分歧都会增加，建议以底线思维进行交易</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834696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8346970"/>
      <w:r>
        <w:rPr>
          <w:rFonts w:ascii="Times New Roman" w:eastAsia="楷体" w:hAnsi="Times New Roman" w:hint="eastAsia"/>
          <w:b/>
          <w:color w:val="000000" w:themeColor="text1"/>
          <w:sz w:val="24"/>
          <w:szCs w:val="24"/>
        </w:rPr>
        <w:t>贵金属：</w:t>
      </w:r>
      <w:r w:rsidR="009E5993" w:rsidRPr="009E5993">
        <w:rPr>
          <w:rFonts w:ascii="Times New Roman" w:eastAsia="楷体" w:hAnsi="Times New Roman" w:hint="eastAsia"/>
          <w:b/>
          <w:color w:val="000000" w:themeColor="text1"/>
          <w:sz w:val="24"/>
          <w:szCs w:val="24"/>
        </w:rPr>
        <w:t>美国通胀高于预期，贵金属价格反弹</w:t>
      </w:r>
      <w:bookmarkEnd w:id="10"/>
    </w:p>
    <w:p w:rsidR="003F56A5" w:rsidRDefault="009E5993">
      <w:pPr>
        <w:ind w:leftChars="300" w:left="630"/>
        <w:rPr>
          <w:rFonts w:ascii="Times New Roman" w:eastAsia="楷体" w:hAnsi="Times New Roman"/>
          <w:sz w:val="24"/>
          <w:szCs w:val="24"/>
        </w:rPr>
      </w:pPr>
      <w:r w:rsidRPr="009E5993">
        <w:rPr>
          <w:rFonts w:ascii="Times New Roman" w:eastAsia="楷体" w:hAnsi="Times New Roman" w:hint="eastAsia"/>
          <w:color w:val="000000" w:themeColor="text1"/>
          <w:sz w:val="24"/>
          <w:szCs w:val="24"/>
        </w:rPr>
        <w:t>美国</w:t>
      </w:r>
      <w:r w:rsidRPr="009E5993">
        <w:rPr>
          <w:rFonts w:ascii="Times New Roman" w:eastAsia="楷体" w:hAnsi="Times New Roman" w:hint="eastAsia"/>
          <w:color w:val="000000" w:themeColor="text1"/>
          <w:sz w:val="24"/>
          <w:szCs w:val="24"/>
        </w:rPr>
        <w:t>9</w:t>
      </w:r>
      <w:r w:rsidRPr="009E5993">
        <w:rPr>
          <w:rFonts w:ascii="Times New Roman" w:eastAsia="楷体" w:hAnsi="Times New Roman" w:hint="eastAsia"/>
          <w:color w:val="000000" w:themeColor="text1"/>
          <w:sz w:val="24"/>
          <w:szCs w:val="24"/>
        </w:rPr>
        <w:t>月</w:t>
      </w:r>
      <w:r w:rsidRPr="009E5993">
        <w:rPr>
          <w:rFonts w:ascii="Times New Roman" w:eastAsia="楷体" w:hAnsi="Times New Roman" w:hint="eastAsia"/>
          <w:color w:val="000000" w:themeColor="text1"/>
          <w:sz w:val="24"/>
          <w:szCs w:val="24"/>
        </w:rPr>
        <w:t>CPI</w:t>
      </w:r>
      <w:r w:rsidRPr="009E5993">
        <w:rPr>
          <w:rFonts w:ascii="Times New Roman" w:eastAsia="楷体" w:hAnsi="Times New Roman" w:hint="eastAsia"/>
          <w:color w:val="000000" w:themeColor="text1"/>
          <w:sz w:val="24"/>
          <w:szCs w:val="24"/>
        </w:rPr>
        <w:t>同比增</w:t>
      </w:r>
      <w:r w:rsidRPr="009E5993">
        <w:rPr>
          <w:rFonts w:ascii="Times New Roman" w:eastAsia="楷体" w:hAnsi="Times New Roman" w:hint="eastAsia"/>
          <w:color w:val="000000" w:themeColor="text1"/>
          <w:sz w:val="24"/>
          <w:szCs w:val="24"/>
        </w:rPr>
        <w:t>3.7%</w:t>
      </w:r>
      <w:r w:rsidRPr="009E5993">
        <w:rPr>
          <w:rFonts w:ascii="Times New Roman" w:eastAsia="楷体" w:hAnsi="Times New Roman" w:hint="eastAsia"/>
          <w:color w:val="000000" w:themeColor="text1"/>
          <w:sz w:val="24"/>
          <w:szCs w:val="24"/>
        </w:rPr>
        <w:t>，环比增</w:t>
      </w:r>
      <w:r w:rsidRPr="009E5993">
        <w:rPr>
          <w:rFonts w:ascii="Times New Roman" w:eastAsia="楷体" w:hAnsi="Times New Roman" w:hint="eastAsia"/>
          <w:color w:val="000000" w:themeColor="text1"/>
          <w:sz w:val="24"/>
          <w:szCs w:val="24"/>
        </w:rPr>
        <w:t>0.4%</w:t>
      </w:r>
      <w:r w:rsidRPr="009E5993">
        <w:rPr>
          <w:rFonts w:ascii="Times New Roman" w:eastAsia="楷体" w:hAnsi="Times New Roman" w:hint="eastAsia"/>
          <w:color w:val="000000" w:themeColor="text1"/>
          <w:sz w:val="24"/>
          <w:szCs w:val="24"/>
        </w:rPr>
        <w:t>，高于此前预期。上周美联储柯林斯表示，不排除进一步加息的可能性，国债收益率上升提示当前政策利率接近峰值，</w:t>
      </w:r>
      <w:r w:rsidRPr="009E5993">
        <w:rPr>
          <w:rFonts w:ascii="Times New Roman" w:eastAsia="楷体" w:hAnsi="Times New Roman" w:hint="eastAsia"/>
          <w:color w:val="000000" w:themeColor="text1"/>
          <w:sz w:val="24"/>
          <w:szCs w:val="24"/>
        </w:rPr>
        <w:t>CPI</w:t>
      </w:r>
      <w:r w:rsidRPr="009E5993">
        <w:rPr>
          <w:rFonts w:ascii="Times New Roman" w:eastAsia="楷体" w:hAnsi="Times New Roman" w:hint="eastAsia"/>
          <w:color w:val="000000" w:themeColor="text1"/>
          <w:sz w:val="24"/>
          <w:szCs w:val="24"/>
        </w:rPr>
        <w:t>通胀数据显示物价恢复稳定仍需要时间，对于经济避免衰退保持乐观。短线投机资金表现相对谨慎，贵金属</w:t>
      </w:r>
      <w:r w:rsidRPr="009E5993">
        <w:rPr>
          <w:rFonts w:ascii="Times New Roman" w:eastAsia="楷体" w:hAnsi="Times New Roman" w:hint="eastAsia"/>
          <w:color w:val="000000" w:themeColor="text1"/>
          <w:sz w:val="24"/>
          <w:szCs w:val="24"/>
        </w:rPr>
        <w:t>ETF</w:t>
      </w:r>
      <w:r w:rsidRPr="009E5993">
        <w:rPr>
          <w:rFonts w:ascii="Times New Roman" w:eastAsia="楷体" w:hAnsi="Times New Roman" w:hint="eastAsia"/>
          <w:color w:val="000000" w:themeColor="text1"/>
          <w:sz w:val="24"/>
          <w:szCs w:val="24"/>
        </w:rPr>
        <w:t>持仓流出。截至</w:t>
      </w:r>
      <w:r w:rsidRPr="009E5993">
        <w:rPr>
          <w:rFonts w:ascii="Times New Roman" w:eastAsia="楷体" w:hAnsi="Times New Roman" w:hint="eastAsia"/>
          <w:color w:val="000000" w:themeColor="text1"/>
          <w:sz w:val="24"/>
          <w:szCs w:val="24"/>
        </w:rPr>
        <w:t>10</w:t>
      </w:r>
      <w:r w:rsidRPr="009E5993">
        <w:rPr>
          <w:rFonts w:ascii="Times New Roman" w:eastAsia="楷体" w:hAnsi="Times New Roman" w:hint="eastAsia"/>
          <w:color w:val="000000" w:themeColor="text1"/>
          <w:sz w:val="24"/>
          <w:szCs w:val="24"/>
        </w:rPr>
        <w:t>月</w:t>
      </w:r>
      <w:r w:rsidRPr="009E5993">
        <w:rPr>
          <w:rFonts w:ascii="Times New Roman" w:eastAsia="楷体" w:hAnsi="Times New Roman" w:hint="eastAsia"/>
          <w:color w:val="000000" w:themeColor="text1"/>
          <w:sz w:val="24"/>
          <w:szCs w:val="24"/>
        </w:rPr>
        <w:t>10</w:t>
      </w:r>
      <w:r w:rsidRPr="009E5993">
        <w:rPr>
          <w:rFonts w:ascii="Times New Roman" w:eastAsia="楷体" w:hAnsi="Times New Roman" w:hint="eastAsia"/>
          <w:color w:val="000000" w:themeColor="text1"/>
          <w:sz w:val="24"/>
          <w:szCs w:val="24"/>
        </w:rPr>
        <w:t>日当周，</w:t>
      </w:r>
      <w:r w:rsidRPr="009E5993">
        <w:rPr>
          <w:rFonts w:ascii="Times New Roman" w:eastAsia="楷体" w:hAnsi="Times New Roman" w:hint="eastAsia"/>
          <w:color w:val="000000" w:themeColor="text1"/>
          <w:sz w:val="24"/>
          <w:szCs w:val="24"/>
        </w:rPr>
        <w:t>COMEX</w:t>
      </w:r>
      <w:r w:rsidRPr="009E5993">
        <w:rPr>
          <w:rFonts w:ascii="Times New Roman" w:eastAsia="楷体" w:hAnsi="Times New Roman" w:hint="eastAsia"/>
          <w:color w:val="000000" w:themeColor="text1"/>
          <w:sz w:val="24"/>
          <w:szCs w:val="24"/>
        </w:rPr>
        <w:t>黄金期货管理基金维持净空持仓，持仓减少</w:t>
      </w:r>
      <w:r w:rsidRPr="009E5993">
        <w:rPr>
          <w:rFonts w:ascii="Times New Roman" w:eastAsia="楷体" w:hAnsi="Times New Roman" w:hint="eastAsia"/>
          <w:color w:val="000000" w:themeColor="text1"/>
          <w:sz w:val="24"/>
          <w:szCs w:val="24"/>
        </w:rPr>
        <w:t>19206</w:t>
      </w:r>
      <w:r w:rsidRPr="009E5993">
        <w:rPr>
          <w:rFonts w:ascii="Times New Roman" w:eastAsia="楷体" w:hAnsi="Times New Roman" w:hint="eastAsia"/>
          <w:color w:val="000000" w:themeColor="text1"/>
          <w:sz w:val="24"/>
          <w:szCs w:val="24"/>
        </w:rPr>
        <w:t>手至</w:t>
      </w:r>
      <w:r w:rsidRPr="009E5993">
        <w:rPr>
          <w:rFonts w:ascii="Times New Roman" w:eastAsia="楷体" w:hAnsi="Times New Roman" w:hint="eastAsia"/>
          <w:color w:val="000000" w:themeColor="text1"/>
          <w:sz w:val="24"/>
          <w:szCs w:val="24"/>
        </w:rPr>
        <w:t>26767</w:t>
      </w:r>
      <w:r w:rsidRPr="009E5993">
        <w:rPr>
          <w:rFonts w:ascii="Times New Roman" w:eastAsia="楷体" w:hAnsi="Times New Roman" w:hint="eastAsia"/>
          <w:color w:val="000000" w:themeColor="text1"/>
          <w:sz w:val="24"/>
          <w:szCs w:val="24"/>
        </w:rPr>
        <w:t>手；</w:t>
      </w:r>
      <w:r w:rsidRPr="009E5993">
        <w:rPr>
          <w:rFonts w:ascii="Times New Roman" w:eastAsia="楷体" w:hAnsi="Times New Roman" w:hint="eastAsia"/>
          <w:color w:val="000000" w:themeColor="text1"/>
          <w:sz w:val="24"/>
          <w:szCs w:val="24"/>
        </w:rPr>
        <w:t>COMEX</w:t>
      </w:r>
      <w:r w:rsidRPr="009E5993">
        <w:rPr>
          <w:rFonts w:ascii="Times New Roman" w:eastAsia="楷体" w:hAnsi="Times New Roman" w:hint="eastAsia"/>
          <w:color w:val="000000" w:themeColor="text1"/>
          <w:sz w:val="24"/>
          <w:szCs w:val="24"/>
        </w:rPr>
        <w:t>白银期货管理基金维持净空持仓，持仓减少</w:t>
      </w:r>
      <w:r w:rsidRPr="009E5993">
        <w:rPr>
          <w:rFonts w:ascii="Times New Roman" w:eastAsia="楷体" w:hAnsi="Times New Roman" w:hint="eastAsia"/>
          <w:color w:val="000000" w:themeColor="text1"/>
          <w:sz w:val="24"/>
          <w:szCs w:val="24"/>
        </w:rPr>
        <w:t>2697</w:t>
      </w:r>
      <w:r w:rsidRPr="009E5993">
        <w:rPr>
          <w:rFonts w:ascii="Times New Roman" w:eastAsia="楷体" w:hAnsi="Times New Roman" w:hint="eastAsia"/>
          <w:color w:val="000000" w:themeColor="text1"/>
          <w:sz w:val="24"/>
          <w:szCs w:val="24"/>
        </w:rPr>
        <w:t>手至</w:t>
      </w:r>
      <w:r w:rsidRPr="009E5993">
        <w:rPr>
          <w:rFonts w:ascii="Times New Roman" w:eastAsia="楷体" w:hAnsi="Times New Roman" w:hint="eastAsia"/>
          <w:color w:val="000000" w:themeColor="text1"/>
          <w:sz w:val="24"/>
          <w:szCs w:val="24"/>
        </w:rPr>
        <w:t>4947</w:t>
      </w:r>
      <w:r w:rsidRPr="009E5993">
        <w:rPr>
          <w:rFonts w:ascii="Times New Roman" w:eastAsia="楷体" w:hAnsi="Times New Roman" w:hint="eastAsia"/>
          <w:color w:val="000000" w:themeColor="text1"/>
          <w:sz w:val="24"/>
          <w:szCs w:val="24"/>
        </w:rPr>
        <w:t>手。截至</w:t>
      </w:r>
      <w:r w:rsidRPr="009E5993">
        <w:rPr>
          <w:rFonts w:ascii="Times New Roman" w:eastAsia="楷体" w:hAnsi="Times New Roman" w:hint="eastAsia"/>
          <w:color w:val="000000" w:themeColor="text1"/>
          <w:sz w:val="24"/>
          <w:szCs w:val="24"/>
        </w:rPr>
        <w:t>10</w:t>
      </w:r>
      <w:r w:rsidRPr="009E5993">
        <w:rPr>
          <w:rFonts w:ascii="Times New Roman" w:eastAsia="楷体" w:hAnsi="Times New Roman" w:hint="eastAsia"/>
          <w:color w:val="000000" w:themeColor="text1"/>
          <w:sz w:val="24"/>
          <w:szCs w:val="24"/>
        </w:rPr>
        <w:t>月</w:t>
      </w:r>
      <w:r w:rsidRPr="009E5993">
        <w:rPr>
          <w:rFonts w:ascii="Times New Roman" w:eastAsia="楷体" w:hAnsi="Times New Roman" w:hint="eastAsia"/>
          <w:color w:val="000000" w:themeColor="text1"/>
          <w:sz w:val="24"/>
          <w:szCs w:val="24"/>
        </w:rPr>
        <w:t>13</w:t>
      </w:r>
      <w:r w:rsidRPr="009E5993">
        <w:rPr>
          <w:rFonts w:ascii="Times New Roman" w:eastAsia="楷体" w:hAnsi="Times New Roman" w:hint="eastAsia"/>
          <w:color w:val="000000" w:themeColor="text1"/>
          <w:sz w:val="24"/>
          <w:szCs w:val="24"/>
        </w:rPr>
        <w:t>日，</w:t>
      </w:r>
      <w:r w:rsidRPr="009E5993">
        <w:rPr>
          <w:rFonts w:ascii="Times New Roman" w:eastAsia="楷体" w:hAnsi="Times New Roman" w:hint="eastAsia"/>
          <w:color w:val="000000" w:themeColor="text1"/>
          <w:sz w:val="24"/>
          <w:szCs w:val="24"/>
        </w:rPr>
        <w:t>SPDR</w:t>
      </w:r>
      <w:r w:rsidRPr="009E5993">
        <w:rPr>
          <w:rFonts w:ascii="Times New Roman" w:eastAsia="楷体" w:hAnsi="Times New Roman" w:hint="eastAsia"/>
          <w:color w:val="000000" w:themeColor="text1"/>
          <w:sz w:val="24"/>
          <w:szCs w:val="24"/>
        </w:rPr>
        <w:t>黄金</w:t>
      </w:r>
      <w:r w:rsidRPr="009E5993">
        <w:rPr>
          <w:rFonts w:ascii="Times New Roman" w:eastAsia="楷体" w:hAnsi="Times New Roman" w:hint="eastAsia"/>
          <w:color w:val="000000" w:themeColor="text1"/>
          <w:sz w:val="24"/>
          <w:szCs w:val="24"/>
        </w:rPr>
        <w:t>ETF</w:t>
      </w:r>
      <w:r w:rsidRPr="009E5993">
        <w:rPr>
          <w:rFonts w:ascii="Times New Roman" w:eastAsia="楷体" w:hAnsi="Times New Roman" w:hint="eastAsia"/>
          <w:color w:val="000000" w:themeColor="text1"/>
          <w:sz w:val="24"/>
          <w:szCs w:val="24"/>
        </w:rPr>
        <w:t>持仓</w:t>
      </w:r>
      <w:r w:rsidRPr="009E5993">
        <w:rPr>
          <w:rFonts w:ascii="Times New Roman" w:eastAsia="楷体" w:hAnsi="Times New Roman" w:hint="eastAsia"/>
          <w:color w:val="000000" w:themeColor="text1"/>
          <w:sz w:val="24"/>
          <w:szCs w:val="24"/>
        </w:rPr>
        <w:t>862.37</w:t>
      </w:r>
      <w:r w:rsidRPr="009E5993">
        <w:rPr>
          <w:rFonts w:ascii="Times New Roman" w:eastAsia="楷体" w:hAnsi="Times New Roman" w:hint="eastAsia"/>
          <w:color w:val="000000" w:themeColor="text1"/>
          <w:sz w:val="24"/>
          <w:szCs w:val="24"/>
        </w:rPr>
        <w:t>吨，周内流出</w:t>
      </w:r>
      <w:r w:rsidRPr="009E5993">
        <w:rPr>
          <w:rFonts w:ascii="Times New Roman" w:eastAsia="楷体" w:hAnsi="Times New Roman" w:hint="eastAsia"/>
          <w:color w:val="000000" w:themeColor="text1"/>
          <w:sz w:val="24"/>
          <w:szCs w:val="24"/>
        </w:rPr>
        <w:t>3.48</w:t>
      </w:r>
      <w:r w:rsidRPr="009E5993">
        <w:rPr>
          <w:rFonts w:ascii="Times New Roman" w:eastAsia="楷体" w:hAnsi="Times New Roman" w:hint="eastAsia"/>
          <w:color w:val="000000" w:themeColor="text1"/>
          <w:sz w:val="24"/>
          <w:szCs w:val="24"/>
        </w:rPr>
        <w:t>吨。截至</w:t>
      </w:r>
      <w:r w:rsidRPr="009E5993">
        <w:rPr>
          <w:rFonts w:ascii="Times New Roman" w:eastAsia="楷体" w:hAnsi="Times New Roman" w:hint="eastAsia"/>
          <w:color w:val="000000" w:themeColor="text1"/>
          <w:sz w:val="24"/>
          <w:szCs w:val="24"/>
        </w:rPr>
        <w:t>10</w:t>
      </w:r>
      <w:r w:rsidRPr="009E5993">
        <w:rPr>
          <w:rFonts w:ascii="Times New Roman" w:eastAsia="楷体" w:hAnsi="Times New Roman" w:hint="eastAsia"/>
          <w:color w:val="000000" w:themeColor="text1"/>
          <w:sz w:val="24"/>
          <w:szCs w:val="24"/>
        </w:rPr>
        <w:t>月</w:t>
      </w:r>
      <w:r w:rsidRPr="009E5993">
        <w:rPr>
          <w:rFonts w:ascii="Times New Roman" w:eastAsia="楷体" w:hAnsi="Times New Roman" w:hint="eastAsia"/>
          <w:color w:val="000000" w:themeColor="text1"/>
          <w:sz w:val="24"/>
          <w:szCs w:val="24"/>
        </w:rPr>
        <w:t>13</w:t>
      </w:r>
      <w:r w:rsidRPr="009E5993">
        <w:rPr>
          <w:rFonts w:ascii="Times New Roman" w:eastAsia="楷体" w:hAnsi="Times New Roman" w:hint="eastAsia"/>
          <w:color w:val="000000" w:themeColor="text1"/>
          <w:sz w:val="24"/>
          <w:szCs w:val="24"/>
        </w:rPr>
        <w:t>日，</w:t>
      </w:r>
      <w:r w:rsidRPr="009E5993">
        <w:rPr>
          <w:rFonts w:ascii="Times New Roman" w:eastAsia="楷体" w:hAnsi="Times New Roman" w:hint="eastAsia"/>
          <w:color w:val="000000" w:themeColor="text1"/>
          <w:sz w:val="24"/>
          <w:szCs w:val="24"/>
        </w:rPr>
        <w:t>SLV</w:t>
      </w:r>
      <w:r w:rsidRPr="009E5993">
        <w:rPr>
          <w:rFonts w:ascii="Times New Roman" w:eastAsia="楷体" w:hAnsi="Times New Roman" w:hint="eastAsia"/>
          <w:color w:val="000000" w:themeColor="text1"/>
          <w:sz w:val="24"/>
          <w:szCs w:val="24"/>
        </w:rPr>
        <w:t>白银</w:t>
      </w:r>
      <w:r w:rsidRPr="009E5993">
        <w:rPr>
          <w:rFonts w:ascii="Times New Roman" w:eastAsia="楷体" w:hAnsi="Times New Roman" w:hint="eastAsia"/>
          <w:color w:val="000000" w:themeColor="text1"/>
          <w:sz w:val="24"/>
          <w:szCs w:val="24"/>
        </w:rPr>
        <w:t>ETF</w:t>
      </w:r>
      <w:r w:rsidRPr="009E5993">
        <w:rPr>
          <w:rFonts w:ascii="Times New Roman" w:eastAsia="楷体" w:hAnsi="Times New Roman" w:hint="eastAsia"/>
          <w:color w:val="000000" w:themeColor="text1"/>
          <w:sz w:val="24"/>
          <w:szCs w:val="24"/>
        </w:rPr>
        <w:t>持仓</w:t>
      </w:r>
      <w:r w:rsidRPr="009E5993">
        <w:rPr>
          <w:rFonts w:ascii="Times New Roman" w:eastAsia="楷体" w:hAnsi="Times New Roman" w:hint="eastAsia"/>
          <w:color w:val="000000" w:themeColor="text1"/>
          <w:sz w:val="24"/>
          <w:szCs w:val="24"/>
        </w:rPr>
        <w:t>13971.78</w:t>
      </w:r>
      <w:r w:rsidRPr="009E5993">
        <w:rPr>
          <w:rFonts w:ascii="Times New Roman" w:eastAsia="楷体" w:hAnsi="Times New Roman" w:hint="eastAsia"/>
          <w:color w:val="000000" w:themeColor="text1"/>
          <w:sz w:val="24"/>
          <w:szCs w:val="24"/>
        </w:rPr>
        <w:t>吨，周内流出</w:t>
      </w:r>
      <w:r w:rsidRPr="009E5993">
        <w:rPr>
          <w:rFonts w:ascii="Times New Roman" w:eastAsia="楷体" w:hAnsi="Times New Roman" w:hint="eastAsia"/>
          <w:color w:val="000000" w:themeColor="text1"/>
          <w:sz w:val="24"/>
          <w:szCs w:val="24"/>
        </w:rPr>
        <w:t>59.86</w:t>
      </w:r>
      <w:r w:rsidRPr="009E5993">
        <w:rPr>
          <w:rFonts w:ascii="Times New Roman" w:eastAsia="楷体" w:hAnsi="Times New Roman" w:hint="eastAsia"/>
          <w:color w:val="000000" w:themeColor="text1"/>
          <w:sz w:val="24"/>
          <w:szCs w:val="24"/>
        </w:rPr>
        <w:t>吨。周四美联储将公布经济状况褐皮书，联储官员密集发声。外盘贵金属价格受避险情绪提振而持续反弹，上周周中以来人民币汇率一度调贬，对内盘贵金属价格形成一定支撑，建议沪金、沪银轻仓试多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834697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8346972"/>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9E5993" w:rsidRPr="009E5993">
        <w:rPr>
          <w:rFonts w:ascii="楷体" w:eastAsia="楷体" w:hAnsi="楷体" w:hint="eastAsia"/>
          <w:b/>
          <w:color w:val="000000" w:themeColor="text1"/>
          <w:sz w:val="24"/>
          <w:szCs w:val="24"/>
        </w:rPr>
        <w:t>厂商减产供应减量，期价大幅反弹</w:t>
      </w:r>
      <w:bookmarkEnd w:id="18"/>
    </w:p>
    <w:p w:rsidR="00F50569" w:rsidRDefault="009E5993" w:rsidP="00F50569">
      <w:pPr>
        <w:ind w:leftChars="300" w:left="630"/>
        <w:rPr>
          <w:rFonts w:ascii="楷体" w:eastAsia="楷体" w:hAnsi="楷体"/>
          <w:color w:val="000000" w:themeColor="text1"/>
          <w:sz w:val="24"/>
          <w:szCs w:val="24"/>
        </w:rPr>
      </w:pPr>
      <w:r w:rsidRPr="009E5993">
        <w:rPr>
          <w:rFonts w:ascii="楷体" w:eastAsia="楷体" w:hAnsi="楷体" w:hint="eastAsia"/>
          <w:color w:val="000000" w:themeColor="text1"/>
          <w:sz w:val="24"/>
          <w:szCs w:val="24"/>
        </w:rPr>
        <w:t>上周空头集中获利了结，锂盐厂商强势挺价，市场情绪转向看涨。产量预期下调，市场信心重获提振，叠加部分贸易商加价出货，锂价止跌反弹。需求端仍不及预期，正极材料企业维持去库，实际采购未见明显增量。当前基差收敛至接近平水，现货止跌企稳背景下期价支撑增强。由于近期现货价格企稳，目前而言后续生产端减产幅度扩大的可能性相对较低。需求端表现仍然偏弱，后续关注下游采购计划，触及外采成本线以前锂价或偏强运行</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8346973"/>
      <w:r>
        <w:rPr>
          <w:rFonts w:ascii="楷体" w:eastAsia="楷体" w:hAnsi="楷体" w:hint="eastAsia"/>
          <w:b/>
          <w:color w:val="000000" w:themeColor="text1"/>
          <w:sz w:val="24"/>
          <w:szCs w:val="24"/>
        </w:rPr>
        <w:t>螺纹钢：</w:t>
      </w:r>
      <w:bookmarkEnd w:id="16"/>
      <w:bookmarkEnd w:id="17"/>
      <w:r w:rsidR="009E5993" w:rsidRPr="009E5993">
        <w:rPr>
          <w:rFonts w:ascii="楷体" w:eastAsia="楷体" w:hAnsi="楷体" w:hint="eastAsia"/>
          <w:b/>
          <w:color w:val="000000" w:themeColor="text1"/>
          <w:sz w:val="24"/>
          <w:szCs w:val="24"/>
        </w:rPr>
        <w:t>成本支撑，需求压制，低估值下偏弱震荡</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9E5993" w:rsidP="00201944">
      <w:pPr>
        <w:ind w:leftChars="300" w:left="630"/>
        <w:rPr>
          <w:rFonts w:ascii="楷体" w:eastAsia="楷体" w:hAnsi="楷体"/>
          <w:color w:val="000000" w:themeColor="text1"/>
          <w:sz w:val="24"/>
          <w:szCs w:val="24"/>
        </w:rPr>
      </w:pPr>
      <w:r w:rsidRPr="009E5993">
        <w:rPr>
          <w:rFonts w:ascii="楷体" w:eastAsia="楷体" w:hAnsi="楷体" w:hint="eastAsia"/>
          <w:color w:val="000000" w:themeColor="text1"/>
          <w:sz w:val="24"/>
          <w:szCs w:val="24"/>
        </w:rPr>
        <w:t>旺季不旺，产量缓慢向下，螺纹钢自身矛盾并不突出。需求较难提供向上弹性，供需矛盾不突出，成本支撑价格，钢价偏弱震荡</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8346974"/>
      <w:r>
        <w:rPr>
          <w:rFonts w:ascii="楷体" w:eastAsia="楷体" w:hAnsi="楷体" w:hint="eastAsia"/>
          <w:b/>
          <w:color w:val="000000" w:themeColor="text1"/>
          <w:sz w:val="24"/>
          <w:szCs w:val="24"/>
        </w:rPr>
        <w:t>焦炭：</w:t>
      </w:r>
      <w:bookmarkEnd w:id="20"/>
      <w:bookmarkEnd w:id="21"/>
      <w:r w:rsidR="009E5993" w:rsidRPr="009E5993">
        <w:rPr>
          <w:rFonts w:ascii="楷体" w:eastAsia="楷体" w:hAnsi="楷体" w:hint="eastAsia"/>
          <w:b/>
          <w:color w:val="000000" w:themeColor="text1"/>
          <w:sz w:val="24"/>
          <w:szCs w:val="24"/>
        </w:rPr>
        <w:t>成本支撑，震荡运行</w:t>
      </w:r>
      <w:bookmarkEnd w:id="22"/>
    </w:p>
    <w:p w:rsidR="003F56A5" w:rsidRDefault="009E5993" w:rsidP="00572E35">
      <w:pPr>
        <w:ind w:leftChars="300" w:left="630"/>
        <w:rPr>
          <w:rFonts w:ascii="楷体" w:eastAsia="楷体" w:hAnsi="楷体"/>
          <w:color w:val="000000" w:themeColor="text1"/>
          <w:sz w:val="24"/>
          <w:szCs w:val="24"/>
        </w:rPr>
      </w:pPr>
      <w:r w:rsidRPr="009E5993">
        <w:rPr>
          <w:rFonts w:ascii="楷体" w:eastAsia="楷体" w:hAnsi="楷体" w:hint="eastAsia"/>
          <w:color w:val="000000" w:themeColor="text1"/>
          <w:sz w:val="24"/>
          <w:szCs w:val="24"/>
        </w:rPr>
        <w:t>焦炭供需缺口再次收缩，但整体仍存在缺口，现货提涨或较为曲折，整体</w:t>
      </w:r>
      <w:r w:rsidRPr="009E5993">
        <w:rPr>
          <w:rFonts w:ascii="楷体" w:eastAsia="楷体" w:hAnsi="楷体" w:hint="eastAsia"/>
          <w:color w:val="000000" w:themeColor="text1"/>
          <w:sz w:val="24"/>
          <w:szCs w:val="24"/>
        </w:rPr>
        <w:lastRenderedPageBreak/>
        <w:t>或震荡运行</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8346975"/>
      <w:r>
        <w:rPr>
          <w:rFonts w:ascii="楷体" w:eastAsia="楷体" w:hAnsi="楷体" w:hint="eastAsia"/>
          <w:b/>
          <w:color w:val="000000" w:themeColor="text1"/>
          <w:sz w:val="24"/>
          <w:szCs w:val="24"/>
        </w:rPr>
        <w:t>焦煤：</w:t>
      </w:r>
      <w:r w:rsidR="009E5993" w:rsidRPr="009E5993">
        <w:rPr>
          <w:rFonts w:ascii="楷体" w:eastAsia="楷体" w:hAnsi="楷体" w:hint="eastAsia"/>
          <w:b/>
          <w:sz w:val="24"/>
          <w:szCs w:val="24"/>
        </w:rPr>
        <w:t>供需缺口收缩，价格高位震荡</w:t>
      </w:r>
      <w:bookmarkEnd w:id="23"/>
    </w:p>
    <w:p w:rsidR="003F56A5" w:rsidRDefault="009E5993">
      <w:pPr>
        <w:ind w:leftChars="300" w:left="630"/>
        <w:rPr>
          <w:rFonts w:ascii="楷体" w:eastAsia="楷体" w:hAnsi="楷体"/>
          <w:bCs/>
          <w:sz w:val="24"/>
          <w:szCs w:val="24"/>
        </w:rPr>
      </w:pPr>
      <w:r w:rsidRPr="009E5993">
        <w:rPr>
          <w:rFonts w:ascii="楷体" w:eastAsia="楷体" w:hAnsi="楷体" w:hint="eastAsia"/>
          <w:sz w:val="24"/>
          <w:szCs w:val="24"/>
        </w:rPr>
        <w:t>复产速度偏慢，低库存仍有支撑，但现货价格过高下，下游较为谨慎，基差走强后震荡运行</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8346976"/>
      <w:r>
        <w:rPr>
          <w:rFonts w:ascii="楷体" w:eastAsia="楷体" w:hAnsi="楷体" w:hint="eastAsia"/>
          <w:b/>
          <w:color w:val="000000" w:themeColor="text1"/>
          <w:sz w:val="24"/>
          <w:szCs w:val="24"/>
        </w:rPr>
        <w:t>铜：</w:t>
      </w:r>
      <w:bookmarkEnd w:id="24"/>
      <w:bookmarkEnd w:id="25"/>
      <w:r w:rsidR="009E5993" w:rsidRPr="009E5993">
        <w:rPr>
          <w:rFonts w:ascii="楷体" w:eastAsia="楷体" w:hAnsi="楷体" w:hint="eastAsia"/>
          <w:b/>
          <w:color w:val="000000" w:themeColor="text1"/>
          <w:sz w:val="24"/>
          <w:szCs w:val="24"/>
        </w:rPr>
        <w:t>短期仍有走弱压力</w:t>
      </w:r>
      <w:bookmarkEnd w:id="26"/>
    </w:p>
    <w:p w:rsidR="009E5993" w:rsidRPr="009E5993" w:rsidRDefault="009E5993" w:rsidP="009E5993">
      <w:pPr>
        <w:ind w:leftChars="300" w:left="630"/>
        <w:rPr>
          <w:rFonts w:ascii="楷体" w:eastAsia="楷体" w:hAnsi="楷体" w:hint="eastAsia"/>
          <w:color w:val="000000" w:themeColor="text1"/>
          <w:sz w:val="24"/>
          <w:szCs w:val="24"/>
        </w:rPr>
      </w:pPr>
      <w:r w:rsidRPr="009E5993">
        <w:rPr>
          <w:rFonts w:ascii="楷体" w:eastAsia="楷体" w:hAnsi="楷体" w:hint="eastAsia"/>
          <w:color w:val="000000" w:themeColor="text1"/>
          <w:sz w:val="24"/>
          <w:szCs w:val="24"/>
        </w:rPr>
        <w:t>(1)库存：10月13日，SHFE周库存56894吨，较上周五增17898吨；LME仓单库存180900吨，较上周五增10725吨。</w:t>
      </w:r>
    </w:p>
    <w:p w:rsidR="009E5993" w:rsidRPr="009E5993" w:rsidRDefault="009E5993" w:rsidP="009E5993">
      <w:pPr>
        <w:ind w:leftChars="300" w:left="630"/>
        <w:rPr>
          <w:rFonts w:ascii="楷体" w:eastAsia="楷体" w:hAnsi="楷体" w:hint="eastAsia"/>
          <w:color w:val="000000" w:themeColor="text1"/>
          <w:sz w:val="24"/>
          <w:szCs w:val="24"/>
        </w:rPr>
      </w:pPr>
      <w:r w:rsidRPr="009E5993">
        <w:rPr>
          <w:rFonts w:ascii="楷体" w:eastAsia="楷体" w:hAnsi="楷体" w:hint="eastAsia"/>
          <w:color w:val="000000" w:themeColor="text1"/>
          <w:sz w:val="24"/>
          <w:szCs w:val="24"/>
        </w:rPr>
        <w:t>(2)精废价差：10月13日，Mysteel精废价差336，收窄128。目前价差在合理价差1365之下。</w:t>
      </w:r>
    </w:p>
    <w:p w:rsidR="009E5993" w:rsidRPr="009E5993" w:rsidRDefault="009E5993" w:rsidP="009E5993">
      <w:pPr>
        <w:ind w:leftChars="300" w:left="630"/>
        <w:rPr>
          <w:rFonts w:ascii="楷体" w:eastAsia="楷体" w:hAnsi="楷体"/>
          <w:color w:val="000000" w:themeColor="text1"/>
          <w:sz w:val="24"/>
          <w:szCs w:val="24"/>
        </w:rPr>
      </w:pPr>
    </w:p>
    <w:p w:rsidR="00127803" w:rsidRPr="00127803" w:rsidRDefault="009E5993" w:rsidP="009E5993">
      <w:pPr>
        <w:ind w:leftChars="300" w:left="630"/>
        <w:rPr>
          <w:rFonts w:ascii="楷体" w:eastAsia="楷体" w:hAnsi="楷体"/>
          <w:color w:val="000000" w:themeColor="text1"/>
          <w:sz w:val="24"/>
          <w:szCs w:val="24"/>
        </w:rPr>
      </w:pPr>
      <w:r w:rsidRPr="009E5993">
        <w:rPr>
          <w:rFonts w:ascii="楷体" w:eastAsia="楷体" w:hAnsi="楷体" w:hint="eastAsia"/>
          <w:color w:val="000000" w:themeColor="text1"/>
          <w:sz w:val="24"/>
          <w:szCs w:val="24"/>
        </w:rPr>
        <w:t>综述：当前整体宏观呈现偏空，巴以冲突升级推升原油反弹，美元指数维持强势，基本面供需格局在精炼铜产量高位且需求疲弱下转松，短期铜价无明显支撑因素，价格难有反弹动力，运行重心仍有进一步下移压力，短期参考65000-67000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8346977"/>
      <w:r>
        <w:rPr>
          <w:rFonts w:ascii="楷体" w:eastAsia="楷体" w:hAnsi="楷体" w:hint="eastAsia"/>
          <w:b/>
          <w:color w:val="000000" w:themeColor="text1"/>
          <w:sz w:val="24"/>
          <w:szCs w:val="24"/>
        </w:rPr>
        <w:t>铝：</w:t>
      </w:r>
      <w:bookmarkEnd w:id="27"/>
      <w:bookmarkEnd w:id="28"/>
      <w:r w:rsidR="007E1FC2" w:rsidRPr="007E1FC2">
        <w:rPr>
          <w:rFonts w:ascii="楷体" w:eastAsia="楷体" w:hAnsi="楷体" w:hint="eastAsia"/>
          <w:b/>
          <w:color w:val="000000" w:themeColor="text1"/>
          <w:sz w:val="24"/>
          <w:szCs w:val="24"/>
        </w:rPr>
        <w:t>铝价上下有限，关注跌后逢低做多机会</w:t>
      </w:r>
      <w:bookmarkEnd w:id="29"/>
    </w:p>
    <w:p w:rsidR="003F56A5" w:rsidRDefault="007E1FC2" w:rsidP="00127803">
      <w:pPr>
        <w:ind w:leftChars="300" w:left="630"/>
        <w:rPr>
          <w:rFonts w:ascii="楷体" w:eastAsia="楷体" w:hAnsi="楷体"/>
          <w:color w:val="000000" w:themeColor="text1"/>
          <w:sz w:val="24"/>
          <w:szCs w:val="24"/>
        </w:rPr>
      </w:pPr>
      <w:r w:rsidRPr="007E1FC2">
        <w:rPr>
          <w:rFonts w:ascii="楷体" w:eastAsia="楷体" w:hAnsi="楷体" w:hint="eastAsia"/>
          <w:color w:val="000000" w:themeColor="text1"/>
          <w:sz w:val="24"/>
          <w:szCs w:val="24"/>
        </w:rPr>
        <w:t>美联储议息会议纪要显示美联储官员内部对加息态度不一致，美国9月PPI、CPI数据超预期上行， 美国通胀顽固的情况之下，市场对联储加息仍有预期，巴以冲突事件短暂影响走弱，对原油价格冲击降低，海外宏观情绪承压，国内整体情 绪面表现稳定。国内电解铝运行产能高位，国内交易所库存及社库出现累库，铝锭进口利润窗口打开，国内 原铝进口同比增长，供应端有增量压力。“金九银十”旺季之下，旺季消费效应不显，下游企业开工率略有修复但不及预期。整体上看，国 内铝锭市场供应偏紧但有进口增量补充，目前电解铝生产产能高位，铝水转化率或因铸锭量偏少的情况作出下调动作，需求维持弱修复。铝价在供应走强、消费弱修复的现实之下，价格上下有限，短期铝价偏弱震荡为主，库存虽有累库但绝对低库存现状仍未改善，建议寻找逢低做多机会，关注18500附近位置</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8346978"/>
      <w:r>
        <w:rPr>
          <w:rFonts w:ascii="楷体" w:eastAsia="楷体" w:hAnsi="楷体" w:hint="eastAsia"/>
          <w:b/>
          <w:color w:val="000000" w:themeColor="text1"/>
          <w:sz w:val="24"/>
          <w:szCs w:val="24"/>
        </w:rPr>
        <w:t>锌：</w:t>
      </w:r>
      <w:r w:rsidR="00094BAE" w:rsidRPr="00094BAE">
        <w:rPr>
          <w:rFonts w:ascii="楷体" w:eastAsia="楷体" w:hAnsi="楷体" w:hint="eastAsia"/>
          <w:b/>
          <w:color w:val="000000" w:themeColor="text1"/>
          <w:sz w:val="24"/>
          <w:szCs w:val="24"/>
        </w:rPr>
        <w:t>锌价偏弱运行</w:t>
      </w:r>
      <w:bookmarkEnd w:id="30"/>
    </w:p>
    <w:p w:rsidR="003F56A5" w:rsidRDefault="00094BAE" w:rsidP="000B0648">
      <w:pPr>
        <w:ind w:leftChars="300" w:left="630"/>
        <w:rPr>
          <w:rFonts w:ascii="楷体" w:eastAsia="楷体" w:hAnsi="楷体"/>
          <w:color w:val="000000" w:themeColor="text1"/>
          <w:sz w:val="24"/>
          <w:szCs w:val="24"/>
        </w:rPr>
      </w:pPr>
      <w:r w:rsidRPr="00094BAE">
        <w:rPr>
          <w:rFonts w:ascii="楷体" w:eastAsia="楷体" w:hAnsi="楷体" w:hint="eastAsia"/>
          <w:color w:val="000000" w:themeColor="text1"/>
          <w:sz w:val="24"/>
          <w:szCs w:val="24"/>
        </w:rPr>
        <w:t>美国PPI、CPI数据表现超市场预期，美元指数强势运行，宏观情绪扰动，整体工业品指数情绪偏弱。基本面上看，海外锌矿供应走紧，国内锌矿产量下行，前期部分冶炼厂家检修影响生产，随着检修逐步进入尾声，在近期锌价高位带来的高利润刺激之下，冶炼厂积极开产，目前厂内在节前备库之后原料储备较为充足，短期生产暂不受到上游供应收紧制约，另外进口锌盈利窗口打开，但进口量有所收紧，供应高位但环比走弱，下游需求表现较为疲软，镀锌开工表现平稳无明显增量，氧化锌、锌合金开工偏弱，目前海内外锌市库存保持绝对低库状态，锌价仍有支撑，受大市场情绪影响偏弱震荡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8346979"/>
      <w:r>
        <w:rPr>
          <w:rFonts w:ascii="楷体" w:eastAsia="楷体" w:hAnsi="楷体" w:hint="eastAsia"/>
          <w:b/>
          <w:color w:val="000000" w:themeColor="text1"/>
          <w:sz w:val="24"/>
          <w:szCs w:val="24"/>
        </w:rPr>
        <w:t>镍：</w:t>
      </w:r>
      <w:r w:rsidR="009E5993" w:rsidRPr="009E5993">
        <w:rPr>
          <w:rFonts w:ascii="楷体" w:eastAsia="楷体" w:hAnsi="楷体" w:hint="eastAsia"/>
          <w:b/>
          <w:color w:val="000000" w:themeColor="text1"/>
          <w:sz w:val="24"/>
          <w:szCs w:val="24"/>
        </w:rPr>
        <w:t>供需矛盾叠加累库压力，预计延续震荡偏弱</w:t>
      </w:r>
      <w:bookmarkEnd w:id="31"/>
    </w:p>
    <w:p w:rsidR="003F56A5" w:rsidRDefault="009E5993">
      <w:pPr>
        <w:ind w:leftChars="300" w:left="630"/>
        <w:rPr>
          <w:rFonts w:ascii="楷体" w:eastAsia="楷体" w:hAnsi="楷体"/>
          <w:color w:val="000000" w:themeColor="text1"/>
          <w:sz w:val="24"/>
          <w:szCs w:val="24"/>
        </w:rPr>
      </w:pPr>
      <w:r w:rsidRPr="009E5993">
        <w:rPr>
          <w:rFonts w:ascii="楷体" w:eastAsia="楷体" w:hAnsi="楷体" w:hint="eastAsia"/>
          <w:color w:val="000000" w:themeColor="text1"/>
          <w:sz w:val="24"/>
          <w:szCs w:val="24"/>
        </w:rPr>
        <w:t>宏观方面，近期海外宏观扰动反复，国内经济稳步向好发展。近期10年期美债收益率飙升，逻辑上不支持美联储继续加息，但美国9月CPI高于预</w:t>
      </w:r>
      <w:r w:rsidRPr="009E5993">
        <w:rPr>
          <w:rFonts w:ascii="楷体" w:eastAsia="楷体" w:hAnsi="楷体" w:hint="eastAsia"/>
          <w:color w:val="000000" w:themeColor="text1"/>
          <w:sz w:val="24"/>
          <w:szCs w:val="24"/>
        </w:rPr>
        <w:lastRenderedPageBreak/>
        <w:t>期，经济表现也韧性较强，美联储部分官员维持鹰派立场。国内，9月经济数据体现我国经济呈温和复苏态势，稳增长政策能否拉动镍的消费仍需观察。供应方面，由于精炼镍利润维持可观，精炼镍的存量项目和新投产项目产量逐步释放，镍中长期显著过剩预期较明晰。镍需求方面整体偏弱，不锈钢生产利润不断缩小，许多不锈钢厂陆续开始减产，对镍消费形成拖累；新能源汽车对镍的消费维持疲软；合金和电镀对镍存在一定程度的刚性需求。社会库存维持累库趋势，全球镍显性库存突破6万吨。由于现货过剩明显，沪镍转向contango结构。综合而言，镍的供需矛盾凸显，预计基本面将维持弱势，但由于全球精炼镍库存仍处于绝对历史低位，加上精炼镍供应可能在利润收窄和需求疲弱因素影响之下放缓生产节奏，从15万关口继续深跌的动能不大，预计短期镍价维持震荡偏弱运行</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8346980"/>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8346981"/>
      <w:r>
        <w:rPr>
          <w:rFonts w:ascii="楷体" w:eastAsia="楷体" w:hAnsi="楷体" w:hint="eastAsia"/>
          <w:b/>
          <w:color w:val="000000" w:themeColor="text1"/>
          <w:sz w:val="24"/>
          <w:szCs w:val="24"/>
        </w:rPr>
        <w:t>不锈钢：</w:t>
      </w:r>
      <w:r w:rsidR="009E5993" w:rsidRPr="009E5993">
        <w:rPr>
          <w:rFonts w:ascii="楷体" w:eastAsia="楷体" w:hAnsi="楷体" w:hint="eastAsia"/>
          <w:b/>
          <w:color w:val="000000" w:themeColor="text1"/>
          <w:sz w:val="24"/>
          <w:szCs w:val="24"/>
        </w:rPr>
        <w:t>供需双弱态势下，不锈钢价承压运行</w:t>
      </w:r>
      <w:bookmarkEnd w:id="33"/>
    </w:p>
    <w:p w:rsidR="003F56A5" w:rsidRDefault="009E5993">
      <w:pPr>
        <w:ind w:leftChars="300" w:left="630"/>
        <w:rPr>
          <w:rFonts w:ascii="楷体" w:eastAsia="楷体" w:hAnsi="楷体"/>
          <w:color w:val="000000" w:themeColor="text1"/>
          <w:sz w:val="24"/>
          <w:szCs w:val="24"/>
        </w:rPr>
      </w:pPr>
      <w:r w:rsidRPr="009E5993">
        <w:rPr>
          <w:rFonts w:ascii="楷体" w:eastAsia="楷体" w:hAnsi="楷体" w:hint="eastAsia"/>
          <w:color w:val="000000" w:themeColor="text1"/>
          <w:sz w:val="24"/>
          <w:szCs w:val="24"/>
        </w:rPr>
        <w:t>镍矿端，由于印尼年内不再新增镍矿配额，且菲律宾矿区将进入雨季，镍矿价格预计维持坚挺。国内镍铁厂的生产成本较高，同时下游需求疲弱对镍铁价格存在挤压，叠加印尼镍铁的回流压力，预计镍铁价格偏弱。供应端，钢厂在8月和9月的排产较高，但是不锈钢旺季不旺，且在矿端政策扰动期间冶炼成本高企，冶炼利润不断收窄，钢厂陆续开始宣布减产计划，产量将有一定幅度的下降。库存方面，据Mysteel调研统计，上周全国主流市场不锈钢78仓库口径社会总库存112.78万吨，周环比下降3.34%，各系别库存都呈降库表现，原因在于节后到货较少，而许多贸易商对后市存悲观预期，降价以促进出货。需求端，海外需求表现疲弱，国内房地产等传统消费复苏较慢，需求短期内难有较大起色，下游成交维持刚需采购，或拖累不锈钢价格。综合来看，在供需双弱态势下，短期不锈钢价格或震荡偏弱运行，但随着生产亏损的扩大，不锈钢厂可能会进一步扩大减产幅度，在生产成本支撑下，下行空间亦有限</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8346982"/>
      <w:r>
        <w:rPr>
          <w:rFonts w:ascii="楷体" w:eastAsia="楷体" w:hAnsi="楷体" w:hint="eastAsia"/>
          <w:b/>
          <w:color w:val="000000" w:themeColor="text1"/>
          <w:sz w:val="24"/>
          <w:szCs w:val="24"/>
        </w:rPr>
        <w:t>工业硅：</w:t>
      </w:r>
      <w:r w:rsidR="009E5993" w:rsidRPr="009E5993">
        <w:rPr>
          <w:rFonts w:ascii="楷体" w:eastAsia="楷体" w:hAnsi="楷体" w:hint="eastAsia"/>
          <w:b/>
          <w:sz w:val="24"/>
          <w:szCs w:val="24"/>
        </w:rPr>
        <w:t>仓单压力逐步显现，市场或将承压运行</w:t>
      </w:r>
      <w:bookmarkEnd w:id="34"/>
    </w:p>
    <w:p w:rsidR="003F56A5" w:rsidRDefault="009E5993" w:rsidP="00827E8A">
      <w:pPr>
        <w:ind w:leftChars="300" w:left="630"/>
        <w:rPr>
          <w:rFonts w:ascii="楷体" w:eastAsia="楷体" w:hAnsi="楷体"/>
          <w:sz w:val="24"/>
          <w:szCs w:val="24"/>
        </w:rPr>
      </w:pPr>
      <w:r w:rsidRPr="009E5993">
        <w:rPr>
          <w:rFonts w:ascii="楷体" w:eastAsia="楷体" w:hAnsi="楷体" w:hint="eastAsia"/>
          <w:sz w:val="24"/>
          <w:szCs w:val="24"/>
        </w:rPr>
        <w:t>10月13日，Si2312主力合约呈下行走势，收盘价14615元/吨，较上一收盘价涨跌幅-1.91%。从基本面来看，多晶硅需求改善预期仍在，同时供应</w:t>
      </w:r>
      <w:r w:rsidRPr="009E5993">
        <w:rPr>
          <w:rFonts w:ascii="楷体" w:eastAsia="楷体" w:hAnsi="楷体" w:hint="eastAsia"/>
          <w:sz w:val="24"/>
          <w:szCs w:val="24"/>
        </w:rPr>
        <w:lastRenderedPageBreak/>
        <w:t>也在增加，处于供需双增格局。但仓单数量大幅增加，随着距离11月底集中注销越来越近，仓单压力或将逐步显现，对盘面反弹存在压制作用，短期市场或将承压运行。策略上，建议可尝试逢高试空</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834698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9E5993" w:rsidRDefault="00CC3FFA" w:rsidP="009E5993">
      <w:pPr>
        <w:ind w:firstLineChars="200" w:firstLine="482"/>
        <w:outlineLvl w:val="1"/>
        <w:rPr>
          <w:rFonts w:ascii="楷体" w:eastAsia="楷体" w:hAnsi="楷体"/>
          <w:b/>
          <w:sz w:val="24"/>
          <w:szCs w:val="24"/>
        </w:rPr>
      </w:pPr>
      <w:bookmarkStart w:id="37" w:name="_Toc148346984"/>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9E5993" w:rsidRPr="009E5993">
        <w:rPr>
          <w:rFonts w:ascii="楷体" w:eastAsia="楷体" w:hAnsi="楷体" w:hint="eastAsia"/>
          <w:b/>
          <w:sz w:val="24"/>
          <w:szCs w:val="24"/>
        </w:rPr>
        <w:t>基本面积极因素偏多，橡胶仍存偏强预期</w:t>
      </w:r>
      <w:bookmarkEnd w:id="37"/>
    </w:p>
    <w:p w:rsidR="003F56A5" w:rsidRDefault="009E5993">
      <w:pPr>
        <w:ind w:leftChars="300" w:left="630"/>
        <w:rPr>
          <w:rFonts w:ascii="楷体" w:eastAsia="楷体" w:hAnsi="楷体"/>
          <w:sz w:val="24"/>
          <w:szCs w:val="24"/>
        </w:rPr>
      </w:pPr>
      <w:r w:rsidRPr="009E5993">
        <w:rPr>
          <w:rFonts w:ascii="楷体" w:eastAsia="楷体" w:hAnsi="楷体" w:hint="eastAsia"/>
          <w:sz w:val="24"/>
          <w:szCs w:val="24"/>
        </w:rPr>
        <w:t>点评：近期橡胶拉涨，短期看仍有上涨空间。目前看，泰国产区异常天气不时出现，扰动收胶工作，原料收购价格持续上行，成本端对天胶市场形成支撑。库存方面，海外工厂推迟船期，国内标胶混合到港数量偏少，国内天胶库存持续去库提振业者信心。需求端来看，下游轮胎企业开工率高位维持，假期放假天数较去年明显缩减。半钢胎略好于全钢胎，国内稳经济政策将有利于轮胎替换及配套需求的改善。节后工厂开工将处于恢复提升状态，对原材料补库积极性提高，提振天胶市场。终端汽车方面，9月数据同环比继续走强，创过去十年同期历史新高，十月汽车消费旺季再度来临下汽车市场景气度高。整体看，在基本面转好以及收储炒作预期仍存下，橡胶仍存偏强预期</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8346985"/>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7E1FC2" w:rsidRPr="007E1FC2">
        <w:rPr>
          <w:rFonts w:ascii="楷体" w:eastAsia="楷体" w:hAnsi="楷体" w:hint="eastAsia"/>
          <w:b/>
          <w:color w:val="000000" w:themeColor="text1"/>
          <w:sz w:val="24"/>
          <w:szCs w:val="24"/>
        </w:rPr>
        <w:t>供需矛盾暂时缓解 但向上驱动仍不足</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7E1FC2" w:rsidP="002C73FE">
      <w:pPr>
        <w:ind w:leftChars="300" w:left="630"/>
        <w:rPr>
          <w:rFonts w:ascii="楷体" w:eastAsia="楷体" w:hAnsi="楷体"/>
          <w:color w:val="000000" w:themeColor="text1"/>
          <w:sz w:val="24"/>
          <w:szCs w:val="24"/>
        </w:rPr>
      </w:pPr>
      <w:r w:rsidRPr="007E1FC2">
        <w:rPr>
          <w:rFonts w:ascii="楷体" w:eastAsia="楷体" w:hAnsi="楷体" w:hint="eastAsia"/>
          <w:color w:val="000000" w:themeColor="text1"/>
          <w:sz w:val="24"/>
          <w:szCs w:val="24"/>
        </w:rPr>
        <w:t>原油方面，巴以冲突扩大，地缘局势担忧对原油盘面带来支撑，盘面情绪溢价较多 。PX方面，盛虹石化400万吨PX装置因故负荷下降20%附近，具体影响时长待跟踪，广东石化260万吨装置预计近日最低可能降至50%附近。PX供应充足卖盘旺盛，近期仍将偏弱运行。PTA供应方面，恒力2线220万吨计划内检修，逸盛新材料1期360万吨PTA装置目前重启计划推后，此外福海创450万吨PTA装置从7成降负至5成，目前PTA开工率下降至74.7%。需求方面，截至10.13初步核算国内大陆地区聚酯负荷在89.5%。经过长假期间的持续消耗，下游的原料备货下降较多，江浙终端开工率继续回升。展望后市，宏观避险情绪升温及多头减仓压力仍存，逸盛海南250万吨以及汉邦220万吨PTA装置有望在11月开车，TA供应充足。银十过半需求面临季节性转弱，按照往年开工情况，下游开工拐点将在10月中下旬。终端订单减少及产成品库存累库将带来负反馈压力。伴随成本端支撑走弱及现实端转弱的矛盾，PTA市场恐仍面临回调风险</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8346986"/>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w:t>
      </w:r>
      <w:r w:rsidRPr="00E34EAB">
        <w:rPr>
          <w:rFonts w:ascii="楷体" w:eastAsia="楷体" w:hAnsi="楷体" w:hint="eastAsia"/>
          <w:color w:val="000000" w:themeColor="text1"/>
          <w:sz w:val="24"/>
          <w:szCs w:val="24"/>
        </w:rPr>
        <w:lastRenderedPageBreak/>
        <w:t>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40" w:name="_Toc148346987"/>
      <w:r>
        <w:rPr>
          <w:rFonts w:ascii="楷体" w:eastAsia="楷体" w:hAnsi="楷体" w:hint="eastAsia"/>
          <w:b/>
          <w:color w:val="000000" w:themeColor="text1"/>
          <w:sz w:val="24"/>
          <w:szCs w:val="24"/>
        </w:rPr>
        <w:t>聚烯烃：</w:t>
      </w:r>
      <w:r w:rsidR="009E5993" w:rsidRPr="009E5993">
        <w:rPr>
          <w:rFonts w:ascii="楷体" w:eastAsia="楷体" w:hAnsi="楷体" w:hint="eastAsia"/>
          <w:b/>
          <w:color w:val="000000" w:themeColor="text1"/>
          <w:sz w:val="24"/>
          <w:szCs w:val="24"/>
        </w:rPr>
        <w:t>市场缺乏利好提振 聚烯烃偏弱整理为主</w:t>
      </w:r>
      <w:bookmarkEnd w:id="40"/>
    </w:p>
    <w:p w:rsidR="003F56A5" w:rsidRDefault="009E5993">
      <w:pPr>
        <w:ind w:leftChars="300" w:left="630"/>
        <w:rPr>
          <w:rFonts w:ascii="楷体" w:eastAsia="楷体" w:hAnsi="楷体"/>
          <w:bCs/>
          <w:sz w:val="24"/>
          <w:szCs w:val="24"/>
        </w:rPr>
      </w:pPr>
      <w:r w:rsidRPr="009E5993">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以色列-哈马斯冲突加剧了人们对战争可能影响地区能源生产的担忧，欧美原油期货暴涨近6%。需求方面，PE下游方面，农膜整体需求平平，工厂生产清淡。棚膜工厂多停机检修；PP下游方面，BOPP市场成交刚需有量，整体量较上一交易日增加，BOPP企业未交付订单多数在一周以内，个别可至八月中。综合来看，PE方面，成本端，煤炭价格维持窄幅震荡；需求端，本周PE下游各行业整体开工率预计+0.88%，受电商节带动，终端提前下单采购。综上所述，预计今日PE价格或维持窄幅震荡为主。PP方面，新增产能陆续释放，市场供应压力增大。假期生产商累库，两油库存下降缓慢。成本端支撑减弱极大打压市场积极性。下游新增订单不足，成交气氛一般。预计今日聚丙烯市场延续走跌</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8346988"/>
      <w:r>
        <w:rPr>
          <w:rFonts w:ascii="楷体" w:eastAsia="楷体" w:hAnsi="楷体" w:hint="eastAsia"/>
          <w:b/>
          <w:color w:val="000000" w:themeColor="text1"/>
          <w:sz w:val="24"/>
          <w:szCs w:val="24"/>
        </w:rPr>
        <w:t>MEG：</w:t>
      </w:r>
      <w:r w:rsidR="000C3C5C" w:rsidRPr="000C3C5C">
        <w:rPr>
          <w:rFonts w:ascii="楷体" w:eastAsia="楷体" w:hAnsi="楷体" w:hint="eastAsia"/>
          <w:b/>
          <w:color w:val="000000" w:themeColor="text1"/>
          <w:sz w:val="24"/>
          <w:szCs w:val="24"/>
        </w:rPr>
        <w:t>具备低多价值</w:t>
      </w:r>
      <w:bookmarkEnd w:id="41"/>
    </w:p>
    <w:p w:rsidR="003F56A5" w:rsidRDefault="000C3C5C" w:rsidP="00A91C60">
      <w:pPr>
        <w:ind w:leftChars="300" w:left="630"/>
        <w:rPr>
          <w:rFonts w:ascii="楷体" w:eastAsia="楷体" w:hAnsi="楷体"/>
          <w:color w:val="000000" w:themeColor="text1"/>
          <w:sz w:val="24"/>
          <w:szCs w:val="24"/>
        </w:rPr>
      </w:pPr>
      <w:r w:rsidRPr="000C3C5C">
        <w:rPr>
          <w:rFonts w:ascii="楷体" w:eastAsia="楷体" w:hAnsi="楷体" w:hint="eastAsia"/>
          <w:color w:val="000000" w:themeColor="text1"/>
          <w:sz w:val="24"/>
          <w:szCs w:val="24"/>
        </w:rPr>
        <w:t>供需情况，10.7华东主港地区MEG港口库存约117.4万吨附近，环比上期增加2.0万吨，库存仍高位累积。截至10月12日，中国大陆地区乙二醇整体开工负荷在62.75%（-2.32%），其中煤制乙二醇开工负荷在63.84%（-5.38%）。截至10月12日，国内大陆地区聚酯负荷在89.5%，环比小幅提升。终端来看，节后江浙加弹综合开工已回升至84%（+5%），江浙织机综合开工提升至79%，江浙印染综合开工回升至83%（+4%），部分装置落实检修，近期供给端开工率小幅下滑。经过长假消耗，江浙终端备货量增加。预估10月进口量在55万吨左右，10月有望实现小幅去库。后市来看，四季度新投产装置推迟，后续存量供应收缩及聚酯开工回升，或维持动态平衡的节奏，暂维持4000-4500区间操作思路。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8346989"/>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9E5993" w:rsidRPr="009E5993">
        <w:rPr>
          <w:rFonts w:ascii="楷体" w:eastAsia="楷体" w:hAnsi="楷体" w:hint="eastAsia"/>
          <w:b/>
          <w:color w:val="000000" w:themeColor="text1"/>
          <w:sz w:val="24"/>
          <w:szCs w:val="24"/>
        </w:rPr>
        <w:t>产销走弱，震荡偏空</w:t>
      </w:r>
      <w:bookmarkEnd w:id="42"/>
    </w:p>
    <w:p w:rsidR="00A71A7E" w:rsidRDefault="009E5993" w:rsidP="001F79C6">
      <w:pPr>
        <w:ind w:leftChars="300" w:left="630"/>
        <w:rPr>
          <w:rFonts w:ascii="楷体" w:eastAsia="楷体" w:hAnsi="楷体"/>
          <w:color w:val="000000" w:themeColor="text1"/>
          <w:sz w:val="24"/>
          <w:szCs w:val="24"/>
        </w:rPr>
      </w:pPr>
      <w:r w:rsidRPr="009E5993">
        <w:rPr>
          <w:rFonts w:ascii="楷体" w:eastAsia="楷体" w:hAnsi="楷体" w:hint="eastAsia"/>
          <w:color w:val="000000" w:themeColor="text1"/>
          <w:sz w:val="24"/>
          <w:szCs w:val="24"/>
        </w:rPr>
        <w:t>玻璃节后旺季预期反复证伪，月初阶段性补库以后，产销再度边际走弱，供需矛盾不突出，上下均缺乏强驱动。长假期间沙河贸易商库存不高，适 量补库，华东库存较高，尚待消化，华南库存较低，产销较好，整体库存保持在中性水平。节后供给端，前期点火产线出成品，周产量提升，供给 压力渐增，若持续维持高产量，旺季后供大于求可能性较大，产业有出清落后产能的需求;需求上，阶段性补库告一段落，中下游加工厂适量补库， 采购谨慎。成本端，煤价格和纯碱价格较高，对玻璃期价有一定支撑作用，但进入下半年月以后，碱价重心下移，打开下行空间。盘面短期继续随 产销节奏延续震荡，短线偏空</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8346990"/>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9E5993" w:rsidRPr="009E5993">
        <w:rPr>
          <w:rFonts w:ascii="楷体" w:eastAsia="楷体" w:hAnsi="楷体" w:hint="eastAsia"/>
          <w:b/>
          <w:color w:val="000000" w:themeColor="text1"/>
          <w:sz w:val="24"/>
          <w:szCs w:val="24"/>
        </w:rPr>
        <w:t>现货重心下移，反弹逢高做空</w:t>
      </w:r>
      <w:bookmarkEnd w:id="43"/>
    </w:p>
    <w:p w:rsidR="00A71A7E" w:rsidRDefault="009E5993" w:rsidP="00A71A7E">
      <w:pPr>
        <w:ind w:leftChars="300" w:left="630"/>
        <w:rPr>
          <w:rFonts w:ascii="楷体" w:eastAsia="楷体" w:hAnsi="楷体"/>
          <w:bCs/>
          <w:sz w:val="24"/>
          <w:szCs w:val="24"/>
        </w:rPr>
      </w:pPr>
      <w:r w:rsidRPr="009E5993">
        <w:rPr>
          <w:rFonts w:ascii="楷体" w:eastAsia="楷体" w:hAnsi="楷体" w:hint="eastAsia"/>
          <w:color w:val="000000" w:themeColor="text1"/>
          <w:sz w:val="24"/>
          <w:szCs w:val="24"/>
        </w:rPr>
        <w:lastRenderedPageBreak/>
        <w:t>当前纯碱现货价格松动，产量快速提升，累库加速。长假以后，供给上，远兴一、二线接近满产，三线月中已点火，金山五期产量提升至300-4000 吨/天检修产线基本恢复，总产量快速抬升。需求上，下游终端玻璃厂部分8-9月预订的进口纯碱到港，现货价格不稳，观望情绪较浓。盘面上近月 11月合约回调后基差仍然较大，走交割逻辑跟随现货波动。远月01合约由于供给到年底宽松较为确定，高基差与过剩预期博弈，短期现货跌至氨碱 法成本附近有支撑，但中场期来看，远月反弹较高后有回调空间，建议反弹沿(1650，1750)震荡区间上沿布局空单</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834699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8346992"/>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9E5993" w:rsidRPr="009E5993">
        <w:rPr>
          <w:rFonts w:ascii="楷体" w:eastAsia="楷体" w:hAnsi="楷体" w:hint="eastAsia"/>
          <w:b/>
          <w:sz w:val="24"/>
          <w:szCs w:val="24"/>
        </w:rPr>
        <w:t>上方压力仍存</w:t>
      </w:r>
      <w:bookmarkEnd w:id="45"/>
    </w:p>
    <w:p w:rsidR="003F56A5" w:rsidRDefault="009E5993">
      <w:pPr>
        <w:ind w:leftChars="300" w:left="630"/>
        <w:rPr>
          <w:rFonts w:ascii="楷体" w:eastAsia="楷体" w:hAnsi="楷体"/>
          <w:sz w:val="24"/>
          <w:szCs w:val="24"/>
        </w:rPr>
      </w:pPr>
      <w:r w:rsidRPr="009E5993">
        <w:rPr>
          <w:rFonts w:ascii="楷体" w:eastAsia="楷体" w:hAnsi="楷体" w:hint="eastAsia"/>
          <w:sz w:val="24"/>
          <w:szCs w:val="24"/>
        </w:rPr>
        <w:t>CBOT大豆上探1300一线受阻，短期豆粕跟随其波动。虽美豆新季平衡表偏紧，且受干燥天气影响，美豆出口或仍存忧，但同时面临着巴西大豆的出口竞争，当前收割快速推进阶段性卖压仍存，CBOT大豆价格预计上方空间有限。后续关注巴西大豆播种情况及美豆出口。国内现货基差继续承压，市场购销逐渐恢复，但下游未见集中补库情况。供应端在9-10月份大豆阶段性到港减少下，当前油厂大豆库存维持偏低水平，随着节后油厂开机恢复，豆粕产出预计会稳中缓增，油厂豆粕库存高于去年同期值为77.35万吨，当前沿海主流油厂豆粕现货报价下调至4150-4260元/吨。大豆6-8月到港量仍较充裕，8月进口935万吨大豆，今年1-8个月大豆进口量达到7165万吨，同比增长17.9%，但对美豆新作买船偏慢，关注后续大豆是否会有延迟到港情况。需求，下游生猪养殖利润不佳，但在能繁存栏高位下，下游维持刚需补库，并未出现集中补库情况，近期主要为远月成交放量。菜粕当前供需基本面改善，随着6月份后菜籽到港减少，油厂压榨也在逐步下滑，但供给整体较充裕。而需求方面，水产消费旺季即将结束，菜粕需求预计减少，主要关注豆菜粕价差较大下替代需求。策略方面，当前压力仍存，短期偏空看待</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8346993"/>
      <w:r>
        <w:rPr>
          <w:rFonts w:ascii="楷体" w:eastAsia="楷体" w:hAnsi="楷体" w:hint="eastAsia"/>
          <w:b/>
          <w:color w:val="000000" w:themeColor="text1"/>
          <w:sz w:val="24"/>
          <w:szCs w:val="24"/>
        </w:rPr>
        <w:t>油脂：</w:t>
      </w:r>
      <w:r w:rsidR="009E5993" w:rsidRPr="009E5993">
        <w:rPr>
          <w:rFonts w:ascii="楷体" w:eastAsia="楷体" w:hAnsi="楷体" w:hint="eastAsia"/>
          <w:b/>
          <w:sz w:val="24"/>
          <w:szCs w:val="24"/>
        </w:rPr>
        <w:t>短期上行驱动不足，宽幅震荡</w:t>
      </w:r>
      <w:bookmarkEnd w:id="46"/>
    </w:p>
    <w:p w:rsidR="003F56A5" w:rsidRDefault="009E5993" w:rsidP="00792D31">
      <w:pPr>
        <w:ind w:leftChars="300" w:left="630"/>
        <w:rPr>
          <w:rFonts w:ascii="楷体" w:eastAsia="楷体" w:hAnsi="楷体"/>
          <w:sz w:val="24"/>
          <w:szCs w:val="24"/>
        </w:rPr>
      </w:pPr>
      <w:r w:rsidRPr="009E5993">
        <w:rPr>
          <w:rFonts w:ascii="楷体" w:eastAsia="楷体" w:hAnsi="楷体" w:hint="eastAsia"/>
          <w:sz w:val="24"/>
          <w:szCs w:val="24"/>
        </w:rPr>
        <w:t>在外部地缘冲突加剧国际原油走强支撑，以及节后利空消化后，油脂有所企稳，但价格上方仍受基本面压制。棕榈油，产地季节性增产周期下存继续累库预期，印尼棕榈油7月份因产量增幅不及需求增幅，库存继续下降。而马棕9月库存增至新高，但符合市场预期。产量9月环比增长4.33%至183万吨；出口量则下降至120万吨；9月库存环比增长9.6%至231万吨；因主要消费国国内油脂库存偏高，后续采购预计放缓，产地预计维持累库趋势。国内棕榈油7-8月份进口到港预计维持高位，在买船积极下，库存持续累积，最新商业库存为85.85万吨。需求端，随着各地气温下降，棕榈油逐步进入消费淡季，棕榈油10月份预计表现偏弱。豆油库存去化仍需看需求增量。国内7-8月进口大豆到港量仍不少，但受9-10月大豆到港减少，预计节后油厂开机恢复后，豆油供应将缓增。需求端，节后终端存在补库需求，且四季度为豆油消费旺季，部分掺混需求预计转向豆油，继续关注。菜油短期供应压力减轻，但四季度存供应宽松预期。当前主产地菜</w:t>
      </w:r>
      <w:r w:rsidRPr="009E5993">
        <w:rPr>
          <w:rFonts w:ascii="楷体" w:eastAsia="楷体" w:hAnsi="楷体" w:hint="eastAsia"/>
          <w:sz w:val="24"/>
          <w:szCs w:val="24"/>
        </w:rPr>
        <w:lastRenderedPageBreak/>
        <w:t>籽新作产量不确定性仍存，但当前加籽收割基本结束，集中上市压力也抑制期价走势。虽8-9月份进口加籽到港量减少，菜籽开机及压榨水平也有所降低，但整体仍高于去年同期，8月菜籽进口39.6万吨，环比增167%，且四季度菜籽进口将增加。需求方面，与豆油价差持续收窄，库存去化仍需看到替代需求出现。短期油脂维持宽幅震荡，建议波段操作或关注豆棕套利低多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8346994"/>
      <w:r>
        <w:rPr>
          <w:rFonts w:ascii="楷体" w:eastAsia="楷体" w:hAnsi="楷体" w:hint="eastAsia"/>
          <w:b/>
          <w:bCs/>
          <w:color w:val="000000" w:themeColor="text1"/>
        </w:rPr>
        <w:t>玉米与淀粉：</w:t>
      </w:r>
      <w:r w:rsidR="009E5993" w:rsidRPr="009E5993">
        <w:rPr>
          <w:rFonts w:ascii="楷体" w:eastAsia="楷体" w:hAnsi="楷体" w:hint="eastAsia"/>
          <w:b/>
        </w:rPr>
        <w:t>淀粉-玉米价差继续小幅走扩</w:t>
      </w:r>
      <w:bookmarkEnd w:id="47"/>
    </w:p>
    <w:p w:rsidR="009E5993" w:rsidRPr="009E5993" w:rsidRDefault="009E5993" w:rsidP="009E5993">
      <w:pPr>
        <w:pStyle w:val="paragraph"/>
        <w:spacing w:before="60" w:after="60"/>
        <w:ind w:leftChars="300" w:left="630"/>
        <w:rPr>
          <w:rFonts w:ascii="楷体" w:eastAsia="楷体" w:hAnsi="楷体" w:hint="eastAsia"/>
        </w:rPr>
      </w:pPr>
      <w:r w:rsidRPr="009E5993">
        <w:rPr>
          <w:rFonts w:ascii="楷体" w:eastAsia="楷体" w:hAnsi="楷体" w:hint="eastAsia"/>
        </w:rPr>
        <w:t>对于玉米而言，9月期价震荡回落过程中，期现货结构转为现货升水11月，11月升水1月，但之后各合约转为远月小幅升水。这一期期现结构反映两个问题，其一是当前市场担心在于新作压力，其二是市场对于新作供需预期依然紧张，这意味着市场在等待新作压力释放后的低点再行入场，基于年度产需缺口进入补库存阶段。基于这样的理解，接下来需要关注三个层面，其一是期价下方的空间，其二是后期上涨驱动因素，其三是新作上市压力释放到主动补库存的转折时点。在我们看来，当前期价已经具备安全边际，且有市场渠道库存偏低和小麦现货上涨两个潜在上涨驱动因素，但目前尚不确定新作压力释放向主动补库存的转折时点，据此由前期中性再度转为谨慎看多，建议谨慎投资者观望，激进投资者择机做多，或持有前期多单。</w:t>
      </w:r>
    </w:p>
    <w:p w:rsidR="003F56A5" w:rsidRDefault="009E5993" w:rsidP="009E5993">
      <w:pPr>
        <w:pStyle w:val="paragraph"/>
        <w:spacing w:before="60" w:beforeAutospacing="0" w:after="60" w:afterAutospacing="0"/>
        <w:ind w:leftChars="300" w:left="630"/>
        <w:rPr>
          <w:rFonts w:ascii="楷体" w:eastAsia="楷体" w:hAnsi="楷体"/>
        </w:rPr>
      </w:pPr>
      <w:r w:rsidRPr="009E5993">
        <w:rPr>
          <w:rFonts w:ascii="楷体" w:eastAsia="楷体" w:hAnsi="楷体" w:hint="eastAsia"/>
        </w:rPr>
        <w:t>对于淀粉而言，近期淀粉-玉米价差持续小幅走扩，主要源于行业供需端和副产品端，特别是副产品价格持续下跌影响相对较大，主要逻辑有二，其一是通过现货生产利润影响行业开机率，即通过供应端影响行业供需；其二是通过现货生产利润影响现货价格，继而通过基差影响盘面期价，因当前基差处于历史同期高位。在这种情况下，考虑到副产品、行业供需和现货基差三个方面因素，结合前面对玉米原料端的分析，后期新作压力释放之后，淀粉-玉米价差有望继续走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8346995"/>
      <w:r>
        <w:rPr>
          <w:rFonts w:ascii="楷体" w:eastAsia="楷体" w:hAnsi="楷体" w:hint="eastAsia"/>
          <w:b/>
          <w:bCs/>
          <w:color w:val="000000" w:themeColor="text1"/>
        </w:rPr>
        <w:t>畜禽养殖：</w:t>
      </w:r>
      <w:r w:rsidR="007E1FC2" w:rsidRPr="007E1FC2">
        <w:rPr>
          <w:rFonts w:ascii="楷体" w:eastAsia="楷体" w:hAnsi="楷体" w:hint="eastAsia"/>
          <w:b/>
          <w:bCs/>
          <w:color w:val="000000" w:themeColor="text1"/>
        </w:rPr>
        <w:t>现货带动近月大幅下挫</w:t>
      </w:r>
      <w:bookmarkEnd w:id="48"/>
    </w:p>
    <w:p w:rsidR="007E1FC2" w:rsidRPr="007E1FC2" w:rsidRDefault="007E1FC2" w:rsidP="007E1FC2">
      <w:pPr>
        <w:pStyle w:val="paragraph"/>
        <w:spacing w:before="60" w:after="60"/>
        <w:ind w:leftChars="300" w:left="630"/>
        <w:rPr>
          <w:rFonts w:ascii="楷体" w:eastAsia="楷体" w:hAnsi="楷体" w:hint="eastAsia"/>
        </w:rPr>
      </w:pPr>
      <w:r w:rsidRPr="007E1FC2">
        <w:rPr>
          <w:rFonts w:ascii="楷体" w:eastAsia="楷体" w:hAnsi="楷体" w:hint="eastAsia"/>
        </w:rPr>
        <w:t>对于生猪而言，在前期报告中我们指出，考虑到各方数据显示生猪产能去化缓慢，表明7月下旬以来的猪价上涨是供应去化带来的阶段性反弹，而非产能去化所带来的周期见底。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考虑到市场供需矛盾并不突出，且接下来现货波动的节奏存在分歧，不确定性较大，观点维持中性，建议投资者继续观望为宜。</w:t>
      </w:r>
    </w:p>
    <w:p w:rsidR="003F56A5" w:rsidRDefault="007E1FC2" w:rsidP="007E1FC2">
      <w:pPr>
        <w:pStyle w:val="paragraph"/>
        <w:spacing w:before="60" w:beforeAutospacing="0" w:after="60" w:afterAutospacing="0"/>
        <w:ind w:leftChars="300" w:left="630"/>
        <w:rPr>
          <w:rFonts w:ascii="楷体" w:eastAsia="楷体" w:hAnsi="楷体"/>
        </w:rPr>
      </w:pPr>
      <w:r w:rsidRPr="007E1FC2">
        <w:rPr>
          <w:rFonts w:ascii="楷体" w:eastAsia="楷体" w:hAnsi="楷体" w:hint="eastAsia"/>
        </w:rPr>
        <w:lastRenderedPageBreak/>
        <w:t>对于鸡蛋而言，9月期间期价特别是近月表现强于市场之前预期，主要源于今年现货季节性高点出现时间晚于往年，这使得市场担心前期悲观预期可能落空，甚至出现类似于去年10月现货再创新高的情况。但在我们看来，9月上半月现货表现强于预期或更多源于两个方面的原因，其一是今年春节后现货相对高位，鸡蛋进入冷库形成库存量相对较低，其二是市场对后期价格悲观，渠道库存偏低。而从供需角度看，卓创资讯数据显示，在产蛋鸡存栏连续三个月环比增加，考虑到今年节后以来蛋鸡苗销量均同比增加，而蛋鸡淘汰量持续处于历史低位水平，蛋鸡淘汰日龄则持续位于历史同期高位，由此可以看出，后期鸡蛋供需有望趋于改善。考虑到近期现货下跌幅度符合季节性回落预期，后期需要担心叠加春节后补栏带来的供应增量，现货表现或弱于预期，在这种情况下，我们维持谨慎看空观点</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8346996"/>
      <w:r>
        <w:rPr>
          <w:rFonts w:ascii="楷体" w:eastAsia="楷体" w:hAnsi="楷体" w:hint="eastAsia"/>
          <w:b/>
          <w:sz w:val="24"/>
          <w:szCs w:val="24"/>
        </w:rPr>
        <w:t>郑棉：</w:t>
      </w:r>
      <w:r w:rsidR="009E5993" w:rsidRPr="009E5993">
        <w:rPr>
          <w:rFonts w:ascii="楷体" w:eastAsia="楷体" w:hAnsi="楷体" w:hint="eastAsia"/>
          <w:b/>
          <w:sz w:val="24"/>
          <w:szCs w:val="24"/>
        </w:rPr>
        <w:t>等待反弹后高空机会</w:t>
      </w:r>
      <w:bookmarkEnd w:id="49"/>
    </w:p>
    <w:p w:rsidR="003F56A5" w:rsidRDefault="009E5993" w:rsidP="007B3290">
      <w:pPr>
        <w:ind w:leftChars="300" w:left="630"/>
        <w:rPr>
          <w:rFonts w:ascii="楷体" w:eastAsia="楷体" w:hAnsi="楷体"/>
          <w:sz w:val="24"/>
          <w:szCs w:val="24"/>
        </w:rPr>
      </w:pPr>
      <w:r w:rsidRPr="009E5993">
        <w:rPr>
          <w:rFonts w:ascii="楷体" w:eastAsia="楷体" w:hAnsi="楷体" w:hint="eastAsia"/>
          <w:sz w:val="24"/>
          <w:szCs w:val="24"/>
        </w:rPr>
        <w:t>美农发布最新10月供需平衡表。报告中环比微微上调了2023/24年度全球产量，下调了全球消费量，但是因为将巴西的期末库存巨幅下调214万吨，导致新季全球期末库存环比降低218.50万吨，因此报告整体来说是利多的。受此影响，ICE美棉上涨1%收复了85美分/磅关口。国内商品出现企稳迹象，叠加资金前往新疆调研棉花的消息，虽然籽棉开秤价略为走弱，下游惨淡依旧，但郑棉小幅上涨，预计短期围绕1.7关口盘整</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8346997"/>
      <w:r>
        <w:rPr>
          <w:rFonts w:ascii="楷体" w:eastAsia="楷体" w:hAnsi="楷体" w:hint="eastAsia"/>
          <w:b/>
          <w:sz w:val="24"/>
          <w:szCs w:val="24"/>
        </w:rPr>
        <w:t>白糖：</w:t>
      </w:r>
      <w:r w:rsidR="009E5993" w:rsidRPr="009E5993">
        <w:rPr>
          <w:rFonts w:ascii="楷体" w:eastAsia="楷体" w:hAnsi="楷体" w:hint="eastAsia"/>
          <w:b/>
          <w:sz w:val="24"/>
          <w:szCs w:val="24"/>
        </w:rPr>
        <w:t>区间宽幅震荡，观望或等待高空机会</w:t>
      </w:r>
      <w:bookmarkEnd w:id="50"/>
    </w:p>
    <w:p w:rsidR="00296325" w:rsidRDefault="009E5993" w:rsidP="00296325">
      <w:pPr>
        <w:ind w:leftChars="300" w:left="630"/>
        <w:rPr>
          <w:rFonts w:ascii="楷体" w:eastAsia="楷体" w:hAnsi="楷体"/>
          <w:sz w:val="24"/>
          <w:szCs w:val="24"/>
        </w:rPr>
      </w:pPr>
      <w:r w:rsidRPr="009E5993">
        <w:rPr>
          <w:rFonts w:ascii="楷体" w:eastAsia="楷体" w:hAnsi="楷体" w:hint="eastAsia"/>
          <w:sz w:val="24"/>
          <w:szCs w:val="24"/>
        </w:rPr>
        <w:t>巴西白糖出口量依然高企，9月出口量达321万吨，同比增加6.2%。但市场对新季白糖的供应依然感到担忧。主要产糖大国印度的乙醇燃料计划使其甘蔗使用量大增，新年度可能继续限制白糖出口，市场已有相关政策传闻并导致盘面波动较大。泰国的产糖前景也不乐观。对于国内糖价来说，传闻10月交割的原糖大部分将运往中国，新榨季也已开始，供应紧张局面短期内有所缓解。2401主力合约预计区间6700-6900偏弱震荡</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C5A" w:rsidRDefault="00D25C5A">
      <w:r>
        <w:separator/>
      </w:r>
    </w:p>
  </w:endnote>
  <w:endnote w:type="continuationSeparator" w:id="0">
    <w:p w:rsidR="00D25C5A" w:rsidRDefault="00D2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695CE7A3" wp14:editId="2C2F54F9">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A390A">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A390A">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C5A" w:rsidRDefault="00D25C5A">
      <w:r>
        <w:separator/>
      </w:r>
    </w:p>
  </w:footnote>
  <w:footnote w:type="continuationSeparator" w:id="0">
    <w:p w:rsidR="00D25C5A" w:rsidRDefault="00D25C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656AD1FB" wp14:editId="4E06790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2EDB987E" wp14:editId="3975F0EA">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9E5993">
      <w:rPr>
        <w:rFonts w:ascii="Times New Roman" w:eastAsia="楷体" w:hAnsi="Times New Roman" w:hint="eastAsia"/>
        <w:b/>
        <w:bCs/>
        <w:noProof/>
        <w:color w:val="833C0B"/>
        <w:sz w:val="21"/>
      </w:rPr>
      <w:t>2023</w:t>
    </w:r>
    <w:r w:rsidR="009E5993">
      <w:rPr>
        <w:rFonts w:ascii="Times New Roman" w:eastAsia="楷体" w:hAnsi="Times New Roman" w:hint="eastAsia"/>
        <w:b/>
        <w:bCs/>
        <w:noProof/>
        <w:color w:val="833C0B"/>
        <w:sz w:val="21"/>
      </w:rPr>
      <w:t>年</w:t>
    </w:r>
    <w:r w:rsidR="009E5993">
      <w:rPr>
        <w:rFonts w:ascii="Times New Roman" w:eastAsia="楷体" w:hAnsi="Times New Roman" w:hint="eastAsia"/>
        <w:b/>
        <w:bCs/>
        <w:noProof/>
        <w:color w:val="833C0B"/>
        <w:sz w:val="21"/>
      </w:rPr>
      <w:t>10</w:t>
    </w:r>
    <w:r w:rsidR="009E5993">
      <w:rPr>
        <w:rFonts w:ascii="Times New Roman" w:eastAsia="楷体" w:hAnsi="Times New Roman" w:hint="eastAsia"/>
        <w:b/>
        <w:bCs/>
        <w:noProof/>
        <w:color w:val="833C0B"/>
        <w:sz w:val="21"/>
      </w:rPr>
      <w:t>月</w:t>
    </w:r>
    <w:r w:rsidR="009E5993">
      <w:rPr>
        <w:rFonts w:ascii="Times New Roman" w:eastAsia="楷体" w:hAnsi="Times New Roman" w:hint="eastAsia"/>
        <w:b/>
        <w:bCs/>
        <w:noProof/>
        <w:color w:val="833C0B"/>
        <w:sz w:val="21"/>
      </w:rPr>
      <w:t>16</w:t>
    </w:r>
    <w:r w:rsidR="009E5993">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2A7A"/>
    <w:rsid w:val="00035EB2"/>
    <w:rsid w:val="000417D7"/>
    <w:rsid w:val="00050B6C"/>
    <w:rsid w:val="0005286B"/>
    <w:rsid w:val="0005726F"/>
    <w:rsid w:val="00057E99"/>
    <w:rsid w:val="00060F08"/>
    <w:rsid w:val="00072EAA"/>
    <w:rsid w:val="00076420"/>
    <w:rsid w:val="000820C6"/>
    <w:rsid w:val="00093E40"/>
    <w:rsid w:val="00094BAE"/>
    <w:rsid w:val="00096258"/>
    <w:rsid w:val="000A390A"/>
    <w:rsid w:val="000A413E"/>
    <w:rsid w:val="000B0648"/>
    <w:rsid w:val="000B4E70"/>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6FEB"/>
    <w:rsid w:val="001579F3"/>
    <w:rsid w:val="00163984"/>
    <w:rsid w:val="00170E7B"/>
    <w:rsid w:val="00170EDF"/>
    <w:rsid w:val="001801C4"/>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D4D"/>
    <w:rsid w:val="004C11A7"/>
    <w:rsid w:val="004C5F3F"/>
    <w:rsid w:val="004D0484"/>
    <w:rsid w:val="004D6F74"/>
    <w:rsid w:val="004E269E"/>
    <w:rsid w:val="004E2959"/>
    <w:rsid w:val="004E3A10"/>
    <w:rsid w:val="004E58A5"/>
    <w:rsid w:val="004E6093"/>
    <w:rsid w:val="004F2492"/>
    <w:rsid w:val="005145ED"/>
    <w:rsid w:val="00521683"/>
    <w:rsid w:val="005245A4"/>
    <w:rsid w:val="00526949"/>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B5BDF"/>
    <w:rsid w:val="005B790A"/>
    <w:rsid w:val="005C05F7"/>
    <w:rsid w:val="005C05FA"/>
    <w:rsid w:val="005C49BA"/>
    <w:rsid w:val="005C5B1D"/>
    <w:rsid w:val="005E1CE0"/>
    <w:rsid w:val="005E6164"/>
    <w:rsid w:val="005F28F8"/>
    <w:rsid w:val="005F2CE6"/>
    <w:rsid w:val="005F45A8"/>
    <w:rsid w:val="005F5D8E"/>
    <w:rsid w:val="00606E2B"/>
    <w:rsid w:val="00610C41"/>
    <w:rsid w:val="00612D79"/>
    <w:rsid w:val="0061390B"/>
    <w:rsid w:val="00615F78"/>
    <w:rsid w:val="00622C65"/>
    <w:rsid w:val="006353D1"/>
    <w:rsid w:val="00637F19"/>
    <w:rsid w:val="00641752"/>
    <w:rsid w:val="00645DF5"/>
    <w:rsid w:val="00650F05"/>
    <w:rsid w:val="0065454E"/>
    <w:rsid w:val="00657B01"/>
    <w:rsid w:val="00661BB3"/>
    <w:rsid w:val="00666DE4"/>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A713B"/>
    <w:rsid w:val="007B3290"/>
    <w:rsid w:val="007B42D0"/>
    <w:rsid w:val="007B4FCE"/>
    <w:rsid w:val="007C1DB9"/>
    <w:rsid w:val="007C2FD2"/>
    <w:rsid w:val="007C6F18"/>
    <w:rsid w:val="007C7B84"/>
    <w:rsid w:val="007D29EC"/>
    <w:rsid w:val="007D4BBD"/>
    <w:rsid w:val="007D67CC"/>
    <w:rsid w:val="007E1660"/>
    <w:rsid w:val="007E1FC2"/>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5EF6"/>
    <w:rsid w:val="00816F85"/>
    <w:rsid w:val="00820D28"/>
    <w:rsid w:val="00822591"/>
    <w:rsid w:val="00827E8A"/>
    <w:rsid w:val="0083288D"/>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F1360"/>
    <w:rsid w:val="008F229B"/>
    <w:rsid w:val="008F2A6E"/>
    <w:rsid w:val="00903C18"/>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5993"/>
    <w:rsid w:val="009E7578"/>
    <w:rsid w:val="009E75B7"/>
    <w:rsid w:val="009F5C7B"/>
    <w:rsid w:val="00A031CE"/>
    <w:rsid w:val="00A04421"/>
    <w:rsid w:val="00A11A0D"/>
    <w:rsid w:val="00A22080"/>
    <w:rsid w:val="00A223D3"/>
    <w:rsid w:val="00A32D1B"/>
    <w:rsid w:val="00A42079"/>
    <w:rsid w:val="00A531E8"/>
    <w:rsid w:val="00A573ED"/>
    <w:rsid w:val="00A60F08"/>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23F73"/>
    <w:rsid w:val="00B33C93"/>
    <w:rsid w:val="00B443CE"/>
    <w:rsid w:val="00B4555A"/>
    <w:rsid w:val="00B51CAF"/>
    <w:rsid w:val="00B53C56"/>
    <w:rsid w:val="00B60464"/>
    <w:rsid w:val="00B606EF"/>
    <w:rsid w:val="00B618F8"/>
    <w:rsid w:val="00B64133"/>
    <w:rsid w:val="00B72E2D"/>
    <w:rsid w:val="00B745CB"/>
    <w:rsid w:val="00B805BD"/>
    <w:rsid w:val="00B81DA7"/>
    <w:rsid w:val="00B873E2"/>
    <w:rsid w:val="00B91D3D"/>
    <w:rsid w:val="00B94E7D"/>
    <w:rsid w:val="00B97F08"/>
    <w:rsid w:val="00BA4663"/>
    <w:rsid w:val="00BA696B"/>
    <w:rsid w:val="00BA7212"/>
    <w:rsid w:val="00BC5F45"/>
    <w:rsid w:val="00BC71D6"/>
    <w:rsid w:val="00BD4C85"/>
    <w:rsid w:val="00BE1EFD"/>
    <w:rsid w:val="00BE456E"/>
    <w:rsid w:val="00BF3137"/>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25C5A"/>
    <w:rsid w:val="00D309C4"/>
    <w:rsid w:val="00D32D2F"/>
    <w:rsid w:val="00D341CA"/>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4E25"/>
    <w:rsid w:val="00DB6FBE"/>
    <w:rsid w:val="00DD145E"/>
    <w:rsid w:val="00DD29E1"/>
    <w:rsid w:val="00DD334E"/>
    <w:rsid w:val="00DE02C4"/>
    <w:rsid w:val="00DF164D"/>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C24AF"/>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0B068D-FBD6-43C2-B699-A3F5214B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4163</TotalTime>
  <Pages>10</Pages>
  <Words>1680</Words>
  <Characters>9579</Characters>
  <Application>Microsoft Office Word</Application>
  <DocSecurity>0</DocSecurity>
  <Lines>79</Lines>
  <Paragraphs>22</Paragraphs>
  <ScaleCrop>false</ScaleCrop>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107</cp:revision>
  <cp:lastPrinted>2023-06-08T02:23:00Z</cp:lastPrinted>
  <dcterms:created xsi:type="dcterms:W3CDTF">2022-11-15T10:06:00Z</dcterms:created>
  <dcterms:modified xsi:type="dcterms:W3CDTF">2023-10-16T03:08:00Z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