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1B6B7D"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1B6B7D" w:rsidRPr="007B1673">
            <w:rPr>
              <w:rStyle w:val="a9"/>
              <w:noProof/>
            </w:rPr>
            <w:fldChar w:fldCharType="begin"/>
          </w:r>
          <w:r w:rsidR="001B6B7D" w:rsidRPr="007B1673">
            <w:rPr>
              <w:rStyle w:val="a9"/>
              <w:noProof/>
            </w:rPr>
            <w:instrText xml:space="preserve"> </w:instrText>
          </w:r>
          <w:r w:rsidR="001B6B7D">
            <w:rPr>
              <w:noProof/>
            </w:rPr>
            <w:instrText>HYPERLINK \l "_Toc147914395"</w:instrText>
          </w:r>
          <w:r w:rsidR="001B6B7D" w:rsidRPr="007B1673">
            <w:rPr>
              <w:rStyle w:val="a9"/>
              <w:noProof/>
            </w:rPr>
            <w:instrText xml:space="preserve"> </w:instrText>
          </w:r>
          <w:r w:rsidR="001B6B7D" w:rsidRPr="007B1673">
            <w:rPr>
              <w:rStyle w:val="a9"/>
              <w:noProof/>
            </w:rPr>
          </w:r>
          <w:r w:rsidR="001B6B7D" w:rsidRPr="007B1673">
            <w:rPr>
              <w:rStyle w:val="a9"/>
              <w:noProof/>
            </w:rPr>
            <w:fldChar w:fldCharType="separate"/>
          </w:r>
          <w:r w:rsidR="001B6B7D" w:rsidRPr="007B1673">
            <w:rPr>
              <w:rStyle w:val="a9"/>
              <w:rFonts w:ascii="Times New Roman" w:eastAsia="楷体" w:hAnsi="Times New Roman"/>
              <w:b/>
              <w:noProof/>
            </w:rPr>
            <w:t>[</w:t>
          </w:r>
          <w:r w:rsidR="001B6B7D" w:rsidRPr="007B1673">
            <w:rPr>
              <w:rStyle w:val="a9"/>
              <w:rFonts w:ascii="Times New Roman" w:eastAsia="楷体" w:hAnsi="Times New Roman"/>
              <w:b/>
              <w:noProof/>
            </w:rPr>
            <w:t>金融</w:t>
          </w:r>
          <w:r w:rsidR="001B6B7D" w:rsidRPr="007B1673">
            <w:rPr>
              <w:rStyle w:val="a9"/>
              <w:rFonts w:ascii="Times New Roman" w:eastAsia="楷体" w:hAnsi="Times New Roman"/>
              <w:b/>
              <w:noProof/>
            </w:rPr>
            <w:t>]</w:t>
          </w:r>
          <w:r w:rsidR="001B6B7D" w:rsidRPr="007B1673">
            <w:rPr>
              <w:rStyle w:val="a9"/>
              <w:noProof/>
            </w:rPr>
            <w:fldChar w:fldCharType="end"/>
          </w:r>
        </w:p>
        <w:p w:rsidR="001B6B7D" w:rsidRDefault="001B6B7D">
          <w:pPr>
            <w:pStyle w:val="23"/>
            <w:tabs>
              <w:tab w:val="right" w:leader="dot" w:pos="8296"/>
            </w:tabs>
            <w:rPr>
              <w:rFonts w:eastAsiaTheme="minorEastAsia"/>
              <w:noProof/>
              <w:szCs w:val="22"/>
            </w:rPr>
          </w:pPr>
          <w:hyperlink w:anchor="_Toc147914396" w:history="1">
            <w:r w:rsidRPr="007B1673">
              <w:rPr>
                <w:rStyle w:val="a9"/>
                <w:rFonts w:ascii="Times New Roman" w:eastAsia="楷体" w:hAnsi="Times New Roman"/>
                <w:b/>
                <w:noProof/>
              </w:rPr>
              <w:t>股指：</w:t>
            </w:r>
            <w:r w:rsidRPr="007B1673">
              <w:rPr>
                <w:rStyle w:val="a9"/>
                <w:rFonts w:ascii="Times New Roman" w:eastAsia="楷体" w:hAnsi="Times New Roman"/>
                <w:b/>
                <w:noProof/>
              </w:rPr>
              <w:t>IM</w:t>
            </w:r>
            <w:r w:rsidRPr="007B1673">
              <w:rPr>
                <w:rStyle w:val="a9"/>
                <w:rFonts w:ascii="Times New Roman" w:eastAsia="楷体" w:hAnsi="Times New Roman"/>
                <w:b/>
                <w:noProof/>
              </w:rPr>
              <w:t>多单轻仓持有</w:t>
            </w:r>
          </w:hyperlink>
        </w:p>
        <w:p w:rsidR="001B6B7D" w:rsidRDefault="001B6B7D">
          <w:pPr>
            <w:pStyle w:val="11"/>
            <w:tabs>
              <w:tab w:val="right" w:leader="dot" w:pos="8296"/>
            </w:tabs>
            <w:rPr>
              <w:rFonts w:eastAsiaTheme="minorEastAsia"/>
              <w:noProof/>
              <w:szCs w:val="22"/>
            </w:rPr>
          </w:pPr>
          <w:hyperlink w:anchor="_Toc147914397" w:history="1">
            <w:r w:rsidRPr="007B1673">
              <w:rPr>
                <w:rStyle w:val="a9"/>
                <w:rFonts w:ascii="Times New Roman" w:eastAsia="楷体" w:hAnsi="Times New Roman"/>
                <w:b/>
                <w:noProof/>
              </w:rPr>
              <w:t>[</w:t>
            </w:r>
            <w:r w:rsidRPr="007B1673">
              <w:rPr>
                <w:rStyle w:val="a9"/>
                <w:rFonts w:ascii="Times New Roman" w:eastAsia="楷体" w:hAnsi="Times New Roman"/>
                <w:b/>
                <w:noProof/>
              </w:rPr>
              <w:t>贵金属</w:t>
            </w:r>
            <w:r w:rsidRPr="007B1673">
              <w:rPr>
                <w:rStyle w:val="a9"/>
                <w:rFonts w:ascii="Times New Roman" w:eastAsia="楷体" w:hAnsi="Times New Roman"/>
                <w:b/>
                <w:noProof/>
              </w:rPr>
              <w:t>]</w:t>
            </w:r>
          </w:hyperlink>
        </w:p>
        <w:p w:rsidR="001B6B7D" w:rsidRDefault="001B6B7D">
          <w:pPr>
            <w:pStyle w:val="23"/>
            <w:tabs>
              <w:tab w:val="right" w:leader="dot" w:pos="8296"/>
            </w:tabs>
            <w:rPr>
              <w:rFonts w:eastAsiaTheme="minorEastAsia"/>
              <w:noProof/>
              <w:szCs w:val="22"/>
            </w:rPr>
          </w:pPr>
          <w:hyperlink w:anchor="_Toc147914398" w:history="1">
            <w:r w:rsidRPr="007B1673">
              <w:rPr>
                <w:rStyle w:val="a9"/>
                <w:rFonts w:ascii="Times New Roman" w:eastAsia="楷体" w:hAnsi="Times New Roman"/>
                <w:b/>
                <w:noProof/>
              </w:rPr>
              <w:t>贵金属：</w:t>
            </w:r>
            <w:r w:rsidRPr="007B1673">
              <w:rPr>
                <w:rStyle w:val="a9"/>
                <w:rFonts w:ascii="Times New Roman" w:eastAsia="楷体" w:hAnsi="Times New Roman"/>
                <w:b/>
                <w:noProof/>
              </w:rPr>
              <w:t>IMF</w:t>
            </w:r>
            <w:r w:rsidRPr="007B1673">
              <w:rPr>
                <w:rStyle w:val="a9"/>
                <w:rFonts w:ascii="Times New Roman" w:eastAsia="楷体" w:hAnsi="Times New Roman"/>
                <w:b/>
                <w:noProof/>
              </w:rPr>
              <w:t>小幅下调全球增速预测，外盘贵金属价格维持反弹</w:t>
            </w:r>
          </w:hyperlink>
        </w:p>
        <w:p w:rsidR="001B6B7D" w:rsidRDefault="001B6B7D">
          <w:pPr>
            <w:pStyle w:val="11"/>
            <w:tabs>
              <w:tab w:val="right" w:leader="dot" w:pos="8296"/>
            </w:tabs>
            <w:rPr>
              <w:rFonts w:eastAsiaTheme="minorEastAsia"/>
              <w:noProof/>
              <w:szCs w:val="22"/>
            </w:rPr>
          </w:pPr>
          <w:hyperlink w:anchor="_Toc147914399" w:history="1">
            <w:r w:rsidRPr="007B1673">
              <w:rPr>
                <w:rStyle w:val="a9"/>
                <w:rFonts w:ascii="Times New Roman" w:eastAsia="楷体" w:hAnsi="Times New Roman"/>
                <w:b/>
                <w:noProof/>
              </w:rPr>
              <w:t>[</w:t>
            </w:r>
            <w:r w:rsidRPr="007B1673">
              <w:rPr>
                <w:rStyle w:val="a9"/>
                <w:rFonts w:ascii="Times New Roman" w:eastAsia="楷体" w:hAnsi="Times New Roman"/>
                <w:b/>
                <w:noProof/>
              </w:rPr>
              <w:t>金属</w:t>
            </w:r>
            <w:r w:rsidRPr="007B1673">
              <w:rPr>
                <w:rStyle w:val="a9"/>
                <w:rFonts w:ascii="Times New Roman" w:eastAsia="楷体" w:hAnsi="Times New Roman"/>
                <w:b/>
                <w:noProof/>
              </w:rPr>
              <w:t>]</w:t>
            </w:r>
          </w:hyperlink>
        </w:p>
        <w:p w:rsidR="001B6B7D" w:rsidRDefault="001B6B7D">
          <w:pPr>
            <w:pStyle w:val="23"/>
            <w:tabs>
              <w:tab w:val="right" w:leader="dot" w:pos="8296"/>
            </w:tabs>
            <w:rPr>
              <w:rFonts w:eastAsiaTheme="minorEastAsia"/>
              <w:noProof/>
              <w:szCs w:val="22"/>
            </w:rPr>
          </w:pPr>
          <w:hyperlink w:anchor="_Toc147914400" w:history="1">
            <w:r w:rsidRPr="007B1673">
              <w:rPr>
                <w:rStyle w:val="a9"/>
                <w:rFonts w:ascii="楷体" w:eastAsia="楷体" w:hAnsi="楷体"/>
                <w:b/>
                <w:noProof/>
              </w:rPr>
              <w:t>碳酸锂：供应减量现货企稳，期价小幅上涨</w:t>
            </w:r>
          </w:hyperlink>
        </w:p>
        <w:p w:rsidR="001B6B7D" w:rsidRDefault="001B6B7D">
          <w:pPr>
            <w:pStyle w:val="23"/>
            <w:tabs>
              <w:tab w:val="right" w:leader="dot" w:pos="8296"/>
            </w:tabs>
            <w:rPr>
              <w:rFonts w:eastAsiaTheme="minorEastAsia"/>
              <w:noProof/>
              <w:szCs w:val="22"/>
            </w:rPr>
          </w:pPr>
          <w:hyperlink w:anchor="_Toc147914401" w:history="1">
            <w:r w:rsidRPr="007B1673">
              <w:rPr>
                <w:rStyle w:val="a9"/>
                <w:rFonts w:ascii="楷体" w:eastAsia="楷体" w:hAnsi="楷体"/>
                <w:b/>
                <w:noProof/>
              </w:rPr>
              <w:t>螺纹钢：偏弱震荡，等待观察现货承接力量</w:t>
            </w:r>
          </w:hyperlink>
        </w:p>
        <w:p w:rsidR="001B6B7D" w:rsidRDefault="001B6B7D">
          <w:pPr>
            <w:pStyle w:val="23"/>
            <w:tabs>
              <w:tab w:val="right" w:leader="dot" w:pos="8296"/>
            </w:tabs>
            <w:rPr>
              <w:rFonts w:eastAsiaTheme="minorEastAsia"/>
              <w:noProof/>
              <w:szCs w:val="22"/>
            </w:rPr>
          </w:pPr>
          <w:hyperlink w:anchor="_Toc147914402" w:history="1">
            <w:r w:rsidRPr="007B1673">
              <w:rPr>
                <w:rStyle w:val="a9"/>
                <w:rFonts w:ascii="楷体" w:eastAsia="楷体" w:hAnsi="楷体"/>
                <w:b/>
                <w:noProof/>
              </w:rPr>
              <w:t>焦炭：震荡运行，等待现实情况</w:t>
            </w:r>
          </w:hyperlink>
        </w:p>
        <w:p w:rsidR="001B6B7D" w:rsidRDefault="001B6B7D">
          <w:pPr>
            <w:pStyle w:val="23"/>
            <w:tabs>
              <w:tab w:val="right" w:leader="dot" w:pos="8296"/>
            </w:tabs>
            <w:rPr>
              <w:rFonts w:eastAsiaTheme="minorEastAsia"/>
              <w:noProof/>
              <w:szCs w:val="22"/>
            </w:rPr>
          </w:pPr>
          <w:hyperlink w:anchor="_Toc147914403" w:history="1">
            <w:r w:rsidRPr="007B1673">
              <w:rPr>
                <w:rStyle w:val="a9"/>
                <w:rFonts w:ascii="楷体" w:eastAsia="楷体" w:hAnsi="楷体"/>
                <w:b/>
                <w:noProof/>
              </w:rPr>
              <w:t>焦煤：震荡运行，等待现实情况</w:t>
            </w:r>
          </w:hyperlink>
        </w:p>
        <w:p w:rsidR="001B6B7D" w:rsidRDefault="001B6B7D">
          <w:pPr>
            <w:pStyle w:val="23"/>
            <w:tabs>
              <w:tab w:val="right" w:leader="dot" w:pos="8296"/>
            </w:tabs>
            <w:rPr>
              <w:rFonts w:eastAsiaTheme="minorEastAsia"/>
              <w:noProof/>
              <w:szCs w:val="22"/>
            </w:rPr>
          </w:pPr>
          <w:hyperlink w:anchor="_Toc147914404" w:history="1">
            <w:r w:rsidRPr="007B1673">
              <w:rPr>
                <w:rStyle w:val="a9"/>
                <w:rFonts w:ascii="楷体" w:eastAsia="楷体" w:hAnsi="楷体"/>
                <w:b/>
                <w:noProof/>
              </w:rPr>
              <w:t>铜：震荡偏弱，关注美国9月CPI数据公布</w:t>
            </w:r>
          </w:hyperlink>
        </w:p>
        <w:p w:rsidR="001B6B7D" w:rsidRDefault="001B6B7D">
          <w:pPr>
            <w:pStyle w:val="23"/>
            <w:tabs>
              <w:tab w:val="right" w:leader="dot" w:pos="8296"/>
            </w:tabs>
            <w:rPr>
              <w:rFonts w:eastAsiaTheme="minorEastAsia"/>
              <w:noProof/>
              <w:szCs w:val="22"/>
            </w:rPr>
          </w:pPr>
          <w:hyperlink w:anchor="_Toc147914405" w:history="1">
            <w:r w:rsidRPr="007B1673">
              <w:rPr>
                <w:rStyle w:val="a9"/>
                <w:rFonts w:ascii="楷体" w:eastAsia="楷体" w:hAnsi="楷体"/>
                <w:b/>
                <w:noProof/>
              </w:rPr>
              <w:t>铝：铝价上方压力仍存</w:t>
            </w:r>
          </w:hyperlink>
        </w:p>
        <w:p w:rsidR="001B6B7D" w:rsidRDefault="001B6B7D">
          <w:pPr>
            <w:pStyle w:val="23"/>
            <w:tabs>
              <w:tab w:val="right" w:leader="dot" w:pos="8296"/>
            </w:tabs>
            <w:rPr>
              <w:rFonts w:eastAsiaTheme="minorEastAsia"/>
              <w:noProof/>
              <w:szCs w:val="22"/>
            </w:rPr>
          </w:pPr>
          <w:hyperlink w:anchor="_Toc147914406" w:history="1">
            <w:r w:rsidRPr="007B1673">
              <w:rPr>
                <w:rStyle w:val="a9"/>
                <w:rFonts w:ascii="楷体" w:eastAsia="楷体" w:hAnsi="楷体"/>
                <w:b/>
                <w:noProof/>
              </w:rPr>
              <w:t>锌：锌价偏弱震荡运行</w:t>
            </w:r>
          </w:hyperlink>
        </w:p>
        <w:p w:rsidR="001B6B7D" w:rsidRDefault="001B6B7D">
          <w:pPr>
            <w:pStyle w:val="23"/>
            <w:tabs>
              <w:tab w:val="right" w:leader="dot" w:pos="8296"/>
            </w:tabs>
            <w:rPr>
              <w:rFonts w:eastAsiaTheme="minorEastAsia"/>
              <w:noProof/>
              <w:szCs w:val="22"/>
            </w:rPr>
          </w:pPr>
          <w:hyperlink w:anchor="_Toc147914407" w:history="1">
            <w:r w:rsidRPr="007B1673">
              <w:rPr>
                <w:rStyle w:val="a9"/>
                <w:rFonts w:ascii="楷体" w:eastAsia="楷体" w:hAnsi="楷体"/>
                <w:b/>
                <w:noProof/>
              </w:rPr>
              <w:t>镍：宏观情绪海内外分化，弱势基本面对镍价形成拖累</w:t>
            </w:r>
          </w:hyperlink>
        </w:p>
        <w:p w:rsidR="001B6B7D" w:rsidRDefault="001B6B7D">
          <w:pPr>
            <w:pStyle w:val="23"/>
            <w:tabs>
              <w:tab w:val="right" w:leader="dot" w:pos="8296"/>
            </w:tabs>
            <w:rPr>
              <w:rFonts w:eastAsiaTheme="minorEastAsia"/>
              <w:noProof/>
              <w:szCs w:val="22"/>
            </w:rPr>
          </w:pPr>
          <w:hyperlink w:anchor="_Toc147914408" w:history="1">
            <w:r w:rsidRPr="007B1673">
              <w:rPr>
                <w:rStyle w:val="a9"/>
                <w:rFonts w:ascii="楷体" w:eastAsia="楷体" w:hAnsi="楷体"/>
                <w:b/>
                <w:noProof/>
              </w:rPr>
              <w:t>铅：铝价上方压力仍存</w:t>
            </w:r>
          </w:hyperlink>
        </w:p>
        <w:p w:rsidR="001B6B7D" w:rsidRDefault="001B6B7D">
          <w:pPr>
            <w:pStyle w:val="23"/>
            <w:tabs>
              <w:tab w:val="right" w:leader="dot" w:pos="8296"/>
            </w:tabs>
            <w:rPr>
              <w:rFonts w:eastAsiaTheme="minorEastAsia"/>
              <w:noProof/>
              <w:szCs w:val="22"/>
            </w:rPr>
          </w:pPr>
          <w:hyperlink w:anchor="_Toc147914409" w:history="1">
            <w:r w:rsidRPr="007B1673">
              <w:rPr>
                <w:rStyle w:val="a9"/>
                <w:rFonts w:ascii="楷体" w:eastAsia="楷体" w:hAnsi="楷体"/>
                <w:b/>
                <w:noProof/>
              </w:rPr>
              <w:t>不锈钢：供需两端均边际转弱，短期或震荡偏弱运行</w:t>
            </w:r>
          </w:hyperlink>
        </w:p>
        <w:p w:rsidR="001B6B7D" w:rsidRDefault="001B6B7D">
          <w:pPr>
            <w:pStyle w:val="23"/>
            <w:tabs>
              <w:tab w:val="right" w:leader="dot" w:pos="8296"/>
            </w:tabs>
            <w:rPr>
              <w:rFonts w:eastAsiaTheme="minorEastAsia"/>
              <w:noProof/>
              <w:szCs w:val="22"/>
            </w:rPr>
          </w:pPr>
          <w:hyperlink w:anchor="_Toc147914410" w:history="1">
            <w:r w:rsidRPr="007B1673">
              <w:rPr>
                <w:rStyle w:val="a9"/>
                <w:rFonts w:ascii="楷体" w:eastAsia="楷体" w:hAnsi="楷体"/>
                <w:b/>
                <w:noProof/>
              </w:rPr>
              <w:t>工业硅：供需双增，市场或仍有支撑</w:t>
            </w:r>
          </w:hyperlink>
        </w:p>
        <w:p w:rsidR="001B6B7D" w:rsidRDefault="001B6B7D">
          <w:pPr>
            <w:pStyle w:val="11"/>
            <w:tabs>
              <w:tab w:val="right" w:leader="dot" w:pos="8296"/>
            </w:tabs>
            <w:rPr>
              <w:rFonts w:eastAsiaTheme="minorEastAsia"/>
              <w:noProof/>
              <w:szCs w:val="22"/>
            </w:rPr>
          </w:pPr>
          <w:hyperlink w:anchor="_Toc147914411" w:history="1">
            <w:r w:rsidRPr="007B1673">
              <w:rPr>
                <w:rStyle w:val="a9"/>
                <w:rFonts w:ascii="Times New Roman" w:eastAsia="楷体" w:hAnsi="Times New Roman"/>
                <w:b/>
                <w:noProof/>
              </w:rPr>
              <w:t>[</w:t>
            </w:r>
            <w:r w:rsidRPr="007B1673">
              <w:rPr>
                <w:rStyle w:val="a9"/>
                <w:rFonts w:ascii="Times New Roman" w:eastAsia="楷体" w:hAnsi="Times New Roman"/>
                <w:b/>
                <w:noProof/>
              </w:rPr>
              <w:t>化工</w:t>
            </w:r>
            <w:r w:rsidRPr="007B1673">
              <w:rPr>
                <w:rStyle w:val="a9"/>
                <w:rFonts w:ascii="Times New Roman" w:eastAsia="楷体" w:hAnsi="Times New Roman"/>
                <w:b/>
                <w:noProof/>
              </w:rPr>
              <w:t>]</w:t>
            </w:r>
          </w:hyperlink>
        </w:p>
        <w:p w:rsidR="001B6B7D" w:rsidRDefault="001B6B7D">
          <w:pPr>
            <w:pStyle w:val="23"/>
            <w:tabs>
              <w:tab w:val="right" w:leader="dot" w:pos="8296"/>
            </w:tabs>
            <w:rPr>
              <w:rFonts w:eastAsiaTheme="minorEastAsia"/>
              <w:noProof/>
              <w:szCs w:val="22"/>
            </w:rPr>
          </w:pPr>
          <w:hyperlink w:anchor="_Toc147914412" w:history="1">
            <w:r w:rsidRPr="007B1673">
              <w:rPr>
                <w:rStyle w:val="a9"/>
                <w:rFonts w:ascii="Times New Roman" w:eastAsia="楷体" w:hAnsi="Times New Roman"/>
                <w:b/>
                <w:noProof/>
              </w:rPr>
              <w:t>天然橡胶</w:t>
            </w:r>
            <w:r w:rsidRPr="007B1673">
              <w:rPr>
                <w:rStyle w:val="a9"/>
                <w:rFonts w:ascii="Times New Roman" w:eastAsia="楷体" w:hAnsi="Times New Roman"/>
                <w:b/>
                <w:noProof/>
              </w:rPr>
              <w:t>:</w:t>
            </w:r>
            <w:r w:rsidRPr="007B1673">
              <w:rPr>
                <w:rStyle w:val="a9"/>
                <w:rFonts w:ascii="楷体" w:eastAsia="楷体" w:hAnsi="楷体"/>
                <w:b/>
                <w:noProof/>
              </w:rPr>
              <w:t xml:space="preserve"> 短期天然橡胶市场震荡运行，仍存偏强预期</w:t>
            </w:r>
          </w:hyperlink>
        </w:p>
        <w:p w:rsidR="001B6B7D" w:rsidRDefault="001B6B7D">
          <w:pPr>
            <w:pStyle w:val="23"/>
            <w:tabs>
              <w:tab w:val="right" w:leader="dot" w:pos="8296"/>
            </w:tabs>
            <w:rPr>
              <w:rFonts w:eastAsiaTheme="minorEastAsia"/>
              <w:noProof/>
              <w:szCs w:val="22"/>
            </w:rPr>
          </w:pPr>
          <w:hyperlink w:anchor="_Toc147914413" w:history="1">
            <w:r w:rsidRPr="007B1673">
              <w:rPr>
                <w:rStyle w:val="a9"/>
                <w:rFonts w:ascii="楷体" w:eastAsia="楷体" w:hAnsi="楷体"/>
                <w:b/>
                <w:noProof/>
              </w:rPr>
              <w:t>PTA：跟随成本端回调 等待企稳</w:t>
            </w:r>
          </w:hyperlink>
        </w:p>
        <w:p w:rsidR="001B6B7D" w:rsidRDefault="001B6B7D">
          <w:pPr>
            <w:pStyle w:val="23"/>
            <w:tabs>
              <w:tab w:val="right" w:leader="dot" w:pos="8296"/>
            </w:tabs>
            <w:rPr>
              <w:rFonts w:eastAsiaTheme="minorEastAsia"/>
              <w:noProof/>
              <w:szCs w:val="22"/>
            </w:rPr>
          </w:pPr>
          <w:hyperlink w:anchor="_Toc147914414" w:history="1">
            <w:r w:rsidRPr="007B1673">
              <w:rPr>
                <w:rStyle w:val="a9"/>
                <w:rFonts w:ascii="楷体" w:eastAsia="楷体" w:hAnsi="楷体"/>
                <w:b/>
                <w:noProof/>
              </w:rPr>
              <w:t>PVC：高库存+弱复苏 驱动不足</w:t>
            </w:r>
          </w:hyperlink>
        </w:p>
        <w:p w:rsidR="001B6B7D" w:rsidRDefault="001B6B7D">
          <w:pPr>
            <w:pStyle w:val="23"/>
            <w:tabs>
              <w:tab w:val="right" w:leader="dot" w:pos="8296"/>
            </w:tabs>
            <w:rPr>
              <w:rFonts w:eastAsiaTheme="minorEastAsia"/>
              <w:noProof/>
              <w:szCs w:val="22"/>
            </w:rPr>
          </w:pPr>
          <w:hyperlink w:anchor="_Toc147914415" w:history="1">
            <w:r w:rsidRPr="007B1673">
              <w:rPr>
                <w:rStyle w:val="a9"/>
                <w:rFonts w:ascii="楷体" w:eastAsia="楷体" w:hAnsi="楷体"/>
                <w:b/>
                <w:noProof/>
              </w:rPr>
              <w:t>聚烯烃：供需支撑减弱 聚烯烃偏弱整理为主</w:t>
            </w:r>
          </w:hyperlink>
        </w:p>
        <w:p w:rsidR="001B6B7D" w:rsidRDefault="001B6B7D">
          <w:pPr>
            <w:pStyle w:val="23"/>
            <w:tabs>
              <w:tab w:val="right" w:leader="dot" w:pos="8296"/>
            </w:tabs>
            <w:rPr>
              <w:rFonts w:eastAsiaTheme="minorEastAsia"/>
              <w:noProof/>
              <w:szCs w:val="22"/>
            </w:rPr>
          </w:pPr>
          <w:hyperlink w:anchor="_Toc147914416" w:history="1">
            <w:r w:rsidRPr="007B1673">
              <w:rPr>
                <w:rStyle w:val="a9"/>
                <w:rFonts w:ascii="楷体" w:eastAsia="楷体" w:hAnsi="楷体"/>
                <w:b/>
                <w:noProof/>
              </w:rPr>
              <w:t>MEG：具备低多价值</w:t>
            </w:r>
          </w:hyperlink>
        </w:p>
        <w:p w:rsidR="001B6B7D" w:rsidRDefault="001B6B7D">
          <w:pPr>
            <w:pStyle w:val="23"/>
            <w:tabs>
              <w:tab w:val="right" w:leader="dot" w:pos="8296"/>
            </w:tabs>
            <w:rPr>
              <w:rFonts w:eastAsiaTheme="minorEastAsia"/>
              <w:noProof/>
              <w:szCs w:val="22"/>
            </w:rPr>
          </w:pPr>
          <w:hyperlink w:anchor="_Toc147914417" w:history="1">
            <w:r w:rsidRPr="007B1673">
              <w:rPr>
                <w:rStyle w:val="a9"/>
                <w:rFonts w:ascii="楷体" w:eastAsia="楷体" w:hAnsi="楷体"/>
                <w:b/>
                <w:noProof/>
              </w:rPr>
              <w:t>玻璃：产销边际回落，需求尚待观察</w:t>
            </w:r>
          </w:hyperlink>
        </w:p>
        <w:p w:rsidR="001B6B7D" w:rsidRDefault="001B6B7D">
          <w:pPr>
            <w:pStyle w:val="23"/>
            <w:tabs>
              <w:tab w:val="right" w:leader="dot" w:pos="8296"/>
            </w:tabs>
            <w:rPr>
              <w:rFonts w:eastAsiaTheme="minorEastAsia"/>
              <w:noProof/>
              <w:szCs w:val="22"/>
            </w:rPr>
          </w:pPr>
          <w:hyperlink w:anchor="_Toc147914418" w:history="1">
            <w:r w:rsidRPr="007B1673">
              <w:rPr>
                <w:rStyle w:val="a9"/>
                <w:rFonts w:ascii="楷体" w:eastAsia="楷体" w:hAnsi="楷体"/>
                <w:b/>
                <w:noProof/>
              </w:rPr>
              <w:t>纯碱：现货继续下跌，反弹高空为主</w:t>
            </w:r>
          </w:hyperlink>
        </w:p>
        <w:p w:rsidR="001B6B7D" w:rsidRDefault="001B6B7D">
          <w:pPr>
            <w:pStyle w:val="11"/>
            <w:tabs>
              <w:tab w:val="right" w:leader="dot" w:pos="8296"/>
            </w:tabs>
            <w:rPr>
              <w:rFonts w:eastAsiaTheme="minorEastAsia"/>
              <w:noProof/>
              <w:szCs w:val="22"/>
            </w:rPr>
          </w:pPr>
          <w:hyperlink w:anchor="_Toc147914419" w:history="1">
            <w:r w:rsidRPr="007B1673">
              <w:rPr>
                <w:rStyle w:val="a9"/>
                <w:rFonts w:ascii="Times New Roman" w:eastAsia="楷体" w:hAnsi="Times New Roman"/>
                <w:b/>
                <w:noProof/>
              </w:rPr>
              <w:t>[</w:t>
            </w:r>
            <w:r w:rsidRPr="007B1673">
              <w:rPr>
                <w:rStyle w:val="a9"/>
                <w:rFonts w:ascii="Times New Roman" w:eastAsia="楷体" w:hAnsi="Times New Roman"/>
                <w:b/>
                <w:noProof/>
              </w:rPr>
              <w:t>农产品</w:t>
            </w:r>
            <w:r w:rsidRPr="007B1673">
              <w:rPr>
                <w:rStyle w:val="a9"/>
                <w:rFonts w:ascii="Times New Roman" w:eastAsia="楷体" w:hAnsi="Times New Roman"/>
                <w:b/>
                <w:noProof/>
              </w:rPr>
              <w:t>]</w:t>
            </w:r>
          </w:hyperlink>
        </w:p>
        <w:p w:rsidR="001B6B7D" w:rsidRDefault="001B6B7D">
          <w:pPr>
            <w:pStyle w:val="23"/>
            <w:tabs>
              <w:tab w:val="right" w:leader="dot" w:pos="8296"/>
            </w:tabs>
            <w:rPr>
              <w:rFonts w:eastAsiaTheme="minorEastAsia"/>
              <w:noProof/>
              <w:szCs w:val="22"/>
            </w:rPr>
          </w:pPr>
          <w:hyperlink w:anchor="_Toc147914420" w:history="1">
            <w:r w:rsidRPr="007B1673">
              <w:rPr>
                <w:rStyle w:val="a9"/>
                <w:rFonts w:ascii="楷体" w:eastAsia="楷体" w:hAnsi="楷体"/>
                <w:b/>
                <w:noProof/>
              </w:rPr>
              <w:t>豆粕/菜粕：供应压力下，延续弱势</w:t>
            </w:r>
          </w:hyperlink>
        </w:p>
        <w:p w:rsidR="001B6B7D" w:rsidRDefault="001B6B7D">
          <w:pPr>
            <w:pStyle w:val="23"/>
            <w:tabs>
              <w:tab w:val="right" w:leader="dot" w:pos="8296"/>
            </w:tabs>
            <w:rPr>
              <w:rFonts w:eastAsiaTheme="minorEastAsia"/>
              <w:noProof/>
              <w:szCs w:val="22"/>
            </w:rPr>
          </w:pPr>
          <w:hyperlink w:anchor="_Toc147914421" w:history="1">
            <w:r w:rsidRPr="007B1673">
              <w:rPr>
                <w:rStyle w:val="a9"/>
                <w:rFonts w:ascii="楷体" w:eastAsia="楷体" w:hAnsi="楷体"/>
                <w:b/>
                <w:noProof/>
              </w:rPr>
              <w:t>油脂：MPOB数据符合预期，跌势预计放缓</w:t>
            </w:r>
          </w:hyperlink>
        </w:p>
        <w:p w:rsidR="001B6B7D" w:rsidRDefault="001B6B7D">
          <w:pPr>
            <w:pStyle w:val="23"/>
            <w:tabs>
              <w:tab w:val="right" w:leader="dot" w:pos="8296"/>
            </w:tabs>
            <w:rPr>
              <w:rFonts w:eastAsiaTheme="minorEastAsia"/>
              <w:noProof/>
              <w:szCs w:val="22"/>
            </w:rPr>
          </w:pPr>
          <w:hyperlink w:anchor="_Toc147914422" w:history="1">
            <w:r w:rsidRPr="007B1673">
              <w:rPr>
                <w:rStyle w:val="a9"/>
                <w:rFonts w:ascii="楷体" w:eastAsia="楷体" w:hAnsi="楷体"/>
                <w:b/>
                <w:bCs/>
                <w:noProof/>
              </w:rPr>
              <w:t>玉米与淀粉：</w:t>
            </w:r>
            <w:r w:rsidRPr="007B1673">
              <w:rPr>
                <w:rStyle w:val="a9"/>
                <w:rFonts w:ascii="楷体" w:eastAsia="楷体" w:hAnsi="楷体"/>
                <w:b/>
                <w:noProof/>
              </w:rPr>
              <w:t>继续等待新作压力释放后的做多机会</w:t>
            </w:r>
          </w:hyperlink>
        </w:p>
        <w:p w:rsidR="001B6B7D" w:rsidRDefault="001B6B7D">
          <w:pPr>
            <w:pStyle w:val="23"/>
            <w:tabs>
              <w:tab w:val="right" w:leader="dot" w:pos="8296"/>
            </w:tabs>
            <w:rPr>
              <w:rFonts w:eastAsiaTheme="minorEastAsia"/>
              <w:noProof/>
              <w:szCs w:val="22"/>
            </w:rPr>
          </w:pPr>
          <w:hyperlink w:anchor="_Toc147914423" w:history="1">
            <w:r w:rsidRPr="007B1673">
              <w:rPr>
                <w:rStyle w:val="a9"/>
                <w:rFonts w:ascii="楷体" w:eastAsia="楷体" w:hAnsi="楷体"/>
                <w:b/>
                <w:bCs/>
                <w:noProof/>
              </w:rPr>
              <w:t>畜禽养殖：现货带动期价继续近弱远强分化运行</w:t>
            </w:r>
          </w:hyperlink>
        </w:p>
        <w:p w:rsidR="001B6B7D" w:rsidRDefault="001B6B7D">
          <w:pPr>
            <w:pStyle w:val="23"/>
            <w:tabs>
              <w:tab w:val="right" w:leader="dot" w:pos="8296"/>
            </w:tabs>
            <w:rPr>
              <w:rFonts w:eastAsiaTheme="minorEastAsia"/>
              <w:noProof/>
              <w:szCs w:val="22"/>
            </w:rPr>
          </w:pPr>
          <w:hyperlink w:anchor="_Toc147914424" w:history="1">
            <w:r w:rsidRPr="007B1673">
              <w:rPr>
                <w:rStyle w:val="a9"/>
                <w:rFonts w:ascii="楷体" w:eastAsia="楷体" w:hAnsi="楷体"/>
                <w:b/>
                <w:noProof/>
              </w:rPr>
              <w:t>郑棉：看跌期权卖权持有</w:t>
            </w:r>
          </w:hyperlink>
        </w:p>
        <w:p w:rsidR="001B6B7D" w:rsidRDefault="001B6B7D">
          <w:pPr>
            <w:pStyle w:val="23"/>
            <w:tabs>
              <w:tab w:val="right" w:leader="dot" w:pos="8296"/>
            </w:tabs>
            <w:rPr>
              <w:rFonts w:eastAsiaTheme="minorEastAsia"/>
              <w:noProof/>
              <w:szCs w:val="22"/>
            </w:rPr>
          </w:pPr>
          <w:hyperlink w:anchor="_Toc147914425" w:history="1">
            <w:r w:rsidRPr="007B1673">
              <w:rPr>
                <w:rStyle w:val="a9"/>
                <w:rFonts w:ascii="楷体" w:eastAsia="楷体" w:hAnsi="楷体"/>
                <w:b/>
                <w:noProof/>
              </w:rPr>
              <w:t>白糖：观望</w:t>
            </w:r>
          </w:hyperlink>
        </w:p>
        <w:p w:rsidR="003F56A5" w:rsidRPr="008F2A6E" w:rsidRDefault="00CC3FFA">
          <w:r>
            <w:rPr>
              <w:bCs/>
            </w:rPr>
            <w:fldChar w:fldCharType="end"/>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791439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7914396"/>
      <w:bookmarkEnd w:id="4"/>
      <w:r>
        <w:rPr>
          <w:rFonts w:ascii="Times New Roman" w:eastAsia="楷体" w:hAnsi="Times New Roman" w:hint="eastAsia"/>
          <w:b/>
          <w:color w:val="000000" w:themeColor="text1"/>
          <w:sz w:val="24"/>
          <w:szCs w:val="24"/>
        </w:rPr>
        <w:t>股指：</w:t>
      </w:r>
      <w:bookmarkEnd w:id="6"/>
      <w:bookmarkEnd w:id="7"/>
      <w:r w:rsidR="001B6B7D" w:rsidRPr="001B6B7D">
        <w:rPr>
          <w:rFonts w:ascii="Times New Roman" w:eastAsia="楷体" w:hAnsi="Times New Roman" w:hint="eastAsia"/>
          <w:b/>
          <w:color w:val="000000" w:themeColor="text1"/>
          <w:sz w:val="24"/>
          <w:szCs w:val="24"/>
        </w:rPr>
        <w:t>IM</w:t>
      </w:r>
      <w:r w:rsidR="001B6B7D" w:rsidRPr="001B6B7D">
        <w:rPr>
          <w:rFonts w:ascii="Times New Roman" w:eastAsia="楷体" w:hAnsi="Times New Roman" w:hint="eastAsia"/>
          <w:b/>
          <w:color w:val="000000" w:themeColor="text1"/>
          <w:sz w:val="24"/>
          <w:szCs w:val="24"/>
        </w:rPr>
        <w:t>多单轻仓持有</w:t>
      </w:r>
      <w:bookmarkEnd w:id="8"/>
    </w:p>
    <w:p w:rsidR="003F56A5" w:rsidRDefault="001B6B7D" w:rsidP="00D14B3E">
      <w:pPr>
        <w:ind w:leftChars="300" w:left="630"/>
        <w:rPr>
          <w:rFonts w:ascii="Times New Roman" w:eastAsia="楷体" w:hAnsi="Times New Roman"/>
          <w:color w:val="000000" w:themeColor="text1"/>
          <w:sz w:val="24"/>
          <w:szCs w:val="24"/>
        </w:rPr>
      </w:pPr>
      <w:r w:rsidRPr="001B6B7D">
        <w:rPr>
          <w:rFonts w:ascii="Times New Roman" w:eastAsia="楷体" w:hAnsi="Times New Roman" w:hint="eastAsia"/>
          <w:color w:val="000000" w:themeColor="text1"/>
          <w:sz w:val="24"/>
          <w:szCs w:val="24"/>
        </w:rPr>
        <w:t>海外金融约束及地缘冲突对市场风险偏好短期有一定压制，外资持续流出，国内经济基本面出现多重修复信号，但经济动能仍不够强，持续性存疑，故市场底部有支撑。市场停留于事件驱动型交易，延续节前抱团风格，内资驱动下，小盘成长占优</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791439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7914398"/>
      <w:r>
        <w:rPr>
          <w:rFonts w:ascii="Times New Roman" w:eastAsia="楷体" w:hAnsi="Times New Roman" w:hint="eastAsia"/>
          <w:b/>
          <w:color w:val="000000" w:themeColor="text1"/>
          <w:sz w:val="24"/>
          <w:szCs w:val="24"/>
        </w:rPr>
        <w:t>贵金属：</w:t>
      </w:r>
      <w:r w:rsidR="001B6B7D" w:rsidRPr="001B6B7D">
        <w:rPr>
          <w:rFonts w:ascii="Times New Roman" w:eastAsia="楷体" w:hAnsi="Times New Roman" w:hint="eastAsia"/>
          <w:b/>
          <w:color w:val="000000" w:themeColor="text1"/>
          <w:sz w:val="24"/>
          <w:szCs w:val="24"/>
        </w:rPr>
        <w:t>IMF</w:t>
      </w:r>
      <w:r w:rsidR="001B6B7D" w:rsidRPr="001B6B7D">
        <w:rPr>
          <w:rFonts w:ascii="Times New Roman" w:eastAsia="楷体" w:hAnsi="Times New Roman" w:hint="eastAsia"/>
          <w:b/>
          <w:color w:val="000000" w:themeColor="text1"/>
          <w:sz w:val="24"/>
          <w:szCs w:val="24"/>
        </w:rPr>
        <w:t>小幅下调全球增速预测，外盘贵金属价格维持反弹</w:t>
      </w:r>
      <w:bookmarkEnd w:id="10"/>
    </w:p>
    <w:p w:rsidR="003F56A5" w:rsidRDefault="001B6B7D">
      <w:pPr>
        <w:ind w:leftChars="300" w:left="630"/>
        <w:rPr>
          <w:rFonts w:ascii="Times New Roman" w:eastAsia="楷体" w:hAnsi="Times New Roman"/>
          <w:sz w:val="24"/>
          <w:szCs w:val="24"/>
        </w:rPr>
      </w:pPr>
      <w:r w:rsidRPr="001B6B7D">
        <w:rPr>
          <w:rFonts w:ascii="Times New Roman" w:eastAsia="楷体" w:hAnsi="Times New Roman" w:hint="eastAsia"/>
          <w:color w:val="000000" w:themeColor="text1"/>
          <w:sz w:val="24"/>
          <w:szCs w:val="24"/>
        </w:rPr>
        <w:t>外盘贵金属价格受避险情绪提振，</w:t>
      </w:r>
      <w:r w:rsidRPr="001B6B7D">
        <w:rPr>
          <w:rFonts w:ascii="Times New Roman" w:eastAsia="楷体" w:hAnsi="Times New Roman" w:hint="eastAsia"/>
          <w:color w:val="000000" w:themeColor="text1"/>
          <w:sz w:val="24"/>
          <w:szCs w:val="24"/>
        </w:rPr>
        <w:t>COMEX</w:t>
      </w:r>
      <w:r w:rsidRPr="001B6B7D">
        <w:rPr>
          <w:rFonts w:ascii="Times New Roman" w:eastAsia="楷体" w:hAnsi="Times New Roman" w:hint="eastAsia"/>
          <w:color w:val="000000" w:themeColor="text1"/>
          <w:sz w:val="24"/>
          <w:szCs w:val="24"/>
        </w:rPr>
        <w:t>黄金期货涨</w:t>
      </w:r>
      <w:r w:rsidRPr="001B6B7D">
        <w:rPr>
          <w:rFonts w:ascii="Times New Roman" w:eastAsia="楷体" w:hAnsi="Times New Roman" w:hint="eastAsia"/>
          <w:color w:val="000000" w:themeColor="text1"/>
          <w:sz w:val="24"/>
          <w:szCs w:val="24"/>
        </w:rPr>
        <w:t>0.51%</w:t>
      </w:r>
      <w:r w:rsidRPr="001B6B7D">
        <w:rPr>
          <w:rFonts w:ascii="Times New Roman" w:eastAsia="楷体" w:hAnsi="Times New Roman" w:hint="eastAsia"/>
          <w:color w:val="000000" w:themeColor="text1"/>
          <w:sz w:val="24"/>
          <w:szCs w:val="24"/>
        </w:rPr>
        <w:t>至</w:t>
      </w:r>
      <w:r w:rsidRPr="001B6B7D">
        <w:rPr>
          <w:rFonts w:ascii="Times New Roman" w:eastAsia="楷体" w:hAnsi="Times New Roman" w:hint="eastAsia"/>
          <w:color w:val="000000" w:themeColor="text1"/>
          <w:sz w:val="24"/>
          <w:szCs w:val="24"/>
        </w:rPr>
        <w:t>1873.8</w:t>
      </w:r>
      <w:r w:rsidRPr="001B6B7D">
        <w:rPr>
          <w:rFonts w:ascii="Times New Roman" w:eastAsia="楷体" w:hAnsi="Times New Roman" w:hint="eastAsia"/>
          <w:color w:val="000000" w:themeColor="text1"/>
          <w:sz w:val="24"/>
          <w:szCs w:val="24"/>
        </w:rPr>
        <w:t>美元</w:t>
      </w:r>
      <w:r w:rsidRPr="001B6B7D">
        <w:rPr>
          <w:rFonts w:ascii="Times New Roman" w:eastAsia="楷体" w:hAnsi="Times New Roman" w:hint="eastAsia"/>
          <w:color w:val="000000" w:themeColor="text1"/>
          <w:sz w:val="24"/>
          <w:szCs w:val="24"/>
        </w:rPr>
        <w:t>/</w:t>
      </w:r>
      <w:r w:rsidRPr="001B6B7D">
        <w:rPr>
          <w:rFonts w:ascii="Times New Roman" w:eastAsia="楷体" w:hAnsi="Times New Roman" w:hint="eastAsia"/>
          <w:color w:val="000000" w:themeColor="text1"/>
          <w:sz w:val="24"/>
          <w:szCs w:val="24"/>
        </w:rPr>
        <w:t>盎司，</w:t>
      </w:r>
      <w:r w:rsidRPr="001B6B7D">
        <w:rPr>
          <w:rFonts w:ascii="Times New Roman" w:eastAsia="楷体" w:hAnsi="Times New Roman" w:hint="eastAsia"/>
          <w:color w:val="000000" w:themeColor="text1"/>
          <w:sz w:val="24"/>
          <w:szCs w:val="24"/>
        </w:rPr>
        <w:t>COMEX</w:t>
      </w:r>
      <w:r w:rsidRPr="001B6B7D">
        <w:rPr>
          <w:rFonts w:ascii="Times New Roman" w:eastAsia="楷体" w:hAnsi="Times New Roman" w:hint="eastAsia"/>
          <w:color w:val="000000" w:themeColor="text1"/>
          <w:sz w:val="24"/>
          <w:szCs w:val="24"/>
        </w:rPr>
        <w:t>白银期货涨</w:t>
      </w:r>
      <w:r w:rsidRPr="001B6B7D">
        <w:rPr>
          <w:rFonts w:ascii="Times New Roman" w:eastAsia="楷体" w:hAnsi="Times New Roman" w:hint="eastAsia"/>
          <w:color w:val="000000" w:themeColor="text1"/>
          <w:sz w:val="24"/>
          <w:szCs w:val="24"/>
        </w:rPr>
        <w:t>0.37%</w:t>
      </w:r>
      <w:r w:rsidRPr="001B6B7D">
        <w:rPr>
          <w:rFonts w:ascii="Times New Roman" w:eastAsia="楷体" w:hAnsi="Times New Roman" w:hint="eastAsia"/>
          <w:color w:val="000000" w:themeColor="text1"/>
          <w:sz w:val="24"/>
          <w:szCs w:val="24"/>
        </w:rPr>
        <w:t>至</w:t>
      </w:r>
      <w:r w:rsidRPr="001B6B7D">
        <w:rPr>
          <w:rFonts w:ascii="Times New Roman" w:eastAsia="楷体" w:hAnsi="Times New Roman" w:hint="eastAsia"/>
          <w:color w:val="000000" w:themeColor="text1"/>
          <w:sz w:val="24"/>
          <w:szCs w:val="24"/>
        </w:rPr>
        <w:t>22.005</w:t>
      </w:r>
      <w:r w:rsidRPr="001B6B7D">
        <w:rPr>
          <w:rFonts w:ascii="Times New Roman" w:eastAsia="楷体" w:hAnsi="Times New Roman" w:hint="eastAsia"/>
          <w:color w:val="000000" w:themeColor="text1"/>
          <w:sz w:val="24"/>
          <w:szCs w:val="24"/>
        </w:rPr>
        <w:t>美元</w:t>
      </w:r>
      <w:r w:rsidRPr="001B6B7D">
        <w:rPr>
          <w:rFonts w:ascii="Times New Roman" w:eastAsia="楷体" w:hAnsi="Times New Roman" w:hint="eastAsia"/>
          <w:color w:val="000000" w:themeColor="text1"/>
          <w:sz w:val="24"/>
          <w:szCs w:val="24"/>
        </w:rPr>
        <w:t>/</w:t>
      </w:r>
      <w:r w:rsidRPr="001B6B7D">
        <w:rPr>
          <w:rFonts w:ascii="Times New Roman" w:eastAsia="楷体" w:hAnsi="Times New Roman" w:hint="eastAsia"/>
          <w:color w:val="000000" w:themeColor="text1"/>
          <w:sz w:val="24"/>
          <w:szCs w:val="24"/>
        </w:rPr>
        <w:t>盎司。昨夜沪金、沪银横盘运行。美元指数下跌</w:t>
      </w:r>
      <w:r w:rsidRPr="001B6B7D">
        <w:rPr>
          <w:rFonts w:ascii="Times New Roman" w:eastAsia="楷体" w:hAnsi="Times New Roman" w:hint="eastAsia"/>
          <w:color w:val="000000" w:themeColor="text1"/>
          <w:sz w:val="24"/>
          <w:szCs w:val="24"/>
        </w:rPr>
        <w:t>0.28%</w:t>
      </w:r>
      <w:r w:rsidRPr="001B6B7D">
        <w:rPr>
          <w:rFonts w:ascii="Times New Roman" w:eastAsia="楷体" w:hAnsi="Times New Roman" w:hint="eastAsia"/>
          <w:color w:val="000000" w:themeColor="text1"/>
          <w:sz w:val="24"/>
          <w:szCs w:val="24"/>
        </w:rPr>
        <w:t>报</w:t>
      </w:r>
      <w:r w:rsidRPr="001B6B7D">
        <w:rPr>
          <w:rFonts w:ascii="Times New Roman" w:eastAsia="楷体" w:hAnsi="Times New Roman" w:hint="eastAsia"/>
          <w:color w:val="000000" w:themeColor="text1"/>
          <w:sz w:val="24"/>
          <w:szCs w:val="24"/>
        </w:rPr>
        <w:t>105.77</w:t>
      </w:r>
      <w:r w:rsidRPr="001B6B7D">
        <w:rPr>
          <w:rFonts w:ascii="Times New Roman" w:eastAsia="楷体" w:hAnsi="Times New Roman" w:hint="eastAsia"/>
          <w:color w:val="000000" w:themeColor="text1"/>
          <w:sz w:val="24"/>
          <w:szCs w:val="24"/>
        </w:rPr>
        <w:t>，美国十年期国债收益率跌</w:t>
      </w:r>
      <w:r w:rsidRPr="001B6B7D">
        <w:rPr>
          <w:rFonts w:ascii="Times New Roman" w:eastAsia="楷体" w:hAnsi="Times New Roman" w:hint="eastAsia"/>
          <w:color w:val="000000" w:themeColor="text1"/>
          <w:sz w:val="24"/>
          <w:szCs w:val="24"/>
        </w:rPr>
        <w:t>15</w:t>
      </w:r>
      <w:r w:rsidRPr="001B6B7D">
        <w:rPr>
          <w:rFonts w:ascii="Times New Roman" w:eastAsia="楷体" w:hAnsi="Times New Roman" w:hint="eastAsia"/>
          <w:color w:val="000000" w:themeColor="text1"/>
          <w:sz w:val="24"/>
          <w:szCs w:val="24"/>
        </w:rPr>
        <w:t>个基点报</w:t>
      </w:r>
      <w:r w:rsidRPr="001B6B7D">
        <w:rPr>
          <w:rFonts w:ascii="Times New Roman" w:eastAsia="楷体" w:hAnsi="Times New Roman" w:hint="eastAsia"/>
          <w:color w:val="000000" w:themeColor="text1"/>
          <w:sz w:val="24"/>
          <w:szCs w:val="24"/>
        </w:rPr>
        <w:t>4.656%</w:t>
      </w:r>
      <w:r w:rsidRPr="001B6B7D">
        <w:rPr>
          <w:rFonts w:ascii="Times New Roman" w:eastAsia="楷体" w:hAnsi="Times New Roman" w:hint="eastAsia"/>
          <w:color w:val="000000" w:themeColor="text1"/>
          <w:sz w:val="24"/>
          <w:szCs w:val="24"/>
        </w:rPr>
        <w:t>，美国财政部周内将发行总计超</w:t>
      </w:r>
      <w:r w:rsidRPr="001B6B7D">
        <w:rPr>
          <w:rFonts w:ascii="Times New Roman" w:eastAsia="楷体" w:hAnsi="Times New Roman" w:hint="eastAsia"/>
          <w:color w:val="000000" w:themeColor="text1"/>
          <w:sz w:val="24"/>
          <w:szCs w:val="24"/>
        </w:rPr>
        <w:t>1000</w:t>
      </w:r>
      <w:r w:rsidRPr="001B6B7D">
        <w:rPr>
          <w:rFonts w:ascii="Times New Roman" w:eastAsia="楷体" w:hAnsi="Times New Roman" w:hint="eastAsia"/>
          <w:color w:val="000000" w:themeColor="text1"/>
          <w:sz w:val="24"/>
          <w:szCs w:val="24"/>
        </w:rPr>
        <w:t>亿美元的中长期国债，美债收益率或进一步上行。</w:t>
      </w:r>
      <w:r w:rsidRPr="001B6B7D">
        <w:rPr>
          <w:rFonts w:ascii="Times New Roman" w:eastAsia="楷体" w:hAnsi="Times New Roman" w:hint="eastAsia"/>
          <w:color w:val="000000" w:themeColor="text1"/>
          <w:sz w:val="24"/>
          <w:szCs w:val="24"/>
        </w:rPr>
        <w:t>IMF</w:t>
      </w:r>
      <w:r w:rsidRPr="001B6B7D">
        <w:rPr>
          <w:rFonts w:ascii="Times New Roman" w:eastAsia="楷体" w:hAnsi="Times New Roman" w:hint="eastAsia"/>
          <w:color w:val="000000" w:themeColor="text1"/>
          <w:sz w:val="24"/>
          <w:szCs w:val="24"/>
        </w:rPr>
        <w:t>《世界经济展望报告》小幅下调增速预测，预计全球经济增速将从</w:t>
      </w:r>
      <w:r w:rsidRPr="001B6B7D">
        <w:rPr>
          <w:rFonts w:ascii="Times New Roman" w:eastAsia="楷体" w:hAnsi="Times New Roman" w:hint="eastAsia"/>
          <w:color w:val="000000" w:themeColor="text1"/>
          <w:sz w:val="24"/>
          <w:szCs w:val="24"/>
        </w:rPr>
        <w:t>2022</w:t>
      </w:r>
      <w:r w:rsidRPr="001B6B7D">
        <w:rPr>
          <w:rFonts w:ascii="Times New Roman" w:eastAsia="楷体" w:hAnsi="Times New Roman" w:hint="eastAsia"/>
          <w:color w:val="000000" w:themeColor="text1"/>
          <w:sz w:val="24"/>
          <w:szCs w:val="24"/>
        </w:rPr>
        <w:t>年的</w:t>
      </w:r>
      <w:r w:rsidRPr="001B6B7D">
        <w:rPr>
          <w:rFonts w:ascii="Times New Roman" w:eastAsia="楷体" w:hAnsi="Times New Roman" w:hint="eastAsia"/>
          <w:color w:val="000000" w:themeColor="text1"/>
          <w:sz w:val="24"/>
          <w:szCs w:val="24"/>
        </w:rPr>
        <w:t>3.5%</w:t>
      </w:r>
      <w:r w:rsidRPr="001B6B7D">
        <w:rPr>
          <w:rFonts w:ascii="Times New Roman" w:eastAsia="楷体" w:hAnsi="Times New Roman" w:hint="eastAsia"/>
          <w:color w:val="000000" w:themeColor="text1"/>
          <w:sz w:val="24"/>
          <w:szCs w:val="24"/>
        </w:rPr>
        <w:t>放缓至</w:t>
      </w:r>
      <w:r w:rsidRPr="001B6B7D">
        <w:rPr>
          <w:rFonts w:ascii="Times New Roman" w:eastAsia="楷体" w:hAnsi="Times New Roman" w:hint="eastAsia"/>
          <w:color w:val="000000" w:themeColor="text1"/>
          <w:sz w:val="24"/>
          <w:szCs w:val="24"/>
        </w:rPr>
        <w:t>2023</w:t>
      </w:r>
      <w:r w:rsidRPr="001B6B7D">
        <w:rPr>
          <w:rFonts w:ascii="Times New Roman" w:eastAsia="楷体" w:hAnsi="Times New Roman" w:hint="eastAsia"/>
          <w:color w:val="000000" w:themeColor="text1"/>
          <w:sz w:val="24"/>
          <w:szCs w:val="24"/>
        </w:rPr>
        <w:t>年的</w:t>
      </w:r>
      <w:r w:rsidRPr="001B6B7D">
        <w:rPr>
          <w:rFonts w:ascii="Times New Roman" w:eastAsia="楷体" w:hAnsi="Times New Roman" w:hint="eastAsia"/>
          <w:color w:val="000000" w:themeColor="text1"/>
          <w:sz w:val="24"/>
          <w:szCs w:val="24"/>
        </w:rPr>
        <w:t>3.0%</w:t>
      </w:r>
      <w:r w:rsidRPr="001B6B7D">
        <w:rPr>
          <w:rFonts w:ascii="Times New Roman" w:eastAsia="楷体" w:hAnsi="Times New Roman" w:hint="eastAsia"/>
          <w:color w:val="000000" w:themeColor="text1"/>
          <w:sz w:val="24"/>
          <w:szCs w:val="24"/>
        </w:rPr>
        <w:t>和</w:t>
      </w:r>
      <w:r w:rsidRPr="001B6B7D">
        <w:rPr>
          <w:rFonts w:ascii="Times New Roman" w:eastAsia="楷体" w:hAnsi="Times New Roman" w:hint="eastAsia"/>
          <w:color w:val="000000" w:themeColor="text1"/>
          <w:sz w:val="24"/>
          <w:szCs w:val="24"/>
        </w:rPr>
        <w:t>2024</w:t>
      </w:r>
      <w:r w:rsidRPr="001B6B7D">
        <w:rPr>
          <w:rFonts w:ascii="Times New Roman" w:eastAsia="楷体" w:hAnsi="Times New Roman" w:hint="eastAsia"/>
          <w:color w:val="000000" w:themeColor="text1"/>
          <w:sz w:val="24"/>
          <w:szCs w:val="24"/>
        </w:rPr>
        <w:t>年的</w:t>
      </w:r>
      <w:r w:rsidRPr="001B6B7D">
        <w:rPr>
          <w:rFonts w:ascii="Times New Roman" w:eastAsia="楷体" w:hAnsi="Times New Roman" w:hint="eastAsia"/>
          <w:color w:val="000000" w:themeColor="text1"/>
          <w:sz w:val="24"/>
          <w:szCs w:val="24"/>
        </w:rPr>
        <w:t>2.9%</w:t>
      </w:r>
      <w:r w:rsidRPr="001B6B7D">
        <w:rPr>
          <w:rFonts w:ascii="Times New Roman" w:eastAsia="楷体" w:hAnsi="Times New Roman" w:hint="eastAsia"/>
          <w:color w:val="000000" w:themeColor="text1"/>
          <w:sz w:val="24"/>
          <w:szCs w:val="24"/>
        </w:rPr>
        <w:t>。留意周四美国</w:t>
      </w:r>
      <w:r w:rsidRPr="001B6B7D">
        <w:rPr>
          <w:rFonts w:ascii="Times New Roman" w:eastAsia="楷体" w:hAnsi="Times New Roman" w:hint="eastAsia"/>
          <w:color w:val="000000" w:themeColor="text1"/>
          <w:sz w:val="24"/>
          <w:szCs w:val="24"/>
        </w:rPr>
        <w:t>CPI</w:t>
      </w:r>
      <w:r w:rsidRPr="001B6B7D">
        <w:rPr>
          <w:rFonts w:ascii="Times New Roman" w:eastAsia="楷体" w:hAnsi="Times New Roman" w:hint="eastAsia"/>
          <w:color w:val="000000" w:themeColor="text1"/>
          <w:sz w:val="24"/>
          <w:szCs w:val="24"/>
        </w:rPr>
        <w:t>通胀数据更新及联储议息会议纪要，建议谨慎试多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791439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7914400"/>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1B6B7D" w:rsidRPr="001B6B7D">
        <w:rPr>
          <w:rFonts w:ascii="楷体" w:eastAsia="楷体" w:hAnsi="楷体" w:hint="eastAsia"/>
          <w:b/>
          <w:color w:val="000000" w:themeColor="text1"/>
          <w:sz w:val="24"/>
          <w:szCs w:val="24"/>
        </w:rPr>
        <w:t>供应减量现货企稳，期价小幅上涨</w:t>
      </w:r>
      <w:bookmarkEnd w:id="18"/>
    </w:p>
    <w:p w:rsidR="00F50569" w:rsidRDefault="001B6B7D" w:rsidP="00F50569">
      <w:pPr>
        <w:ind w:leftChars="300" w:left="630"/>
        <w:rPr>
          <w:rFonts w:ascii="楷体" w:eastAsia="楷体" w:hAnsi="楷体"/>
          <w:color w:val="000000" w:themeColor="text1"/>
          <w:sz w:val="24"/>
          <w:szCs w:val="24"/>
        </w:rPr>
      </w:pPr>
      <w:r w:rsidRPr="001B6B7D">
        <w:rPr>
          <w:rFonts w:ascii="楷体" w:eastAsia="楷体" w:hAnsi="楷体" w:hint="eastAsia"/>
          <w:color w:val="000000" w:themeColor="text1"/>
          <w:sz w:val="24"/>
          <w:szCs w:val="24"/>
        </w:rPr>
        <w:t>现价企稳，昨日期价小幅上涨。近期主力期价止跌反弹的主要影响因素在于：一是成本倒挂背景下锂盐厂挺价情绪升温，锂企检修计划提振市场信心。二是供应减量促进现货企稳。节前锂价进一步下跌至15万元/吨整数关口，接近成本逻辑下的市场心理价位，矿石供应趋紧且外购矿石提锂厂商减产明显；盐湖方面开工维持高位，但近期天气转冷，季节性因素影响下后续产量或逐步下行。三是01主力合约距交割月更近一步，当前基差收敛至1.7万元/吨附近，现货止跌企稳背景下期价支撑有所增强，后续关注下游采购计划，锂价或维持区间震荡</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7914401"/>
      <w:r>
        <w:rPr>
          <w:rFonts w:ascii="楷体" w:eastAsia="楷体" w:hAnsi="楷体" w:hint="eastAsia"/>
          <w:b/>
          <w:color w:val="000000" w:themeColor="text1"/>
          <w:sz w:val="24"/>
          <w:szCs w:val="24"/>
        </w:rPr>
        <w:t>螺纹钢：</w:t>
      </w:r>
      <w:bookmarkEnd w:id="16"/>
      <w:bookmarkEnd w:id="17"/>
      <w:r w:rsidR="00A91C60" w:rsidRPr="00A91C60">
        <w:rPr>
          <w:rFonts w:ascii="楷体" w:eastAsia="楷体" w:hAnsi="楷体" w:hint="eastAsia"/>
          <w:b/>
          <w:color w:val="000000" w:themeColor="text1"/>
          <w:sz w:val="24"/>
          <w:szCs w:val="24"/>
        </w:rPr>
        <w:t>偏弱震荡，等待观察现货承接力量</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A91C60" w:rsidP="00201944">
      <w:pPr>
        <w:ind w:leftChars="300" w:left="630"/>
        <w:rPr>
          <w:rFonts w:ascii="楷体" w:eastAsia="楷体" w:hAnsi="楷体"/>
          <w:color w:val="000000" w:themeColor="text1"/>
          <w:sz w:val="24"/>
          <w:szCs w:val="24"/>
        </w:rPr>
      </w:pPr>
      <w:r w:rsidRPr="00A91C60">
        <w:rPr>
          <w:rFonts w:ascii="楷体" w:eastAsia="楷体" w:hAnsi="楷体" w:hint="eastAsia"/>
          <w:color w:val="000000" w:themeColor="text1"/>
          <w:sz w:val="24"/>
          <w:szCs w:val="24"/>
        </w:rPr>
        <w:t>节前节后的下行释放风险较为充分，铁水缓慢下行，回调或相对曲折。当前短期矛盾在于显性库存及利润关系，前期基差走强后正套解套限制加速下跌，短期观察现货承接情况，预计短期或震荡运行</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7914402"/>
      <w:r>
        <w:rPr>
          <w:rFonts w:ascii="楷体" w:eastAsia="楷体" w:hAnsi="楷体" w:hint="eastAsia"/>
          <w:b/>
          <w:color w:val="000000" w:themeColor="text1"/>
          <w:sz w:val="24"/>
          <w:szCs w:val="24"/>
        </w:rPr>
        <w:t>焦炭：</w:t>
      </w:r>
      <w:bookmarkEnd w:id="20"/>
      <w:bookmarkEnd w:id="21"/>
      <w:r w:rsidR="00A91C60" w:rsidRPr="00A91C60">
        <w:rPr>
          <w:rFonts w:ascii="楷体" w:eastAsia="楷体" w:hAnsi="楷体" w:hint="eastAsia"/>
          <w:b/>
          <w:color w:val="000000" w:themeColor="text1"/>
          <w:sz w:val="24"/>
          <w:szCs w:val="24"/>
        </w:rPr>
        <w:t>震荡运行，等待现实情况</w:t>
      </w:r>
      <w:bookmarkEnd w:id="22"/>
    </w:p>
    <w:p w:rsidR="003F56A5" w:rsidRDefault="00A91C60" w:rsidP="00572E35">
      <w:pPr>
        <w:ind w:leftChars="300" w:left="630"/>
        <w:rPr>
          <w:rFonts w:ascii="楷体" w:eastAsia="楷体" w:hAnsi="楷体"/>
          <w:color w:val="000000" w:themeColor="text1"/>
          <w:sz w:val="24"/>
          <w:szCs w:val="24"/>
        </w:rPr>
      </w:pPr>
      <w:r w:rsidRPr="00A91C60">
        <w:rPr>
          <w:rFonts w:ascii="楷体" w:eastAsia="楷体" w:hAnsi="楷体" w:hint="eastAsia"/>
          <w:color w:val="000000" w:themeColor="text1"/>
          <w:sz w:val="24"/>
          <w:szCs w:val="24"/>
        </w:rPr>
        <w:t>成材价格及利润压力明显，原料上行驱动或转弱，盘面或回调调整估值，基差走强明显，短期回调相对充分，预计震荡运行</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7914403"/>
      <w:r>
        <w:rPr>
          <w:rFonts w:ascii="楷体" w:eastAsia="楷体" w:hAnsi="楷体" w:hint="eastAsia"/>
          <w:b/>
          <w:color w:val="000000" w:themeColor="text1"/>
          <w:sz w:val="24"/>
          <w:szCs w:val="24"/>
        </w:rPr>
        <w:lastRenderedPageBreak/>
        <w:t>焦煤：</w:t>
      </w:r>
      <w:r w:rsidR="00A91C60" w:rsidRPr="00A91C60">
        <w:rPr>
          <w:rFonts w:ascii="楷体" w:eastAsia="楷体" w:hAnsi="楷体" w:hint="eastAsia"/>
          <w:b/>
          <w:sz w:val="24"/>
          <w:szCs w:val="24"/>
        </w:rPr>
        <w:t>震荡运行，等待现实情况</w:t>
      </w:r>
      <w:bookmarkEnd w:id="23"/>
    </w:p>
    <w:p w:rsidR="003F56A5" w:rsidRDefault="00A91C60">
      <w:pPr>
        <w:ind w:leftChars="300" w:left="630"/>
        <w:rPr>
          <w:rFonts w:ascii="楷体" w:eastAsia="楷体" w:hAnsi="楷体"/>
          <w:bCs/>
          <w:sz w:val="24"/>
          <w:szCs w:val="24"/>
        </w:rPr>
      </w:pPr>
      <w:r w:rsidRPr="00A91C60">
        <w:rPr>
          <w:rFonts w:ascii="楷体" w:eastAsia="楷体" w:hAnsi="楷体" w:hint="eastAsia"/>
          <w:sz w:val="24"/>
          <w:szCs w:val="24"/>
        </w:rPr>
        <w:t>成材价格及利润压力明显，原料上行驱动或转弱，焦煤现货微调，盘面或深度调整，基差走强明显，短期回调相对充分，进一步或需观察铁水实际下行程度，预计震荡运行</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7914404"/>
      <w:r>
        <w:rPr>
          <w:rFonts w:ascii="楷体" w:eastAsia="楷体" w:hAnsi="楷体" w:hint="eastAsia"/>
          <w:b/>
          <w:color w:val="000000" w:themeColor="text1"/>
          <w:sz w:val="24"/>
          <w:szCs w:val="24"/>
        </w:rPr>
        <w:t>铜：</w:t>
      </w:r>
      <w:bookmarkEnd w:id="24"/>
      <w:bookmarkEnd w:id="25"/>
      <w:r w:rsidR="001B6B7D" w:rsidRPr="001B6B7D">
        <w:rPr>
          <w:rFonts w:ascii="楷体" w:eastAsia="楷体" w:hAnsi="楷体" w:hint="eastAsia"/>
          <w:b/>
          <w:color w:val="000000" w:themeColor="text1"/>
          <w:sz w:val="24"/>
          <w:szCs w:val="24"/>
        </w:rPr>
        <w:t>震荡偏弱，关注美国9月CPI数据公布</w:t>
      </w:r>
      <w:bookmarkEnd w:id="26"/>
    </w:p>
    <w:p w:rsidR="001B6B7D" w:rsidRPr="001B6B7D" w:rsidRDefault="001B6B7D" w:rsidP="001B6B7D">
      <w:pPr>
        <w:ind w:leftChars="300" w:left="630"/>
        <w:rPr>
          <w:rFonts w:ascii="楷体" w:eastAsia="楷体" w:hAnsi="楷体" w:hint="eastAsia"/>
          <w:color w:val="000000" w:themeColor="text1"/>
          <w:sz w:val="24"/>
          <w:szCs w:val="24"/>
        </w:rPr>
      </w:pPr>
      <w:r w:rsidRPr="001B6B7D">
        <w:rPr>
          <w:rFonts w:ascii="楷体" w:eastAsia="楷体" w:hAnsi="楷体" w:hint="eastAsia"/>
          <w:color w:val="000000" w:themeColor="text1"/>
          <w:sz w:val="24"/>
          <w:szCs w:val="24"/>
        </w:rPr>
        <w:t>(1)宏观：国际货币基金组织(IMF)当地时间10日发布最新一期《世界经济展望报告》，预计2023年全球经济将增长3.0%，2024年将增长2.9%，2024年增速较今年7月预测值下调了0.1个百分点。</w:t>
      </w:r>
    </w:p>
    <w:p w:rsidR="001B6B7D" w:rsidRPr="001B6B7D" w:rsidRDefault="001B6B7D" w:rsidP="001B6B7D">
      <w:pPr>
        <w:ind w:leftChars="300" w:left="630"/>
        <w:rPr>
          <w:rFonts w:ascii="楷体" w:eastAsia="楷体" w:hAnsi="楷体" w:hint="eastAsia"/>
          <w:color w:val="000000" w:themeColor="text1"/>
          <w:sz w:val="24"/>
          <w:szCs w:val="24"/>
        </w:rPr>
      </w:pPr>
      <w:r w:rsidRPr="001B6B7D">
        <w:rPr>
          <w:rFonts w:ascii="楷体" w:eastAsia="楷体" w:hAnsi="楷体" w:hint="eastAsia"/>
          <w:color w:val="000000" w:themeColor="text1"/>
          <w:sz w:val="24"/>
          <w:szCs w:val="24"/>
        </w:rPr>
        <w:t>库存：10月10日，SHFE仓单库存5525吨，增800吨；LME仓单库存171525吨，增1050吨。</w:t>
      </w:r>
    </w:p>
    <w:p w:rsidR="001B6B7D" w:rsidRPr="001B6B7D" w:rsidRDefault="001B6B7D" w:rsidP="001B6B7D">
      <w:pPr>
        <w:ind w:leftChars="300" w:left="630"/>
        <w:rPr>
          <w:rFonts w:ascii="楷体" w:eastAsia="楷体" w:hAnsi="楷体" w:hint="eastAsia"/>
          <w:color w:val="000000" w:themeColor="text1"/>
          <w:sz w:val="24"/>
          <w:szCs w:val="24"/>
        </w:rPr>
      </w:pPr>
      <w:r w:rsidRPr="001B6B7D">
        <w:rPr>
          <w:rFonts w:ascii="楷体" w:eastAsia="楷体" w:hAnsi="楷体" w:hint="eastAsia"/>
          <w:color w:val="000000" w:themeColor="text1"/>
          <w:sz w:val="24"/>
          <w:szCs w:val="24"/>
        </w:rPr>
        <w:t>(2)精废价差：10月10日，Mysteel精废价差818，扩张88。目前价差在合理价差1373之下。</w:t>
      </w:r>
    </w:p>
    <w:p w:rsidR="001B6B7D" w:rsidRPr="001B6B7D" w:rsidRDefault="001B6B7D" w:rsidP="001B6B7D">
      <w:pPr>
        <w:ind w:leftChars="300" w:left="630"/>
        <w:rPr>
          <w:rFonts w:ascii="楷体" w:eastAsia="楷体" w:hAnsi="楷体"/>
          <w:color w:val="000000" w:themeColor="text1"/>
          <w:sz w:val="24"/>
          <w:szCs w:val="24"/>
        </w:rPr>
      </w:pPr>
    </w:p>
    <w:p w:rsidR="00127803" w:rsidRPr="00127803" w:rsidRDefault="001B6B7D" w:rsidP="001B6B7D">
      <w:pPr>
        <w:ind w:leftChars="300" w:left="630"/>
        <w:rPr>
          <w:rFonts w:ascii="楷体" w:eastAsia="楷体" w:hAnsi="楷体"/>
          <w:color w:val="000000" w:themeColor="text1"/>
          <w:sz w:val="24"/>
          <w:szCs w:val="24"/>
        </w:rPr>
      </w:pPr>
      <w:r w:rsidRPr="001B6B7D">
        <w:rPr>
          <w:rFonts w:ascii="楷体" w:eastAsia="楷体" w:hAnsi="楷体" w:hint="eastAsia"/>
          <w:color w:val="000000" w:themeColor="text1"/>
          <w:sz w:val="24"/>
          <w:szCs w:val="24"/>
        </w:rPr>
        <w:t>综述：宏观面，当前海外经济仍未见明显衰退迹象，美国相对良好的就业情况支撑货币紧缩将持续较长一段时间，美债利率及美元指数大概率仍将持续高位运行，给铜价带来压力。国内方面，稳增长政策仍在陆续出台，9月PMI数据进一步确认国内经济修复中，后续需重点关注节后地产销售数据能否改善，对市场情绪形成扰动。基本面，10月国内电解铜产量或维持高位，铜价下跌后需求或有所好转，但预计整体弹性有限，产业面对价格施压。铜价维持震荡承压运行，运行区间或下移，短期参考66000-67500</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7914405"/>
      <w:r>
        <w:rPr>
          <w:rFonts w:ascii="楷体" w:eastAsia="楷体" w:hAnsi="楷体" w:hint="eastAsia"/>
          <w:b/>
          <w:color w:val="000000" w:themeColor="text1"/>
          <w:sz w:val="24"/>
          <w:szCs w:val="24"/>
        </w:rPr>
        <w:t>铝：</w:t>
      </w:r>
      <w:bookmarkEnd w:id="27"/>
      <w:bookmarkEnd w:id="28"/>
      <w:r w:rsidR="00A91C60" w:rsidRPr="00A91C60">
        <w:rPr>
          <w:rFonts w:ascii="楷体" w:eastAsia="楷体" w:hAnsi="楷体" w:hint="eastAsia"/>
          <w:b/>
          <w:color w:val="000000" w:themeColor="text1"/>
          <w:sz w:val="24"/>
          <w:szCs w:val="24"/>
        </w:rPr>
        <w:t>铝价上方压力仍存</w:t>
      </w:r>
      <w:bookmarkEnd w:id="29"/>
    </w:p>
    <w:p w:rsidR="003F56A5" w:rsidRDefault="001B6B7D" w:rsidP="00127803">
      <w:pPr>
        <w:ind w:leftChars="300" w:left="630"/>
        <w:rPr>
          <w:rFonts w:ascii="楷体" w:eastAsia="楷体" w:hAnsi="楷体"/>
          <w:color w:val="000000" w:themeColor="text1"/>
          <w:sz w:val="24"/>
          <w:szCs w:val="24"/>
        </w:rPr>
      </w:pPr>
      <w:r w:rsidRPr="001B6B7D">
        <w:rPr>
          <w:rFonts w:ascii="楷体" w:eastAsia="楷体" w:hAnsi="楷体" w:hint="eastAsia"/>
          <w:color w:val="000000" w:themeColor="text1"/>
          <w:sz w:val="24"/>
          <w:szCs w:val="24"/>
        </w:rPr>
        <w:t>美联储议息表示年内或再有一次加息动作控制通胀，短期高利率环境难以扭转，美元利率持续创新高，国内9月PMI数据重回荣枯线上方，房地产、汽车消费刺激政策持续出台，内需经济有复苏迹象，实际因地产等传统消费拉涨板块表现偏弱拖累整体经济运行改善进度，宏观情绪不宜过度乐观看待。国内电解铝运行产能高位，国内交易所库存及社库出现累库，铝锭进口利润窗口打开，国内原铝进口同比增长，供应仍有增量。“金九银十”旺季之下，旺季消费效应不显，下游企业开工率略有修复但不及预期。整体上看，国内铝锭市场供应偏紧但有进口增量补充，目前电解铝生产产能高位，铝水转化率或因铸锭量偏少的情况作出下调动作，需求维持弱修复，铝价在强供应、弱消费的现实之下，价格上行驱动有限，预期铝价重回前期震荡区间中枢附近，约计在18500-19000之间</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7914406"/>
      <w:r>
        <w:rPr>
          <w:rFonts w:ascii="楷体" w:eastAsia="楷体" w:hAnsi="楷体" w:hint="eastAsia"/>
          <w:b/>
          <w:color w:val="000000" w:themeColor="text1"/>
          <w:sz w:val="24"/>
          <w:szCs w:val="24"/>
        </w:rPr>
        <w:t>锌：</w:t>
      </w:r>
      <w:r w:rsidR="00A91C60" w:rsidRPr="00A91C60">
        <w:rPr>
          <w:rFonts w:ascii="楷体" w:eastAsia="楷体" w:hAnsi="楷体" w:hint="eastAsia"/>
          <w:b/>
          <w:color w:val="000000" w:themeColor="text1"/>
          <w:sz w:val="24"/>
          <w:szCs w:val="24"/>
        </w:rPr>
        <w:t>锌价偏弱震荡运行</w:t>
      </w:r>
      <w:bookmarkEnd w:id="30"/>
    </w:p>
    <w:p w:rsidR="003F56A5" w:rsidRDefault="00A91C60" w:rsidP="000B0648">
      <w:pPr>
        <w:ind w:leftChars="300" w:left="630"/>
        <w:rPr>
          <w:rFonts w:ascii="楷体" w:eastAsia="楷体" w:hAnsi="楷体"/>
          <w:color w:val="000000" w:themeColor="text1"/>
          <w:sz w:val="24"/>
          <w:szCs w:val="24"/>
        </w:rPr>
      </w:pPr>
      <w:r w:rsidRPr="00A91C60">
        <w:rPr>
          <w:rFonts w:ascii="楷体" w:eastAsia="楷体" w:hAnsi="楷体" w:hint="eastAsia"/>
          <w:color w:val="000000" w:themeColor="text1"/>
          <w:sz w:val="24"/>
          <w:szCs w:val="24"/>
        </w:rPr>
        <w:t>美元指数强势运行，原油价格走涨引发市场通胀担忧，大宗市场整体情绪偏弱。基本面上看，海外锌矿供应走紧，国内锌矿产量下行，前期部分冶炼厂家检修影响生产，随着检修逐步进入尾声，在近期锌价高位带来的高利润刺激之下，冶炼厂积极开产，目前厂内在节前备库之后原料储备较为充足，短期生产暂不受到上游供应收紧制约，另外进口锌盈利窗口打开，有效刺激锌锭进口，整体来看供应依旧偏松，但下游需求表现较为疲软，镀锌开工表现平稳但无明显增量，氧化锌、锌合金开工偏弱，节后下游交易或再度陷入清淡，目前海内外锌市库存保持绝对低库状态，社会库存持</w:t>
      </w:r>
      <w:r w:rsidRPr="00A91C60">
        <w:rPr>
          <w:rFonts w:ascii="楷体" w:eastAsia="楷体" w:hAnsi="楷体" w:hint="eastAsia"/>
          <w:color w:val="000000" w:themeColor="text1"/>
          <w:sz w:val="24"/>
          <w:szCs w:val="24"/>
        </w:rPr>
        <w:lastRenderedPageBreak/>
        <w:t>续去库，锌价仍有支撑，受大市场情绪影响偏弱震荡运行</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7914407"/>
      <w:r>
        <w:rPr>
          <w:rFonts w:ascii="楷体" w:eastAsia="楷体" w:hAnsi="楷体" w:hint="eastAsia"/>
          <w:b/>
          <w:color w:val="000000" w:themeColor="text1"/>
          <w:sz w:val="24"/>
          <w:szCs w:val="24"/>
        </w:rPr>
        <w:t>镍：</w:t>
      </w:r>
      <w:r w:rsidR="001B6B7D" w:rsidRPr="001B6B7D">
        <w:rPr>
          <w:rFonts w:ascii="楷体" w:eastAsia="楷体" w:hAnsi="楷体" w:hint="eastAsia"/>
          <w:b/>
          <w:color w:val="000000" w:themeColor="text1"/>
          <w:sz w:val="24"/>
          <w:szCs w:val="24"/>
        </w:rPr>
        <w:t>宏观情绪海内外分化，弱势基本面对镍价形成拖累</w:t>
      </w:r>
      <w:bookmarkEnd w:id="31"/>
    </w:p>
    <w:p w:rsidR="003F56A5" w:rsidRDefault="001B6B7D">
      <w:pPr>
        <w:ind w:leftChars="300" w:left="630"/>
        <w:rPr>
          <w:rFonts w:ascii="楷体" w:eastAsia="楷体" w:hAnsi="楷体"/>
          <w:color w:val="000000" w:themeColor="text1"/>
          <w:sz w:val="24"/>
          <w:szCs w:val="24"/>
        </w:rPr>
      </w:pPr>
      <w:r w:rsidRPr="001B6B7D">
        <w:rPr>
          <w:rFonts w:ascii="楷体" w:eastAsia="楷体" w:hAnsi="楷体" w:hint="eastAsia"/>
          <w:color w:val="000000" w:themeColor="text1"/>
          <w:sz w:val="24"/>
          <w:szCs w:val="24"/>
        </w:rPr>
        <w:t>美联储副主席杰斐逊表示较高的美债收益率可能意味着加息需求的降低，释放信号偏鸽派，但美国的高利率环境预计持续，对镍价带来压制；国内经济呈回升态势，市场对即将公布的9月社融规模等数据持有乐观态度。供应方面，由于精炼镍利润维持可观，精炼镍增量预期逐步兑现，据国际镍研究组织(INSG)的预测，2023年镍供应将出现22.3万吨的过剩。需求方面，部分不锈钢厂开始减产，新能源汽车等领域的需求也表现平平。库存方面，国内外镍库存皆呈累库趋势，体现了镍市场的供应压力。据Mysteel10月9日统计，中国精炼镍27库社会库存15638吨，较节前增加833吨，涨幅5.63%；LME镍增加1152吨至43134吨，增幅2.74%。综合来看，宏观氛围外弱内强，持续关注美国通胀等数据情况，镍基本面维持弱势，叠加累库压力，镍价承压运行</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7914408"/>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DB4E25" w:rsidRPr="00DB4E25">
        <w:rPr>
          <w:rFonts w:ascii="楷体" w:eastAsia="楷体" w:hAnsi="楷体" w:hint="eastAsia"/>
          <w:b/>
          <w:color w:val="000000" w:themeColor="text1"/>
          <w:sz w:val="24"/>
          <w:szCs w:val="24"/>
        </w:rPr>
        <w:t>铝价上方压力仍存</w:t>
      </w:r>
      <w:bookmarkEnd w:id="32"/>
    </w:p>
    <w:p w:rsidR="008B13D2" w:rsidRPr="008B13D2" w:rsidRDefault="00DB4E25" w:rsidP="008B13D2">
      <w:pPr>
        <w:ind w:leftChars="300" w:left="630"/>
        <w:rPr>
          <w:rFonts w:ascii="楷体" w:eastAsia="楷体" w:hAnsi="楷体"/>
          <w:color w:val="000000" w:themeColor="text1"/>
          <w:sz w:val="24"/>
          <w:szCs w:val="24"/>
        </w:rPr>
      </w:pPr>
      <w:r w:rsidRPr="00DB4E25">
        <w:rPr>
          <w:rFonts w:ascii="楷体" w:eastAsia="楷体" w:hAnsi="楷体" w:hint="eastAsia"/>
          <w:color w:val="000000" w:themeColor="text1"/>
          <w:sz w:val="24"/>
          <w:szCs w:val="24"/>
        </w:rPr>
        <w:t>巴以冲突加剧，原油价格暴涨，市场对联储加息预期走强，带动大宗整体情绪偏弱。国内电解铝运行产能高位，但复产产能多为铝水，铝棒加工费持续下行，铝棒库存被动去库，反映出铝合金下游需求偏弱。LME铝锭库存假期间出现累库迹象，国内铝市交易所库存及社库较大幅度累库，铝锭市场供应偏紧，近期铝锭进口利润窗口打开，国内原铝进口同比增长。“金九银十”旺季之下，旺季消费效应不显，订单增幅不及预期，铝价高位抑制下游采购意愿，下游企业开工率略有修复但不及预期。整体上看，国内铝锭市场供应偏紧但有进口增量补充，目前电解铝生产产能高位，铝水转化率或因铸锭量偏少的情况作出下调动作，需求维持弱修复，铝价在强供应、弱消费的现实之下，价格上行驱动有限，节日前多次尝试突破箱体运行区间上沿无果，假期海外市场情绪偏弱，预计铝价节后将重回震荡区间中枢附近，约计在18500-19000之间</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7914409"/>
      <w:r>
        <w:rPr>
          <w:rFonts w:ascii="楷体" w:eastAsia="楷体" w:hAnsi="楷体" w:hint="eastAsia"/>
          <w:b/>
          <w:color w:val="000000" w:themeColor="text1"/>
          <w:sz w:val="24"/>
          <w:szCs w:val="24"/>
        </w:rPr>
        <w:t>不锈钢：</w:t>
      </w:r>
      <w:r w:rsidR="001B6B7D" w:rsidRPr="001B6B7D">
        <w:rPr>
          <w:rFonts w:ascii="楷体" w:eastAsia="楷体" w:hAnsi="楷体" w:hint="eastAsia"/>
          <w:b/>
          <w:color w:val="000000" w:themeColor="text1"/>
          <w:sz w:val="24"/>
          <w:szCs w:val="24"/>
        </w:rPr>
        <w:t>供需两端均边际转弱，短期或震荡偏弱运行</w:t>
      </w:r>
      <w:bookmarkEnd w:id="33"/>
    </w:p>
    <w:p w:rsidR="003F56A5" w:rsidRDefault="001B6B7D">
      <w:pPr>
        <w:ind w:leftChars="300" w:left="630"/>
        <w:rPr>
          <w:rFonts w:ascii="楷体" w:eastAsia="楷体" w:hAnsi="楷体"/>
          <w:color w:val="000000" w:themeColor="text1"/>
          <w:sz w:val="24"/>
          <w:szCs w:val="24"/>
        </w:rPr>
      </w:pPr>
      <w:r w:rsidRPr="001B6B7D">
        <w:rPr>
          <w:rFonts w:ascii="楷体" w:eastAsia="楷体" w:hAnsi="楷体" w:hint="eastAsia"/>
          <w:color w:val="000000" w:themeColor="text1"/>
          <w:sz w:val="24"/>
          <w:szCs w:val="24"/>
        </w:rPr>
        <w:t>矿端，由于印尼年内不再新增镍矿配额，且菲律宾矿区将进入雨季，镍矿价格预计维持坚挺。自印尼RKAB事件落地后，镍铁价格高位回落，镍铁价格现在受到上下游双重挤压，但在部分减产和矿价成本支撑下，镍铁下跌幅度预计有限。供应端，钢厂在8月和9月的排产较高，但是传统旺季预期未有体现，且成本高企，冶炼利润出现亏损，部分钢厂减产检修。需求端表现疲弱，节后下游成交氛围清淡，贸易商降价促进出货，或拖累不锈钢价格。综合而言，在供需双弱态势下，短期不锈钢价格或震荡偏弱运行，但在生产成本支撑下，下行空间亦有限</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7914410"/>
      <w:r>
        <w:rPr>
          <w:rFonts w:ascii="楷体" w:eastAsia="楷体" w:hAnsi="楷体" w:hint="eastAsia"/>
          <w:b/>
          <w:color w:val="000000" w:themeColor="text1"/>
          <w:sz w:val="24"/>
          <w:szCs w:val="24"/>
        </w:rPr>
        <w:t>工业硅：</w:t>
      </w:r>
      <w:r w:rsidR="00A91C60" w:rsidRPr="00A91C60">
        <w:rPr>
          <w:rFonts w:ascii="楷体" w:eastAsia="楷体" w:hAnsi="楷体" w:hint="eastAsia"/>
          <w:b/>
          <w:sz w:val="24"/>
          <w:szCs w:val="24"/>
        </w:rPr>
        <w:t>供需双增，市场或仍有支撑</w:t>
      </w:r>
      <w:bookmarkEnd w:id="34"/>
    </w:p>
    <w:p w:rsidR="003F56A5" w:rsidRDefault="00A91C60" w:rsidP="00827E8A">
      <w:pPr>
        <w:ind w:leftChars="300" w:left="630"/>
        <w:rPr>
          <w:rFonts w:ascii="楷体" w:eastAsia="楷体" w:hAnsi="楷体"/>
          <w:sz w:val="24"/>
          <w:szCs w:val="24"/>
        </w:rPr>
      </w:pPr>
      <w:r w:rsidRPr="00A91C60">
        <w:rPr>
          <w:rFonts w:ascii="楷体" w:eastAsia="楷体" w:hAnsi="楷体" w:hint="eastAsia"/>
          <w:sz w:val="24"/>
          <w:szCs w:val="24"/>
        </w:rPr>
        <w:t>10月10日，Si2311主力合约延续反弹走势，收盘价14265元/吨，较上一收盘价涨跌幅+0.78%。供应方面，据SMM统计数据，9月中国工业硅产量在35.63万吨，环比增加3.54万吨增幅11%，同比增幅在10.2%，增量主要由新疆、四川以及陕西和内蒙古等地区贡献;需求方面，多晶硅新增产能</w:t>
      </w:r>
      <w:r w:rsidRPr="00A91C60">
        <w:rPr>
          <w:rFonts w:ascii="楷体" w:eastAsia="楷体" w:hAnsi="楷体" w:hint="eastAsia"/>
          <w:sz w:val="24"/>
          <w:szCs w:val="24"/>
        </w:rPr>
        <w:lastRenderedPageBreak/>
        <w:t>陆续投产，随着产能逐步爬坡，需求有望逐步释放。整体来看，当前行业处于供需双增，以及主产区冶炼成本存在抬升预期，短期市场或有支撑。策略上，短线可轻仓逢低试多</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791441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A91C60" w:rsidRDefault="00CC3FFA" w:rsidP="00A91C60">
      <w:pPr>
        <w:ind w:firstLineChars="200" w:firstLine="482"/>
        <w:outlineLvl w:val="1"/>
        <w:rPr>
          <w:rFonts w:ascii="楷体" w:eastAsia="楷体" w:hAnsi="楷体"/>
          <w:b/>
          <w:sz w:val="24"/>
          <w:szCs w:val="24"/>
        </w:rPr>
      </w:pPr>
      <w:bookmarkStart w:id="37" w:name="_Toc147914412"/>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A91C60" w:rsidRPr="00A91C60">
        <w:rPr>
          <w:rFonts w:ascii="楷体" w:eastAsia="楷体" w:hAnsi="楷体" w:hint="eastAsia"/>
          <w:b/>
          <w:sz w:val="24"/>
          <w:szCs w:val="24"/>
        </w:rPr>
        <w:t>短期天然橡胶市场震荡运行，仍存偏强预期</w:t>
      </w:r>
      <w:bookmarkEnd w:id="37"/>
    </w:p>
    <w:p w:rsidR="003F56A5" w:rsidRDefault="00A91C60">
      <w:pPr>
        <w:ind w:leftChars="300" w:left="630"/>
        <w:rPr>
          <w:rFonts w:ascii="楷体" w:eastAsia="楷体" w:hAnsi="楷体"/>
          <w:sz w:val="24"/>
          <w:szCs w:val="24"/>
        </w:rPr>
      </w:pPr>
      <w:r w:rsidRPr="00A91C60">
        <w:rPr>
          <w:rFonts w:ascii="楷体" w:eastAsia="楷体" w:hAnsi="楷体" w:hint="eastAsia"/>
          <w:sz w:val="24"/>
          <w:szCs w:val="24"/>
        </w:rPr>
        <w:t>点评：短期受宏观形势影响，天胶震荡调整为主。目前看，双节期间国内产区原材料收购价格维持高位，泰国原料收购价格上涨，成本端给予市场一定支撑。库存方面，节后船货未能如期到港，短时供应支撑仍存。需求端来看，下游轮胎企业开工率高位维持，半钢胎略好于全钢胎，国内稳经济政策将有利于轮胎替换及配套需求的改善。节后工厂开工将处于恢复提升状态，对原材料补库积极性提高，提振天胶市场。终端汽车方面，8月数据同环比走强，呈现“淡季不淡”，九、十月汽车消费旺季来临下汽车市场景气度高。整体看，短期天然橡胶市场震荡运行，仍存偏强预期</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7914413"/>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A91C60" w:rsidRPr="00A91C60">
        <w:rPr>
          <w:rFonts w:ascii="楷体" w:eastAsia="楷体" w:hAnsi="楷体" w:hint="eastAsia"/>
          <w:b/>
          <w:color w:val="000000" w:themeColor="text1"/>
          <w:sz w:val="24"/>
          <w:szCs w:val="24"/>
        </w:rPr>
        <w:t>跟随成本端回调 等待企稳</w:t>
      </w:r>
      <w:bookmarkEnd w:id="38"/>
      <w:r w:rsidR="00DF164D" w:rsidRPr="00DF164D">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A91C60" w:rsidP="002C73FE">
      <w:pPr>
        <w:ind w:leftChars="300" w:left="630"/>
        <w:rPr>
          <w:rFonts w:ascii="楷体" w:eastAsia="楷体" w:hAnsi="楷体"/>
          <w:color w:val="000000" w:themeColor="text1"/>
          <w:sz w:val="24"/>
          <w:szCs w:val="24"/>
        </w:rPr>
      </w:pPr>
      <w:r w:rsidRPr="00A91C60">
        <w:rPr>
          <w:rFonts w:ascii="楷体" w:eastAsia="楷体" w:hAnsi="楷体" w:hint="eastAsia"/>
          <w:color w:val="000000" w:themeColor="text1"/>
          <w:sz w:val="24"/>
          <w:szCs w:val="24"/>
        </w:rPr>
        <w:t>原油方面，巴以冲突目前来看整体可控，留意供需宽松预期带来的基本面边际弱化的问题。PX方面，盛虹石化400万吨PX装置因故负荷下降20%附近，具体影响时长待跟踪，广东石化260万吨装置预计近日最低可能降至50%附近，初步预计影响10天左右。PX国内开工率80.9%(-0.7%)，其他亚洲PX装置开工率73.35%(-1.45%)，短期PX期价仍有支撑。PTA供应方面，恒力2线220万吨计划内检修，逸盛新材料1期360万吨PTA装置目前重启计划推后，此外福海创450万吨PTA装置从7成降负至5成，目前PTA开工率下降至74.7%。近期PTA加工费压缩至200元/吨，PTA装置计划外检修增多。需求方面，截至10月7日，国内大陆地区聚酯负荷在89%，环比小幅提升。经过长假期间的持续消耗，下游的原料备货下降较多。展望后市，PTA成本端趋弱VS聚酯开工缓慢回升，预估先跟随成本端回调一波。供应端缩量明显供需环比改善，基差修复，等待企稳。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7914414"/>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DF164D" w:rsidRDefault="00CC3FFA" w:rsidP="00DF164D">
      <w:pPr>
        <w:ind w:leftChars="200" w:left="420"/>
        <w:outlineLvl w:val="1"/>
        <w:rPr>
          <w:rFonts w:ascii="楷体" w:eastAsia="楷体" w:hAnsi="楷体"/>
          <w:b/>
          <w:color w:val="000000" w:themeColor="text1"/>
          <w:sz w:val="24"/>
          <w:szCs w:val="24"/>
        </w:rPr>
      </w:pPr>
      <w:bookmarkStart w:id="40" w:name="_Toc147914415"/>
      <w:r>
        <w:rPr>
          <w:rFonts w:ascii="楷体" w:eastAsia="楷体" w:hAnsi="楷体" w:hint="eastAsia"/>
          <w:b/>
          <w:color w:val="000000" w:themeColor="text1"/>
          <w:sz w:val="24"/>
          <w:szCs w:val="24"/>
        </w:rPr>
        <w:t>聚烯烃：</w:t>
      </w:r>
      <w:r w:rsidR="00DB4E25" w:rsidRPr="00DB4E25">
        <w:rPr>
          <w:rFonts w:ascii="楷体" w:eastAsia="楷体" w:hAnsi="楷体" w:hint="eastAsia"/>
          <w:b/>
          <w:color w:val="000000" w:themeColor="text1"/>
          <w:sz w:val="24"/>
          <w:szCs w:val="24"/>
        </w:rPr>
        <w:t>供需支撑减弱 聚烯烃偏弱整理为主</w:t>
      </w:r>
      <w:bookmarkEnd w:id="40"/>
    </w:p>
    <w:p w:rsidR="003F56A5" w:rsidRDefault="00DB4E25">
      <w:pPr>
        <w:ind w:leftChars="300" w:left="630"/>
        <w:rPr>
          <w:rFonts w:ascii="楷体" w:eastAsia="楷体" w:hAnsi="楷体"/>
          <w:bCs/>
          <w:sz w:val="24"/>
          <w:szCs w:val="24"/>
        </w:rPr>
      </w:pPr>
      <w:r w:rsidRPr="00DB4E25">
        <w:rPr>
          <w:rFonts w:ascii="楷体" w:eastAsia="楷体" w:hAnsi="楷体" w:hint="eastAsia"/>
          <w:color w:val="000000" w:themeColor="text1"/>
          <w:sz w:val="24"/>
          <w:szCs w:val="24"/>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以色列和哈马斯的冲突进入第三天，周一油价上涨超过4%，为4月3日以来最大单日涨幅。周一收盘后，欧美原油期货继续延续涨势。需求方面，PE下游方面，农膜整体需求平平，工厂生产清淡。棚膜工厂多停机检修；PP下游方面，BOPP市场成交刚需有量，整体量较上一交易日增加，BOPP企业未交付订单多数在一周以内，个别可至八月中。综合来看，PE方面，现阶段供应增加，生产企业去库预计较慢；需求端，市场成交平平，农膜行业旺季仍未显现，终端多持观望心态。综上所述，今日PE或震荡下跌态势。PP方面，巴以冲突危机下国际原油价格上涨，成本支撑暂稳；然节后归来，两油库存高位去库速度缓慢，场内心态偏空，旺季需求不及往年，整体成交平平。预计今日PP震荡下跌为主</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7914416"/>
      <w:r>
        <w:rPr>
          <w:rFonts w:ascii="楷体" w:eastAsia="楷体" w:hAnsi="楷体" w:hint="eastAsia"/>
          <w:b/>
          <w:color w:val="000000" w:themeColor="text1"/>
          <w:sz w:val="24"/>
          <w:szCs w:val="24"/>
        </w:rPr>
        <w:t>MEG：</w:t>
      </w:r>
      <w:r w:rsidR="00A91C60" w:rsidRPr="00A91C60">
        <w:rPr>
          <w:rFonts w:ascii="楷体" w:eastAsia="楷体" w:hAnsi="楷体" w:hint="eastAsia"/>
          <w:b/>
          <w:color w:val="000000" w:themeColor="text1"/>
          <w:sz w:val="24"/>
          <w:szCs w:val="24"/>
        </w:rPr>
        <w:t>具备低多价值</w:t>
      </w:r>
      <w:bookmarkEnd w:id="41"/>
    </w:p>
    <w:p w:rsidR="00A91C60" w:rsidRPr="00A91C60" w:rsidRDefault="00A91C60" w:rsidP="00A91C60">
      <w:pPr>
        <w:ind w:leftChars="300" w:left="630"/>
        <w:rPr>
          <w:rFonts w:ascii="楷体" w:eastAsia="楷体" w:hAnsi="楷体" w:hint="eastAsia"/>
          <w:color w:val="000000" w:themeColor="text1"/>
          <w:sz w:val="24"/>
          <w:szCs w:val="24"/>
        </w:rPr>
      </w:pPr>
      <w:r w:rsidRPr="00A91C60">
        <w:rPr>
          <w:rFonts w:ascii="楷体" w:eastAsia="楷体" w:hAnsi="楷体" w:hint="eastAsia"/>
          <w:color w:val="000000" w:themeColor="text1"/>
          <w:sz w:val="24"/>
          <w:szCs w:val="24"/>
        </w:rPr>
        <w:t>供需情况，10.7华东主港地区MEG港口库存约117.4万吨附近，环比上期增加2.0万吨，库存仍高位累积。截至9月28日，中国大陆地区乙二醇整体开工负荷在65.08%（+1.79%），其中煤制乙二醇开工负荷在69.22%</w:t>
      </w:r>
    </w:p>
    <w:p w:rsidR="003F56A5" w:rsidRDefault="00A91C60" w:rsidP="00A91C60">
      <w:pPr>
        <w:ind w:leftChars="300" w:left="630"/>
        <w:rPr>
          <w:rFonts w:ascii="楷体" w:eastAsia="楷体" w:hAnsi="楷体"/>
          <w:color w:val="000000" w:themeColor="text1"/>
          <w:sz w:val="24"/>
          <w:szCs w:val="24"/>
        </w:rPr>
      </w:pPr>
      <w:r w:rsidRPr="00A91C60">
        <w:rPr>
          <w:rFonts w:ascii="楷体" w:eastAsia="楷体" w:hAnsi="楷体" w:hint="eastAsia"/>
          <w:color w:val="000000" w:themeColor="text1"/>
          <w:sz w:val="24"/>
          <w:szCs w:val="24"/>
        </w:rPr>
        <w:t>（+1.75%）。截至10月7日，国内大陆地区聚酯负荷在89%，环比小幅提升。终端来看，节后江浙加弹综合开工已回升至79%，江浙印染综合开工回升至81%，部分装置落实检修，近期供给端开工率小幅下滑。预估10月进口量在55万吨左右，10月有望实现小幅去库。后市来看，四季度新投产装置推迟，但后续存量供应收缩及聚酯开工高位，或维持动态平衡的节奏，暂维持4000-4500区间操作思路。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7914417"/>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7D67CC" w:rsidRPr="007D67CC">
        <w:rPr>
          <w:rFonts w:ascii="楷体" w:eastAsia="楷体" w:hAnsi="楷体" w:hint="eastAsia"/>
          <w:b/>
          <w:color w:val="000000" w:themeColor="text1"/>
          <w:sz w:val="24"/>
          <w:szCs w:val="24"/>
        </w:rPr>
        <w:t>产销边际回落，需求尚待观察</w:t>
      </w:r>
      <w:bookmarkEnd w:id="42"/>
    </w:p>
    <w:p w:rsidR="00A71A7E" w:rsidRDefault="007D67CC" w:rsidP="001F79C6">
      <w:pPr>
        <w:ind w:leftChars="300" w:left="630"/>
        <w:rPr>
          <w:rFonts w:ascii="楷体" w:eastAsia="楷体" w:hAnsi="楷体"/>
          <w:color w:val="000000" w:themeColor="text1"/>
          <w:sz w:val="24"/>
          <w:szCs w:val="24"/>
        </w:rPr>
      </w:pPr>
      <w:r w:rsidRPr="007D67CC">
        <w:rPr>
          <w:rFonts w:ascii="楷体" w:eastAsia="楷体" w:hAnsi="楷体" w:hint="eastAsia"/>
          <w:color w:val="000000" w:themeColor="text1"/>
          <w:sz w:val="24"/>
          <w:szCs w:val="24"/>
        </w:rPr>
        <w:t>隆众资讯10月10日报道：今日浮法玻璃现货价格2095元/吨，较上一交易日+1元/吨。库存上，截至10月7日，全国浮法玻璃样本企业总库存4295.3万重箱，环比增加152.5万重箱，环比3.68%，假期累库。需求上，截至2023年9月底，深加工企业订单天数20.3天，较9月中旬+1.8天，环比+9.70%，小幅补库。节后中下游库存基本已经消化，短期有阶段性补库需求，原片厂以涨促销，现货强势；供给端近期点火较多，产能提升至17万吨/日左右高位水平，短期产销再度过百，阶段性补库和现货涨价推动期价上行，但中长线供给压力较大。盘面短期上涨后，产销边际开始回落，远月01合约供给压力较大，市场提前出现抢跑，整体情绪偏空</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7914418"/>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7D67CC" w:rsidRPr="007D67CC">
        <w:rPr>
          <w:rFonts w:ascii="楷体" w:eastAsia="楷体" w:hAnsi="楷体" w:hint="eastAsia"/>
          <w:b/>
          <w:color w:val="000000" w:themeColor="text1"/>
          <w:sz w:val="24"/>
          <w:szCs w:val="24"/>
        </w:rPr>
        <w:t>现货继续下跌，反弹高空为主</w:t>
      </w:r>
      <w:bookmarkEnd w:id="43"/>
    </w:p>
    <w:p w:rsidR="00A71A7E" w:rsidRDefault="007D67CC" w:rsidP="00A71A7E">
      <w:pPr>
        <w:ind w:leftChars="300" w:left="630"/>
        <w:rPr>
          <w:rFonts w:ascii="楷体" w:eastAsia="楷体" w:hAnsi="楷体"/>
          <w:bCs/>
          <w:sz w:val="24"/>
          <w:szCs w:val="24"/>
        </w:rPr>
      </w:pPr>
      <w:r w:rsidRPr="007D67CC">
        <w:rPr>
          <w:rFonts w:ascii="楷体" w:eastAsia="楷体" w:hAnsi="楷体" w:hint="eastAsia"/>
          <w:color w:val="000000" w:themeColor="text1"/>
          <w:sz w:val="24"/>
          <w:szCs w:val="24"/>
        </w:rPr>
        <w:t>节后纯碱价格出现明显松动，华中和华北重碱主流价格下跌100-200元/吨不等，报价在2900-3050元/吨之间，供给方面，检修基本恢复，今日远兴3线锅炉点火，新增产能纯碱产量继续抬升，截至10月8日，周产量68.63万吨，环比增加1.57万吨，涨幅2.35%。库存上，周纯碱库存总库</w:t>
      </w:r>
      <w:r w:rsidRPr="007D67CC">
        <w:rPr>
          <w:rFonts w:ascii="楷体" w:eastAsia="楷体" w:hAnsi="楷体" w:hint="eastAsia"/>
          <w:color w:val="000000" w:themeColor="text1"/>
          <w:sz w:val="24"/>
          <w:szCs w:val="24"/>
        </w:rPr>
        <w:lastRenderedPageBreak/>
        <w:t>存27.50万吨，环比增加6.21万吨，上涨29.17%。其中，轻质库存19.65万吨，重质库存7.85万吨，轻碱累库加速，重碱目前库存不高，短期远月合约跌破氨碱法成本线概率不大。需求上，下游玻璃厂点火较多，需求上行，但后续有低价进口碱到港。供需双增下，供给增速大于需求，远月过剩较为明确，短线以高空为主，关注氨碱法1650成本附近支撑线</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791441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4"/>
    </w:p>
    <w:p w:rsidR="003F56A5" w:rsidRDefault="00147B03">
      <w:pPr>
        <w:ind w:leftChars="200" w:left="420"/>
        <w:outlineLvl w:val="1"/>
        <w:rPr>
          <w:rFonts w:ascii="楷体" w:eastAsia="楷体" w:hAnsi="楷体"/>
          <w:b/>
          <w:sz w:val="24"/>
          <w:szCs w:val="24"/>
        </w:rPr>
      </w:pPr>
      <w:bookmarkStart w:id="45" w:name="_Toc147914420"/>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A91C60" w:rsidRPr="00A91C60">
        <w:rPr>
          <w:rFonts w:ascii="楷体" w:eastAsia="楷体" w:hAnsi="楷体" w:hint="eastAsia"/>
          <w:b/>
          <w:sz w:val="24"/>
          <w:szCs w:val="24"/>
        </w:rPr>
        <w:t>供应压力下，延续弱势</w:t>
      </w:r>
      <w:bookmarkEnd w:id="45"/>
    </w:p>
    <w:p w:rsidR="003F56A5" w:rsidRDefault="00A91C60">
      <w:pPr>
        <w:ind w:leftChars="300" w:left="630"/>
        <w:rPr>
          <w:rFonts w:ascii="楷体" w:eastAsia="楷体" w:hAnsi="楷体"/>
          <w:sz w:val="24"/>
          <w:szCs w:val="24"/>
        </w:rPr>
      </w:pPr>
      <w:r w:rsidRPr="00A91C60">
        <w:rPr>
          <w:rFonts w:ascii="楷体" w:eastAsia="楷体" w:hAnsi="楷体" w:hint="eastAsia"/>
          <w:sz w:val="24"/>
          <w:szCs w:val="24"/>
        </w:rPr>
        <w:t>CBOT大豆小幅收涨，因出口数据利好及美元下跌，当前市场等待10月USDA报告数据。虽美豆新季平衡表偏紧，且受干燥天气影响，美豆出口或仍存忧，但整体有利于新作收割推进，卖压凸显，叠加巴西大豆新作播种进度较快，在出口方面仍对美豆构成竞争，CBOT大豆价格预计上方空间有限，整体承压运行。后续关注10月USDA报告对单产的调整。国内现货基差继续承压，节后贸易商陆续恢复报价，市场购销逐渐恢复。供应端在9-10月份大豆阶段性到港减少下，当前油厂大豆库存维持中性偏低，随着节后油厂开机恢复，豆粕产出预计会有所回升，油厂豆粕库存高于去年同期值为77.35万吨，当前沿海主流油厂豆粕现货报价下调至4300-4400元/吨。大豆6-8月到港量仍较充裕，8月进口935万吨大豆，今年1-8个月大豆进口量达到7165万吨，同比增长17.9%，但9-10月进口到港预期减少，且对美豆新作买船偏慢，关注后续大豆到港情况。需求，下游生猪养殖利润不佳，但在能繁存栏高位下，下游维持刚需备货，提货情况尚可，且近日远月成交放量。菜粕当前供需基本面改善，随着6月份后菜籽到港减少，油厂压榨也在逐步下滑，但供给整体较充裕。而需求方面，水产消费旺季即将结束，菜粕需求预计减少，主要关注替代需求。策略方面，在成本端持续下移下市场看空情绪浓厚，两粕震荡偏弱运行，建议短线高空为主</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7914421"/>
      <w:r>
        <w:rPr>
          <w:rFonts w:ascii="楷体" w:eastAsia="楷体" w:hAnsi="楷体" w:hint="eastAsia"/>
          <w:b/>
          <w:color w:val="000000" w:themeColor="text1"/>
          <w:sz w:val="24"/>
          <w:szCs w:val="24"/>
        </w:rPr>
        <w:t>油脂：</w:t>
      </w:r>
      <w:r w:rsidR="00A91C60" w:rsidRPr="00A91C60">
        <w:rPr>
          <w:rFonts w:ascii="楷体" w:eastAsia="楷体" w:hAnsi="楷体" w:hint="eastAsia"/>
          <w:b/>
          <w:sz w:val="24"/>
          <w:szCs w:val="24"/>
        </w:rPr>
        <w:t>MPOB数据符合预期，跌势预计放缓</w:t>
      </w:r>
      <w:bookmarkEnd w:id="46"/>
    </w:p>
    <w:p w:rsidR="003F56A5" w:rsidRDefault="00A91C60" w:rsidP="00792D31">
      <w:pPr>
        <w:ind w:leftChars="300" w:left="630"/>
        <w:rPr>
          <w:rFonts w:ascii="楷体" w:eastAsia="楷体" w:hAnsi="楷体"/>
          <w:sz w:val="24"/>
          <w:szCs w:val="24"/>
        </w:rPr>
      </w:pPr>
      <w:r w:rsidRPr="00A91C60">
        <w:rPr>
          <w:rFonts w:ascii="楷体" w:eastAsia="楷体" w:hAnsi="楷体" w:hint="eastAsia"/>
          <w:sz w:val="24"/>
          <w:szCs w:val="24"/>
        </w:rPr>
        <w:t>节后在多重利空释放后，油脂期现价格均下挫，暂看跌势能否放缓企稳。棕榈油，产地季节性增产周期下存继续累库预期，印尼棕榈油7月份因产量增幅不及需求增幅，库存继续下降。而马棕9月库存增至新高，但符合市场预期。产量9月环比增长4.33%至183万吨；出口量则下降至120万吨；9月库存环比增长9.6%至231万吨；因主要消费国国内油脂库存偏高，后续采购预计放缓，产地预计维持累库趋势。国内棕榈油7-8月份进口到港预计维持高位，在买船积极下，库存持续累积，最新商业库存为85.85万吨。需求端，随着各地气温下降，棕榈油逐步进入消费淡季，棕榈油10月份预计表现偏弱。豆油库存预计继续去化。国内7-8月进口大豆到港量仍不少，但受9-10月大豆到港减少及节日停机影响下，预计油厂整体压榨水平不高。需求端，节后终端或存在补库需求，且四季度为豆油消费旺季，部分掺混需求预计转向豆油。菜油短期供应压力减轻，但四季度存供应增加预期。当前主产地菜籽还未集中上市，全球菜籽新作产量不确定性仍存，但当前加籽收割基本结束，上市压力也抑制期价走势。虽8-9月份进口加籽到港量减少，菜籽开机及压榨水平也有所降低，但整体仍高于去年同期，</w:t>
      </w:r>
      <w:r w:rsidRPr="00A91C60">
        <w:rPr>
          <w:rFonts w:ascii="楷体" w:eastAsia="楷体" w:hAnsi="楷体" w:hint="eastAsia"/>
          <w:sz w:val="24"/>
          <w:szCs w:val="24"/>
        </w:rPr>
        <w:lastRenderedPageBreak/>
        <w:t>8月菜籽进口39.6万吨，环比增167%。需求方面，当前去库速度缓慢，与豆油价差持续收窄，库存去化仍需看到替代需求出现。短期油脂维持偏弱走势，建议关注豆棕套利低多机会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7914422"/>
      <w:r>
        <w:rPr>
          <w:rFonts w:ascii="楷体" w:eastAsia="楷体" w:hAnsi="楷体" w:hint="eastAsia"/>
          <w:b/>
          <w:bCs/>
          <w:color w:val="000000" w:themeColor="text1"/>
        </w:rPr>
        <w:t>玉米与淀粉：</w:t>
      </w:r>
      <w:r w:rsidR="007D67CC" w:rsidRPr="007D67CC">
        <w:rPr>
          <w:rFonts w:ascii="楷体" w:eastAsia="楷体" w:hAnsi="楷体" w:hint="eastAsia"/>
          <w:b/>
        </w:rPr>
        <w:t>继续等待新作压力释放后的做多机会</w:t>
      </w:r>
      <w:bookmarkEnd w:id="47"/>
    </w:p>
    <w:p w:rsidR="007D67CC" w:rsidRPr="007D67CC" w:rsidRDefault="007D67CC" w:rsidP="007D67CC">
      <w:pPr>
        <w:pStyle w:val="paragraph"/>
        <w:spacing w:before="60" w:after="60"/>
        <w:ind w:leftChars="300" w:left="630"/>
        <w:rPr>
          <w:rFonts w:ascii="楷体" w:eastAsia="楷体" w:hAnsi="楷体" w:hint="eastAsia"/>
        </w:rPr>
      </w:pPr>
      <w:r w:rsidRPr="007D67CC">
        <w:rPr>
          <w:rFonts w:ascii="楷体" w:eastAsia="楷体" w:hAnsi="楷体" w:hint="eastAsia"/>
        </w:rPr>
        <w:t>对于玉米而言，9月期价震荡回落过程中，期现货结构转为现货升水11月，11月升水1月，但之后各合约转为远月小幅升水。这一期期现结构反映两个问题，其一是当前市场担心在于新作压力，其二是市场对于新作供需预期依然紧张，这意味着市场在等待新作压力释放后的低点再行入场，基于年度产需缺口进入补库存阶段。基于这样的理解，接下来需要关注三个层面，其一是期价下方的空间，其二是后期上涨驱动因素，其三是新作上市压力释放到主动补库存的转折时点。在我们看来，当前期价已经具备安全边际，且有市场渠道库存偏低和小麦现货上涨两个潜在上涨驱动因素，但目前尚不确定新作压力释放向主动补库存的转折时点，据此由前期中性再度转为谨慎看多，建议谨慎投资者观望，激进投资者择机做多，或持有前期多单。</w:t>
      </w:r>
    </w:p>
    <w:p w:rsidR="003F56A5" w:rsidRDefault="007D67CC" w:rsidP="007D67CC">
      <w:pPr>
        <w:pStyle w:val="paragraph"/>
        <w:spacing w:before="60" w:beforeAutospacing="0" w:after="60" w:afterAutospacing="0"/>
        <w:ind w:leftChars="300" w:left="630"/>
        <w:rPr>
          <w:rFonts w:ascii="楷体" w:eastAsia="楷体" w:hAnsi="楷体"/>
        </w:rPr>
      </w:pPr>
      <w:r w:rsidRPr="007D67CC">
        <w:rPr>
          <w:rFonts w:ascii="楷体" w:eastAsia="楷体" w:hAnsi="楷体" w:hint="eastAsia"/>
        </w:rPr>
        <w:t>对于淀粉而言，9月期间淀粉-玉米价差总体震荡收窄，主要源于成本端的担忧，因产区现货逐步转弱。但与此同时，行业供需端和副产品端均相对利多，特别是副产品价格持续下跌影响相对较大，主要逻辑有二，其一是通过现货生产利润影响行业开机率，即通过供应端影响行业供需；其二是通过现货生产利润影响现货价格，继而通过基差影响盘面期价，因当前基差处于历史同期高位。在这种情况下，我们倾向于认为淀粉-玉米价差继续收窄空间受限，结合前面对玉米原料端的分析，后期新作压力释放之后，淀粉-玉米价差有望走扩</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7914423"/>
      <w:r>
        <w:rPr>
          <w:rFonts w:ascii="楷体" w:eastAsia="楷体" w:hAnsi="楷体" w:hint="eastAsia"/>
          <w:b/>
          <w:bCs/>
          <w:color w:val="000000" w:themeColor="text1"/>
        </w:rPr>
        <w:t>畜禽养殖：</w:t>
      </w:r>
      <w:r w:rsidR="00A91C60" w:rsidRPr="00A91C60">
        <w:rPr>
          <w:rFonts w:ascii="楷体" w:eastAsia="楷体" w:hAnsi="楷体" w:hint="eastAsia"/>
          <w:b/>
          <w:bCs/>
          <w:color w:val="000000" w:themeColor="text1"/>
        </w:rPr>
        <w:t>现货带动期价继续近弱远强分化运行</w:t>
      </w:r>
      <w:bookmarkEnd w:id="48"/>
    </w:p>
    <w:p w:rsidR="00A91C60" w:rsidRPr="00A91C60" w:rsidRDefault="00A91C60" w:rsidP="00A91C60">
      <w:pPr>
        <w:pStyle w:val="paragraph"/>
        <w:spacing w:before="60" w:after="60"/>
        <w:ind w:leftChars="300" w:left="630"/>
        <w:rPr>
          <w:rFonts w:ascii="楷体" w:eastAsia="楷体" w:hAnsi="楷体" w:hint="eastAsia"/>
        </w:rPr>
      </w:pPr>
      <w:r w:rsidRPr="00A91C60">
        <w:rPr>
          <w:rFonts w:ascii="楷体" w:eastAsia="楷体" w:hAnsi="楷体" w:hint="eastAsia"/>
        </w:rPr>
        <w:t>对于生猪而言，在前期报告中我们指出，考虑到各方数据显示生猪产能去化缓慢，表明7月下旬以来的猪价上涨是供应去化带来的阶段性反弹，而非产能去化所带来的周期见底。在这种情况下，市场或更多关注现货价格波动的区间和节奏，就空间而言，参考农业农村部的数据，下半年总体供需环比上半年趋于改善，下半年现货价格波动区间较上半年有望抬高。当然，7月底现货价格反弹之后，由于市场整体供应依然充足，其上方空间亦有限，期价波动或更多取决于节奏。节奏主要是指市场通过压栏、二次育肥和冷冻库存来影响市场的供应变化，再结合需求的季节性变动，来影响期现货的波动节奏。考虑到市场供需矛盾并不突出，且接下来现货波动的节奏存在分歧，不确定性较大，观点维持中性，建议投资者继续观望为宜。</w:t>
      </w:r>
    </w:p>
    <w:p w:rsidR="003F56A5" w:rsidRDefault="00A91C60" w:rsidP="00A91C60">
      <w:pPr>
        <w:pStyle w:val="paragraph"/>
        <w:spacing w:before="60" w:beforeAutospacing="0" w:after="60" w:afterAutospacing="0"/>
        <w:ind w:leftChars="300" w:left="630"/>
        <w:rPr>
          <w:rFonts w:ascii="楷体" w:eastAsia="楷体" w:hAnsi="楷体"/>
        </w:rPr>
      </w:pPr>
      <w:r w:rsidRPr="00A91C60">
        <w:rPr>
          <w:rFonts w:ascii="楷体" w:eastAsia="楷体" w:hAnsi="楷体" w:hint="eastAsia"/>
        </w:rPr>
        <w:t>对于鸡蛋而言，9月期间期价特别是近月表现强于市场之前预期，主要源于今年现货季节性高点出现时间晚于往年，这使得市场担心前期悲观预期可能落空，甚至出现类似于去年10月现货再创新高的情况。但在我们</w:t>
      </w:r>
      <w:r w:rsidRPr="00A91C60">
        <w:rPr>
          <w:rFonts w:ascii="楷体" w:eastAsia="楷体" w:hAnsi="楷体" w:hint="eastAsia"/>
        </w:rPr>
        <w:lastRenderedPageBreak/>
        <w:t>看来，9月上半月现货表现强于预期或更多源于两个方面的原因，其一是今年春节后现货相对高位，鸡蛋进入冷库形成库存量相对较低，其二是市场对后期价格悲观，渠道库存偏低。而从供需角度看，卓创资讯数据显示，在产蛋鸡存栏连续三个月环比增加，考虑到今年节后以来蛋鸡苗销量均同比增加，而蛋鸡淘汰量持续处于历史低位水平，蛋鸡淘汰日龄则持续位于历史同期高位，由此可以看出，后期鸡蛋供需有望趋于改善。考虑到现货已经趋于季节性回落，后期需要担心叠加春节后补栏带来的供应增量，现货表现或弱于预期，在这种情况下，我们观点维持中性，后期或转向看空</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7914424"/>
      <w:r>
        <w:rPr>
          <w:rFonts w:ascii="楷体" w:eastAsia="楷体" w:hAnsi="楷体" w:hint="eastAsia"/>
          <w:b/>
          <w:sz w:val="24"/>
          <w:szCs w:val="24"/>
        </w:rPr>
        <w:t>郑棉：</w:t>
      </w:r>
      <w:r w:rsidR="001B6B7D" w:rsidRPr="001B6B7D">
        <w:rPr>
          <w:rFonts w:ascii="楷体" w:eastAsia="楷体" w:hAnsi="楷体" w:hint="eastAsia"/>
          <w:b/>
          <w:sz w:val="24"/>
          <w:szCs w:val="24"/>
        </w:rPr>
        <w:t>看跌期权卖权持有</w:t>
      </w:r>
      <w:bookmarkEnd w:id="49"/>
    </w:p>
    <w:p w:rsidR="003F56A5" w:rsidRDefault="001B6B7D" w:rsidP="007B3290">
      <w:pPr>
        <w:ind w:leftChars="300" w:left="630"/>
        <w:rPr>
          <w:rFonts w:ascii="楷体" w:eastAsia="楷体" w:hAnsi="楷体"/>
          <w:sz w:val="24"/>
          <w:szCs w:val="24"/>
        </w:rPr>
      </w:pPr>
      <w:r w:rsidRPr="001B6B7D">
        <w:rPr>
          <w:rFonts w:ascii="楷体" w:eastAsia="楷体" w:hAnsi="楷体" w:hint="eastAsia"/>
          <w:sz w:val="24"/>
          <w:szCs w:val="24"/>
        </w:rPr>
        <w:t>根据美国农业部USDA报告，截至10月8日当周，美国棉花优良率为32%，较去年同期增加2%。收割率为25%，五年均值为24%。质量和产量担忧减轻，期棉承压。国内新棉即将大规模开秤，从新疆反馈的情况来看，棉农和轧花厂都持谨慎态度，观望情绪较浓，轧花厂收购不易，因此不建议过度看空。下游金九银十反馈依然不佳，旺季还未出现启动迹象。叠加原油带领下多数商品走弱，郑棉上方承压，试探1.7万关口支撑</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50" w:name="_Toc147914425"/>
      <w:r>
        <w:rPr>
          <w:rFonts w:ascii="楷体" w:eastAsia="楷体" w:hAnsi="楷体" w:hint="eastAsia"/>
          <w:b/>
          <w:sz w:val="24"/>
          <w:szCs w:val="24"/>
        </w:rPr>
        <w:t>白糖：</w:t>
      </w:r>
      <w:r w:rsidR="00DB4E25" w:rsidRPr="00DB4E25">
        <w:rPr>
          <w:rFonts w:ascii="楷体" w:eastAsia="楷体" w:hAnsi="楷体" w:hint="eastAsia"/>
          <w:b/>
          <w:sz w:val="24"/>
          <w:szCs w:val="24"/>
        </w:rPr>
        <w:t>观望</w:t>
      </w:r>
      <w:bookmarkEnd w:id="50"/>
    </w:p>
    <w:p w:rsidR="00296325" w:rsidRDefault="001B6B7D" w:rsidP="00296325">
      <w:pPr>
        <w:ind w:leftChars="300" w:left="630"/>
        <w:rPr>
          <w:rFonts w:ascii="楷体" w:eastAsia="楷体" w:hAnsi="楷体"/>
          <w:sz w:val="24"/>
          <w:szCs w:val="24"/>
        </w:rPr>
      </w:pPr>
      <w:r w:rsidRPr="001B6B7D">
        <w:rPr>
          <w:rFonts w:ascii="楷体" w:eastAsia="楷体" w:hAnsi="楷体" w:hint="eastAsia"/>
          <w:sz w:val="24"/>
          <w:szCs w:val="24"/>
        </w:rPr>
        <w:t>巴西的丰产依然在强力压制着国际糖价，9月中下旬产量达336万吨。同时，原油带领商品集体走弱，并通过乙醇-甘蔗的途径间接提高了未来糖产预期。不过，尽管国际国内商品主跌，但对主产国的供应依然存在一定忧虑。主要产糖大国印度的乙醇燃料计划使其甘蔗使用量大增，新年度可能继续限制白糖出口。泰国的产糖前景也不乐观。对于国内糖价来说，传闻10月交割的原糖大部分将运往中国，新榨季也已开始，供应紧张局面短期内有所缓解。2401主力合约显著承压，预计偏弱震荡，建议观望为主</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1" w:name="_Toc71212556"/>
      <w:bookmarkStart w:id="52" w:name="_Toc19667"/>
      <w:bookmarkStart w:id="53" w:name="_Toc98426751"/>
      <w:bookmarkStart w:id="54" w:name="_Toc12779"/>
      <w:bookmarkStart w:id="55" w:name="_Toc72481108"/>
      <w:r>
        <w:rPr>
          <w:rFonts w:ascii="Times New Roman" w:eastAsia="楷体" w:hAnsi="Times New Roman"/>
          <w:b/>
          <w:color w:val="411D05"/>
          <w:sz w:val="30"/>
          <w:szCs w:val="30"/>
        </w:rPr>
        <w:lastRenderedPageBreak/>
        <w:t>免责声明</w:t>
      </w:r>
      <w:bookmarkEnd w:id="51"/>
      <w:bookmarkEnd w:id="52"/>
      <w:bookmarkEnd w:id="53"/>
      <w:bookmarkEnd w:id="54"/>
      <w:bookmarkEnd w:id="55"/>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C71" w:rsidRDefault="00330C71">
      <w:r>
        <w:separator/>
      </w:r>
    </w:p>
  </w:endnote>
  <w:endnote w:type="continuationSeparator" w:id="0">
    <w:p w:rsidR="00330C71" w:rsidRDefault="00330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039EAEB5" wp14:editId="79A0F79E">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1B6B7D">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1B6B7D">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C71" w:rsidRDefault="00330C71">
      <w:r>
        <w:separator/>
      </w:r>
    </w:p>
  </w:footnote>
  <w:footnote w:type="continuationSeparator" w:id="0">
    <w:p w:rsidR="00330C71" w:rsidRDefault="00330C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18253842" wp14:editId="66EBEAE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2F486C80" wp14:editId="087726F9">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7D67CC">
      <w:rPr>
        <w:rFonts w:ascii="Times New Roman" w:eastAsia="楷体" w:hAnsi="Times New Roman" w:hint="eastAsia"/>
        <w:b/>
        <w:bCs/>
        <w:noProof/>
        <w:color w:val="833C0B"/>
        <w:sz w:val="21"/>
      </w:rPr>
      <w:t>2023</w:t>
    </w:r>
    <w:r w:rsidR="007D67CC">
      <w:rPr>
        <w:rFonts w:ascii="Times New Roman" w:eastAsia="楷体" w:hAnsi="Times New Roman" w:hint="eastAsia"/>
        <w:b/>
        <w:bCs/>
        <w:noProof/>
        <w:color w:val="833C0B"/>
        <w:sz w:val="21"/>
      </w:rPr>
      <w:t>年</w:t>
    </w:r>
    <w:r w:rsidR="007D67CC">
      <w:rPr>
        <w:rFonts w:ascii="Times New Roman" w:eastAsia="楷体" w:hAnsi="Times New Roman" w:hint="eastAsia"/>
        <w:b/>
        <w:bCs/>
        <w:noProof/>
        <w:color w:val="833C0B"/>
        <w:sz w:val="21"/>
      </w:rPr>
      <w:t>10</w:t>
    </w:r>
    <w:r w:rsidR="007D67CC">
      <w:rPr>
        <w:rFonts w:ascii="Times New Roman" w:eastAsia="楷体" w:hAnsi="Times New Roman" w:hint="eastAsia"/>
        <w:b/>
        <w:bCs/>
        <w:noProof/>
        <w:color w:val="833C0B"/>
        <w:sz w:val="21"/>
      </w:rPr>
      <w:t>月</w:t>
    </w:r>
    <w:r w:rsidR="007D67CC">
      <w:rPr>
        <w:rFonts w:ascii="Times New Roman" w:eastAsia="楷体" w:hAnsi="Times New Roman" w:hint="eastAsia"/>
        <w:b/>
        <w:bCs/>
        <w:noProof/>
        <w:color w:val="833C0B"/>
        <w:sz w:val="21"/>
      </w:rPr>
      <w:t>11</w:t>
    </w:r>
    <w:r w:rsidR="007D67CC">
      <w:rPr>
        <w:rFonts w:ascii="Times New Roman" w:eastAsia="楷体" w:hAnsi="Times New Roman" w:hint="eastAsia"/>
        <w:b/>
        <w:bCs/>
        <w:noProof/>
        <w:color w:val="833C0B"/>
        <w:sz w:val="21"/>
      </w:rPr>
      <w:t>日星期三</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32A7A"/>
    <w:rsid w:val="00035EB2"/>
    <w:rsid w:val="000417D7"/>
    <w:rsid w:val="00050B6C"/>
    <w:rsid w:val="0005286B"/>
    <w:rsid w:val="0005726F"/>
    <w:rsid w:val="00057E99"/>
    <w:rsid w:val="00060F08"/>
    <w:rsid w:val="00072EAA"/>
    <w:rsid w:val="00076420"/>
    <w:rsid w:val="000820C6"/>
    <w:rsid w:val="00093E40"/>
    <w:rsid w:val="00096258"/>
    <w:rsid w:val="000A413E"/>
    <w:rsid w:val="000B0648"/>
    <w:rsid w:val="000B4E70"/>
    <w:rsid w:val="000C102A"/>
    <w:rsid w:val="000C475E"/>
    <w:rsid w:val="000C4F17"/>
    <w:rsid w:val="000D36DC"/>
    <w:rsid w:val="000D42E2"/>
    <w:rsid w:val="000D7CF0"/>
    <w:rsid w:val="000E03FC"/>
    <w:rsid w:val="000E0968"/>
    <w:rsid w:val="000E0C15"/>
    <w:rsid w:val="000E4EEB"/>
    <w:rsid w:val="00115EEA"/>
    <w:rsid w:val="00117470"/>
    <w:rsid w:val="00120B1F"/>
    <w:rsid w:val="00121DBA"/>
    <w:rsid w:val="001275B7"/>
    <w:rsid w:val="00127803"/>
    <w:rsid w:val="00127FF1"/>
    <w:rsid w:val="00147668"/>
    <w:rsid w:val="00147B03"/>
    <w:rsid w:val="0015047B"/>
    <w:rsid w:val="00156FEB"/>
    <w:rsid w:val="001579F3"/>
    <w:rsid w:val="00163984"/>
    <w:rsid w:val="00170E7B"/>
    <w:rsid w:val="00170EDF"/>
    <w:rsid w:val="001801C4"/>
    <w:rsid w:val="001942CB"/>
    <w:rsid w:val="001945E9"/>
    <w:rsid w:val="001A3E49"/>
    <w:rsid w:val="001A44F9"/>
    <w:rsid w:val="001B0610"/>
    <w:rsid w:val="001B179D"/>
    <w:rsid w:val="001B1904"/>
    <w:rsid w:val="001B25C9"/>
    <w:rsid w:val="001B2D4C"/>
    <w:rsid w:val="001B6043"/>
    <w:rsid w:val="001B6394"/>
    <w:rsid w:val="001B6B7D"/>
    <w:rsid w:val="001C2E87"/>
    <w:rsid w:val="001C77D0"/>
    <w:rsid w:val="001D1F0A"/>
    <w:rsid w:val="001D40EA"/>
    <w:rsid w:val="001D4474"/>
    <w:rsid w:val="001D5419"/>
    <w:rsid w:val="001D7D0A"/>
    <w:rsid w:val="001E1A3C"/>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5297"/>
    <w:rsid w:val="00291461"/>
    <w:rsid w:val="00292AE8"/>
    <w:rsid w:val="002951EB"/>
    <w:rsid w:val="00296325"/>
    <w:rsid w:val="00297A1B"/>
    <w:rsid w:val="002A0670"/>
    <w:rsid w:val="002A6C89"/>
    <w:rsid w:val="002B0F87"/>
    <w:rsid w:val="002B2257"/>
    <w:rsid w:val="002B32AE"/>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626D"/>
    <w:rsid w:val="0038677D"/>
    <w:rsid w:val="003953FD"/>
    <w:rsid w:val="003A1F3C"/>
    <w:rsid w:val="003A3DB4"/>
    <w:rsid w:val="003A5DDB"/>
    <w:rsid w:val="003C32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648E2"/>
    <w:rsid w:val="00484C53"/>
    <w:rsid w:val="00485A3F"/>
    <w:rsid w:val="00486646"/>
    <w:rsid w:val="00487F77"/>
    <w:rsid w:val="00490056"/>
    <w:rsid w:val="00491DD7"/>
    <w:rsid w:val="00495F18"/>
    <w:rsid w:val="004977A9"/>
    <w:rsid w:val="004A1926"/>
    <w:rsid w:val="004A382D"/>
    <w:rsid w:val="004A3F85"/>
    <w:rsid w:val="004A65B5"/>
    <w:rsid w:val="004A78BA"/>
    <w:rsid w:val="004B4D4D"/>
    <w:rsid w:val="004C11A7"/>
    <w:rsid w:val="004C5F3F"/>
    <w:rsid w:val="004D0484"/>
    <w:rsid w:val="004D6F74"/>
    <w:rsid w:val="004E269E"/>
    <w:rsid w:val="004E2959"/>
    <w:rsid w:val="004E3A10"/>
    <w:rsid w:val="004E58A5"/>
    <w:rsid w:val="004E6093"/>
    <w:rsid w:val="004F2492"/>
    <w:rsid w:val="005145ED"/>
    <w:rsid w:val="00521683"/>
    <w:rsid w:val="005245A4"/>
    <w:rsid w:val="00526949"/>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03F3"/>
    <w:rsid w:val="00591B89"/>
    <w:rsid w:val="005926B7"/>
    <w:rsid w:val="00593B03"/>
    <w:rsid w:val="00593F40"/>
    <w:rsid w:val="005A5EEB"/>
    <w:rsid w:val="005B5BDF"/>
    <w:rsid w:val="005B790A"/>
    <w:rsid w:val="005C05F7"/>
    <w:rsid w:val="005C05FA"/>
    <w:rsid w:val="005C49BA"/>
    <w:rsid w:val="005C5B1D"/>
    <w:rsid w:val="005E1CE0"/>
    <w:rsid w:val="005E6164"/>
    <w:rsid w:val="005F28F8"/>
    <w:rsid w:val="005F2CE6"/>
    <w:rsid w:val="005F45A8"/>
    <w:rsid w:val="005F5D8E"/>
    <w:rsid w:val="00606E2B"/>
    <w:rsid w:val="00610C41"/>
    <w:rsid w:val="00612D79"/>
    <w:rsid w:val="0061390B"/>
    <w:rsid w:val="00615F78"/>
    <w:rsid w:val="00622C65"/>
    <w:rsid w:val="006353D1"/>
    <w:rsid w:val="00637F19"/>
    <w:rsid w:val="00641752"/>
    <w:rsid w:val="00645DF5"/>
    <w:rsid w:val="00650F05"/>
    <w:rsid w:val="0065454E"/>
    <w:rsid w:val="00657B01"/>
    <w:rsid w:val="00661BB3"/>
    <w:rsid w:val="00666DE4"/>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11CD"/>
    <w:rsid w:val="0072164F"/>
    <w:rsid w:val="007253E7"/>
    <w:rsid w:val="0072736C"/>
    <w:rsid w:val="007315D8"/>
    <w:rsid w:val="00743CFD"/>
    <w:rsid w:val="007664C1"/>
    <w:rsid w:val="00772382"/>
    <w:rsid w:val="00782EFA"/>
    <w:rsid w:val="00785519"/>
    <w:rsid w:val="007866A5"/>
    <w:rsid w:val="0079299D"/>
    <w:rsid w:val="00792D31"/>
    <w:rsid w:val="00794D36"/>
    <w:rsid w:val="007952E9"/>
    <w:rsid w:val="00796CB2"/>
    <w:rsid w:val="007A410D"/>
    <w:rsid w:val="007A66FE"/>
    <w:rsid w:val="007A713B"/>
    <w:rsid w:val="007B3290"/>
    <w:rsid w:val="007B42D0"/>
    <w:rsid w:val="007B4FCE"/>
    <w:rsid w:val="007C1DB9"/>
    <w:rsid w:val="007C2FD2"/>
    <w:rsid w:val="007C6F18"/>
    <w:rsid w:val="007C7B84"/>
    <w:rsid w:val="007D29EC"/>
    <w:rsid w:val="007D4BBD"/>
    <w:rsid w:val="007D67CC"/>
    <w:rsid w:val="007E1660"/>
    <w:rsid w:val="007F09BE"/>
    <w:rsid w:val="007F1327"/>
    <w:rsid w:val="007F140C"/>
    <w:rsid w:val="007F186E"/>
    <w:rsid w:val="007F197B"/>
    <w:rsid w:val="0080612D"/>
    <w:rsid w:val="00806354"/>
    <w:rsid w:val="0080692E"/>
    <w:rsid w:val="00806CD5"/>
    <w:rsid w:val="00806F4A"/>
    <w:rsid w:val="0080753A"/>
    <w:rsid w:val="008111C8"/>
    <w:rsid w:val="008149F4"/>
    <w:rsid w:val="00815011"/>
    <w:rsid w:val="00815817"/>
    <w:rsid w:val="00815EF6"/>
    <w:rsid w:val="00816F85"/>
    <w:rsid w:val="00820D28"/>
    <w:rsid w:val="00822591"/>
    <w:rsid w:val="00827E8A"/>
    <w:rsid w:val="0083288D"/>
    <w:rsid w:val="0083605E"/>
    <w:rsid w:val="00840F4E"/>
    <w:rsid w:val="008463FD"/>
    <w:rsid w:val="00853880"/>
    <w:rsid w:val="00856132"/>
    <w:rsid w:val="008649BB"/>
    <w:rsid w:val="008655EA"/>
    <w:rsid w:val="00867CA5"/>
    <w:rsid w:val="00873ECE"/>
    <w:rsid w:val="008740D4"/>
    <w:rsid w:val="00874708"/>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F1360"/>
    <w:rsid w:val="008F229B"/>
    <w:rsid w:val="008F2A6E"/>
    <w:rsid w:val="00903C18"/>
    <w:rsid w:val="00906E0C"/>
    <w:rsid w:val="00907943"/>
    <w:rsid w:val="00912194"/>
    <w:rsid w:val="009123AA"/>
    <w:rsid w:val="009127EC"/>
    <w:rsid w:val="00916E97"/>
    <w:rsid w:val="00920372"/>
    <w:rsid w:val="0092326A"/>
    <w:rsid w:val="009260D3"/>
    <w:rsid w:val="009316EC"/>
    <w:rsid w:val="009317CD"/>
    <w:rsid w:val="00934728"/>
    <w:rsid w:val="009644D9"/>
    <w:rsid w:val="0097131C"/>
    <w:rsid w:val="00972485"/>
    <w:rsid w:val="00973185"/>
    <w:rsid w:val="00982F5B"/>
    <w:rsid w:val="009870E4"/>
    <w:rsid w:val="00992BCC"/>
    <w:rsid w:val="009A12FA"/>
    <w:rsid w:val="009A564D"/>
    <w:rsid w:val="009B0D7B"/>
    <w:rsid w:val="009B3801"/>
    <w:rsid w:val="009B534D"/>
    <w:rsid w:val="009B591A"/>
    <w:rsid w:val="009C30FE"/>
    <w:rsid w:val="009C3E56"/>
    <w:rsid w:val="009C483C"/>
    <w:rsid w:val="009D2477"/>
    <w:rsid w:val="009D4A74"/>
    <w:rsid w:val="009D5253"/>
    <w:rsid w:val="009D5D79"/>
    <w:rsid w:val="009D64FE"/>
    <w:rsid w:val="009D75BB"/>
    <w:rsid w:val="009E0994"/>
    <w:rsid w:val="009E25E0"/>
    <w:rsid w:val="009E4452"/>
    <w:rsid w:val="009E7578"/>
    <w:rsid w:val="009E75B7"/>
    <w:rsid w:val="009F5C7B"/>
    <w:rsid w:val="00A031CE"/>
    <w:rsid w:val="00A04421"/>
    <w:rsid w:val="00A11A0D"/>
    <w:rsid w:val="00A22080"/>
    <w:rsid w:val="00A223D3"/>
    <w:rsid w:val="00A42079"/>
    <w:rsid w:val="00A531E8"/>
    <w:rsid w:val="00A573ED"/>
    <w:rsid w:val="00A60F08"/>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52CB"/>
    <w:rsid w:val="00AC5310"/>
    <w:rsid w:val="00AC7794"/>
    <w:rsid w:val="00AC7ECD"/>
    <w:rsid w:val="00AD009F"/>
    <w:rsid w:val="00AE6128"/>
    <w:rsid w:val="00AF54C5"/>
    <w:rsid w:val="00AF56FD"/>
    <w:rsid w:val="00AF5EA0"/>
    <w:rsid w:val="00B066DA"/>
    <w:rsid w:val="00B072C0"/>
    <w:rsid w:val="00B10135"/>
    <w:rsid w:val="00B10769"/>
    <w:rsid w:val="00B118A2"/>
    <w:rsid w:val="00B133D0"/>
    <w:rsid w:val="00B15418"/>
    <w:rsid w:val="00B17165"/>
    <w:rsid w:val="00B1737C"/>
    <w:rsid w:val="00B1758C"/>
    <w:rsid w:val="00B17639"/>
    <w:rsid w:val="00B23E58"/>
    <w:rsid w:val="00B33C93"/>
    <w:rsid w:val="00B443CE"/>
    <w:rsid w:val="00B4555A"/>
    <w:rsid w:val="00B51CAF"/>
    <w:rsid w:val="00B53C56"/>
    <w:rsid w:val="00B60464"/>
    <w:rsid w:val="00B606EF"/>
    <w:rsid w:val="00B618F8"/>
    <w:rsid w:val="00B64133"/>
    <w:rsid w:val="00B72E2D"/>
    <w:rsid w:val="00B745CB"/>
    <w:rsid w:val="00B805BD"/>
    <w:rsid w:val="00B81DA7"/>
    <w:rsid w:val="00B873E2"/>
    <w:rsid w:val="00B91D3D"/>
    <w:rsid w:val="00B94E7D"/>
    <w:rsid w:val="00B97F08"/>
    <w:rsid w:val="00BA4663"/>
    <w:rsid w:val="00BA696B"/>
    <w:rsid w:val="00BA7212"/>
    <w:rsid w:val="00BC5F45"/>
    <w:rsid w:val="00BC71D6"/>
    <w:rsid w:val="00BD4C85"/>
    <w:rsid w:val="00BE1EFD"/>
    <w:rsid w:val="00BE456E"/>
    <w:rsid w:val="00BF3137"/>
    <w:rsid w:val="00C02ECE"/>
    <w:rsid w:val="00C06AC7"/>
    <w:rsid w:val="00C13E0F"/>
    <w:rsid w:val="00C2031B"/>
    <w:rsid w:val="00C2080D"/>
    <w:rsid w:val="00C228D6"/>
    <w:rsid w:val="00C240C3"/>
    <w:rsid w:val="00C25562"/>
    <w:rsid w:val="00C265C5"/>
    <w:rsid w:val="00C27B89"/>
    <w:rsid w:val="00C43DDB"/>
    <w:rsid w:val="00C46720"/>
    <w:rsid w:val="00C575E9"/>
    <w:rsid w:val="00C62202"/>
    <w:rsid w:val="00C6240E"/>
    <w:rsid w:val="00C647F2"/>
    <w:rsid w:val="00C66C6C"/>
    <w:rsid w:val="00C706BF"/>
    <w:rsid w:val="00C70FDD"/>
    <w:rsid w:val="00C73A39"/>
    <w:rsid w:val="00C80C0D"/>
    <w:rsid w:val="00C82E4D"/>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E7723"/>
    <w:rsid w:val="00CE7903"/>
    <w:rsid w:val="00CF6C71"/>
    <w:rsid w:val="00CF7A9A"/>
    <w:rsid w:val="00D00D60"/>
    <w:rsid w:val="00D017E5"/>
    <w:rsid w:val="00D01A19"/>
    <w:rsid w:val="00D04FF1"/>
    <w:rsid w:val="00D1367C"/>
    <w:rsid w:val="00D14B3E"/>
    <w:rsid w:val="00D1582A"/>
    <w:rsid w:val="00D17FB1"/>
    <w:rsid w:val="00D21BE4"/>
    <w:rsid w:val="00D309C4"/>
    <w:rsid w:val="00D32D2F"/>
    <w:rsid w:val="00D341CA"/>
    <w:rsid w:val="00D41AF4"/>
    <w:rsid w:val="00D45E53"/>
    <w:rsid w:val="00D47039"/>
    <w:rsid w:val="00D55EAF"/>
    <w:rsid w:val="00D63655"/>
    <w:rsid w:val="00D66257"/>
    <w:rsid w:val="00D673AD"/>
    <w:rsid w:val="00D75630"/>
    <w:rsid w:val="00D762B2"/>
    <w:rsid w:val="00D842AA"/>
    <w:rsid w:val="00D86D76"/>
    <w:rsid w:val="00D87130"/>
    <w:rsid w:val="00D93E0B"/>
    <w:rsid w:val="00DA7546"/>
    <w:rsid w:val="00DB4E25"/>
    <w:rsid w:val="00DB6FBE"/>
    <w:rsid w:val="00DD145E"/>
    <w:rsid w:val="00DD29E1"/>
    <w:rsid w:val="00DD334E"/>
    <w:rsid w:val="00DE02C4"/>
    <w:rsid w:val="00DF164D"/>
    <w:rsid w:val="00DF1796"/>
    <w:rsid w:val="00DF270D"/>
    <w:rsid w:val="00DF3137"/>
    <w:rsid w:val="00DF3B28"/>
    <w:rsid w:val="00DF56EC"/>
    <w:rsid w:val="00E020F2"/>
    <w:rsid w:val="00E12059"/>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72567"/>
    <w:rsid w:val="00E7672C"/>
    <w:rsid w:val="00E771D2"/>
    <w:rsid w:val="00E80EDB"/>
    <w:rsid w:val="00E84794"/>
    <w:rsid w:val="00E847DF"/>
    <w:rsid w:val="00E90013"/>
    <w:rsid w:val="00E928BB"/>
    <w:rsid w:val="00E93488"/>
    <w:rsid w:val="00EA0CCD"/>
    <w:rsid w:val="00EA28CA"/>
    <w:rsid w:val="00EA4444"/>
    <w:rsid w:val="00EA6A01"/>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2969"/>
    <w:rsid w:val="00F55F14"/>
    <w:rsid w:val="00F622ED"/>
    <w:rsid w:val="00F65EEA"/>
    <w:rsid w:val="00F776D3"/>
    <w:rsid w:val="00F90537"/>
    <w:rsid w:val="00F91733"/>
    <w:rsid w:val="00F920DB"/>
    <w:rsid w:val="00F95209"/>
    <w:rsid w:val="00F964AD"/>
    <w:rsid w:val="00FB3956"/>
    <w:rsid w:val="00FC0F8B"/>
    <w:rsid w:val="00FC24AF"/>
    <w:rsid w:val="00FD6B0E"/>
    <w:rsid w:val="00FE1B77"/>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BF56F0-9B0F-4B21-B655-50F532AD8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4080</TotalTime>
  <Pages>10</Pages>
  <Words>1697</Words>
  <Characters>9676</Characters>
  <Application>Microsoft Office Word</Application>
  <DocSecurity>0</DocSecurity>
  <Lines>80</Lines>
  <Paragraphs>22</Paragraphs>
  <ScaleCrop>false</ScaleCrop>
  <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103</cp:revision>
  <cp:lastPrinted>2023-06-08T02:23:00Z</cp:lastPrinted>
  <dcterms:created xsi:type="dcterms:W3CDTF">2022-11-15T10:06:00Z</dcterms:created>
  <dcterms:modified xsi:type="dcterms:W3CDTF">2023-10-11T02:59:00Z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