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686B2A"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686B2A" w:rsidRPr="00982A41">
            <w:rPr>
              <w:rStyle w:val="a9"/>
              <w:noProof/>
            </w:rPr>
            <w:fldChar w:fldCharType="begin"/>
          </w:r>
          <w:r w:rsidR="00686B2A" w:rsidRPr="00982A41">
            <w:rPr>
              <w:rStyle w:val="a9"/>
              <w:noProof/>
            </w:rPr>
            <w:instrText xml:space="preserve"> </w:instrText>
          </w:r>
          <w:r w:rsidR="00686B2A">
            <w:rPr>
              <w:noProof/>
            </w:rPr>
            <w:instrText>HYPERLINK \l "_Toc147825553"</w:instrText>
          </w:r>
          <w:r w:rsidR="00686B2A" w:rsidRPr="00982A41">
            <w:rPr>
              <w:rStyle w:val="a9"/>
              <w:noProof/>
            </w:rPr>
            <w:instrText xml:space="preserve"> </w:instrText>
          </w:r>
          <w:r w:rsidR="00686B2A" w:rsidRPr="00982A41">
            <w:rPr>
              <w:rStyle w:val="a9"/>
              <w:noProof/>
            </w:rPr>
          </w:r>
          <w:r w:rsidR="00686B2A" w:rsidRPr="00982A41">
            <w:rPr>
              <w:rStyle w:val="a9"/>
              <w:noProof/>
            </w:rPr>
            <w:fldChar w:fldCharType="separate"/>
          </w:r>
          <w:r w:rsidR="00686B2A" w:rsidRPr="00982A41">
            <w:rPr>
              <w:rStyle w:val="a9"/>
              <w:rFonts w:ascii="Times New Roman" w:eastAsia="楷体" w:hAnsi="Times New Roman"/>
              <w:b/>
              <w:noProof/>
            </w:rPr>
            <w:t>[</w:t>
          </w:r>
          <w:r w:rsidR="00686B2A" w:rsidRPr="00982A41">
            <w:rPr>
              <w:rStyle w:val="a9"/>
              <w:rFonts w:ascii="Times New Roman" w:eastAsia="楷体" w:hAnsi="Times New Roman"/>
              <w:b/>
              <w:noProof/>
            </w:rPr>
            <w:t>金融</w:t>
          </w:r>
          <w:r w:rsidR="00686B2A" w:rsidRPr="00982A41">
            <w:rPr>
              <w:rStyle w:val="a9"/>
              <w:rFonts w:ascii="Times New Roman" w:eastAsia="楷体" w:hAnsi="Times New Roman"/>
              <w:b/>
              <w:noProof/>
            </w:rPr>
            <w:t>]</w:t>
          </w:r>
          <w:r w:rsidR="00686B2A" w:rsidRPr="00982A41">
            <w:rPr>
              <w:rStyle w:val="a9"/>
              <w:noProof/>
            </w:rPr>
            <w:fldChar w:fldCharType="end"/>
          </w:r>
        </w:p>
        <w:p w:rsidR="00686B2A" w:rsidRDefault="00686B2A">
          <w:pPr>
            <w:pStyle w:val="23"/>
            <w:tabs>
              <w:tab w:val="right" w:leader="dot" w:pos="8296"/>
            </w:tabs>
            <w:rPr>
              <w:rFonts w:eastAsiaTheme="minorEastAsia"/>
              <w:noProof/>
              <w:szCs w:val="22"/>
            </w:rPr>
          </w:pPr>
          <w:hyperlink w:anchor="_Toc147825554" w:history="1">
            <w:r w:rsidRPr="00982A41">
              <w:rPr>
                <w:rStyle w:val="a9"/>
                <w:rFonts w:ascii="Times New Roman" w:eastAsia="楷体" w:hAnsi="Times New Roman"/>
                <w:b/>
                <w:noProof/>
              </w:rPr>
              <w:t>股指：</w:t>
            </w:r>
            <w:r w:rsidRPr="00982A41">
              <w:rPr>
                <w:rStyle w:val="a9"/>
                <w:rFonts w:ascii="Times New Roman" w:eastAsia="楷体" w:hAnsi="Times New Roman"/>
                <w:b/>
                <w:noProof/>
              </w:rPr>
              <w:t>IM</w:t>
            </w:r>
            <w:r w:rsidRPr="00982A41">
              <w:rPr>
                <w:rStyle w:val="a9"/>
                <w:rFonts w:ascii="Times New Roman" w:eastAsia="楷体" w:hAnsi="Times New Roman"/>
                <w:b/>
                <w:noProof/>
              </w:rPr>
              <w:t>多单持有</w:t>
            </w:r>
          </w:hyperlink>
        </w:p>
        <w:p w:rsidR="00686B2A" w:rsidRDefault="00686B2A">
          <w:pPr>
            <w:pStyle w:val="11"/>
            <w:tabs>
              <w:tab w:val="right" w:leader="dot" w:pos="8296"/>
            </w:tabs>
            <w:rPr>
              <w:rFonts w:eastAsiaTheme="minorEastAsia"/>
              <w:noProof/>
              <w:szCs w:val="22"/>
            </w:rPr>
          </w:pPr>
          <w:hyperlink w:anchor="_Toc147825555" w:history="1">
            <w:r w:rsidRPr="00982A41">
              <w:rPr>
                <w:rStyle w:val="a9"/>
                <w:rFonts w:ascii="Times New Roman" w:eastAsia="楷体" w:hAnsi="Times New Roman"/>
                <w:b/>
                <w:noProof/>
              </w:rPr>
              <w:t>[</w:t>
            </w:r>
            <w:r w:rsidRPr="00982A41">
              <w:rPr>
                <w:rStyle w:val="a9"/>
                <w:rFonts w:ascii="Times New Roman" w:eastAsia="楷体" w:hAnsi="Times New Roman"/>
                <w:b/>
                <w:noProof/>
              </w:rPr>
              <w:t>贵金属</w:t>
            </w:r>
            <w:r w:rsidRPr="00982A41">
              <w:rPr>
                <w:rStyle w:val="a9"/>
                <w:rFonts w:ascii="Times New Roman" w:eastAsia="楷体" w:hAnsi="Times New Roman"/>
                <w:b/>
                <w:noProof/>
              </w:rPr>
              <w:t>]</w:t>
            </w:r>
          </w:hyperlink>
        </w:p>
        <w:p w:rsidR="00686B2A" w:rsidRDefault="00686B2A">
          <w:pPr>
            <w:pStyle w:val="23"/>
            <w:tabs>
              <w:tab w:val="right" w:leader="dot" w:pos="8296"/>
            </w:tabs>
            <w:rPr>
              <w:rFonts w:eastAsiaTheme="minorEastAsia"/>
              <w:noProof/>
              <w:szCs w:val="22"/>
            </w:rPr>
          </w:pPr>
          <w:hyperlink w:anchor="_Toc147825556" w:history="1">
            <w:r w:rsidRPr="00982A41">
              <w:rPr>
                <w:rStyle w:val="a9"/>
                <w:rFonts w:ascii="Times New Roman" w:eastAsia="楷体" w:hAnsi="Times New Roman"/>
                <w:b/>
                <w:noProof/>
              </w:rPr>
              <w:t>贵金属：地缘冲突升级，外盘贵金属价格反弹</w:t>
            </w:r>
          </w:hyperlink>
        </w:p>
        <w:p w:rsidR="00686B2A" w:rsidRDefault="00686B2A">
          <w:pPr>
            <w:pStyle w:val="11"/>
            <w:tabs>
              <w:tab w:val="right" w:leader="dot" w:pos="8296"/>
            </w:tabs>
            <w:rPr>
              <w:rFonts w:eastAsiaTheme="minorEastAsia"/>
              <w:noProof/>
              <w:szCs w:val="22"/>
            </w:rPr>
          </w:pPr>
          <w:hyperlink w:anchor="_Toc147825557" w:history="1">
            <w:r w:rsidRPr="00982A41">
              <w:rPr>
                <w:rStyle w:val="a9"/>
                <w:rFonts w:ascii="Times New Roman" w:eastAsia="楷体" w:hAnsi="Times New Roman"/>
                <w:b/>
                <w:noProof/>
              </w:rPr>
              <w:t>[</w:t>
            </w:r>
            <w:r w:rsidRPr="00982A41">
              <w:rPr>
                <w:rStyle w:val="a9"/>
                <w:rFonts w:ascii="Times New Roman" w:eastAsia="楷体" w:hAnsi="Times New Roman"/>
                <w:b/>
                <w:noProof/>
              </w:rPr>
              <w:t>金属</w:t>
            </w:r>
            <w:r w:rsidRPr="00982A41">
              <w:rPr>
                <w:rStyle w:val="a9"/>
                <w:rFonts w:ascii="Times New Roman" w:eastAsia="楷体" w:hAnsi="Times New Roman"/>
                <w:b/>
                <w:noProof/>
              </w:rPr>
              <w:t>]</w:t>
            </w:r>
          </w:hyperlink>
        </w:p>
        <w:p w:rsidR="00686B2A" w:rsidRDefault="00686B2A">
          <w:pPr>
            <w:pStyle w:val="23"/>
            <w:tabs>
              <w:tab w:val="right" w:leader="dot" w:pos="8296"/>
            </w:tabs>
            <w:rPr>
              <w:rFonts w:eastAsiaTheme="minorEastAsia"/>
              <w:noProof/>
              <w:szCs w:val="22"/>
            </w:rPr>
          </w:pPr>
          <w:hyperlink w:anchor="_Toc147825558" w:history="1">
            <w:r w:rsidRPr="00982A41">
              <w:rPr>
                <w:rStyle w:val="a9"/>
                <w:rFonts w:ascii="楷体" w:eastAsia="楷体" w:hAnsi="楷体"/>
                <w:b/>
                <w:noProof/>
              </w:rPr>
              <w:t>碳酸锂：下游采购偏谨慎，锂价持稳运行</w:t>
            </w:r>
          </w:hyperlink>
        </w:p>
        <w:p w:rsidR="00686B2A" w:rsidRDefault="00686B2A">
          <w:pPr>
            <w:pStyle w:val="23"/>
            <w:tabs>
              <w:tab w:val="right" w:leader="dot" w:pos="8296"/>
            </w:tabs>
            <w:rPr>
              <w:rFonts w:eastAsiaTheme="minorEastAsia"/>
              <w:noProof/>
              <w:szCs w:val="22"/>
            </w:rPr>
          </w:pPr>
          <w:hyperlink w:anchor="_Toc147825559" w:history="1">
            <w:r w:rsidRPr="00982A41">
              <w:rPr>
                <w:rStyle w:val="a9"/>
                <w:rFonts w:ascii="楷体" w:eastAsia="楷体" w:hAnsi="楷体"/>
                <w:b/>
                <w:noProof/>
              </w:rPr>
              <w:t>螺纹钢：节后量价表现一般，或承压运行</w:t>
            </w:r>
          </w:hyperlink>
        </w:p>
        <w:p w:rsidR="00686B2A" w:rsidRDefault="00686B2A">
          <w:pPr>
            <w:pStyle w:val="23"/>
            <w:tabs>
              <w:tab w:val="right" w:leader="dot" w:pos="8296"/>
            </w:tabs>
            <w:rPr>
              <w:rFonts w:eastAsiaTheme="minorEastAsia"/>
              <w:noProof/>
              <w:szCs w:val="22"/>
            </w:rPr>
          </w:pPr>
          <w:hyperlink w:anchor="_Toc147825560" w:history="1">
            <w:r w:rsidRPr="00982A41">
              <w:rPr>
                <w:rStyle w:val="a9"/>
                <w:rFonts w:ascii="楷体" w:eastAsia="楷体" w:hAnsi="楷体"/>
                <w:b/>
                <w:noProof/>
              </w:rPr>
              <w:t>焦炭：现货偏强运行，成材压力或导致基差走强</w:t>
            </w:r>
          </w:hyperlink>
        </w:p>
        <w:p w:rsidR="00686B2A" w:rsidRDefault="00686B2A">
          <w:pPr>
            <w:pStyle w:val="23"/>
            <w:tabs>
              <w:tab w:val="right" w:leader="dot" w:pos="8296"/>
            </w:tabs>
            <w:rPr>
              <w:rFonts w:eastAsiaTheme="minorEastAsia"/>
              <w:noProof/>
              <w:szCs w:val="22"/>
            </w:rPr>
          </w:pPr>
          <w:hyperlink w:anchor="_Toc147825561" w:history="1">
            <w:r w:rsidRPr="00982A41">
              <w:rPr>
                <w:rStyle w:val="a9"/>
                <w:rFonts w:ascii="楷体" w:eastAsia="楷体" w:hAnsi="楷体"/>
                <w:b/>
                <w:noProof/>
              </w:rPr>
              <w:t>焦煤：供应支撑现货价格，成材压力或导致基差走强</w:t>
            </w:r>
          </w:hyperlink>
        </w:p>
        <w:p w:rsidR="00686B2A" w:rsidRDefault="00686B2A">
          <w:pPr>
            <w:pStyle w:val="23"/>
            <w:tabs>
              <w:tab w:val="right" w:leader="dot" w:pos="8296"/>
            </w:tabs>
            <w:rPr>
              <w:rFonts w:eastAsiaTheme="minorEastAsia"/>
              <w:noProof/>
              <w:szCs w:val="22"/>
            </w:rPr>
          </w:pPr>
          <w:hyperlink w:anchor="_Toc147825562" w:history="1">
            <w:r w:rsidRPr="00982A41">
              <w:rPr>
                <w:rStyle w:val="a9"/>
                <w:rFonts w:ascii="楷体" w:eastAsia="楷体" w:hAnsi="楷体"/>
                <w:b/>
                <w:noProof/>
              </w:rPr>
              <w:t>铜：震荡承压运行</w:t>
            </w:r>
          </w:hyperlink>
        </w:p>
        <w:p w:rsidR="00686B2A" w:rsidRDefault="00686B2A">
          <w:pPr>
            <w:pStyle w:val="23"/>
            <w:tabs>
              <w:tab w:val="right" w:leader="dot" w:pos="8296"/>
            </w:tabs>
            <w:rPr>
              <w:rFonts w:eastAsiaTheme="minorEastAsia"/>
              <w:noProof/>
              <w:szCs w:val="22"/>
            </w:rPr>
          </w:pPr>
          <w:hyperlink w:anchor="_Toc147825563" w:history="1">
            <w:r w:rsidRPr="00982A41">
              <w:rPr>
                <w:rStyle w:val="a9"/>
                <w:rFonts w:ascii="楷体" w:eastAsia="楷体" w:hAnsi="楷体"/>
                <w:b/>
                <w:noProof/>
              </w:rPr>
              <w:t>铝：铝价上行驱动有限，短期价格或有承压</w:t>
            </w:r>
          </w:hyperlink>
        </w:p>
        <w:p w:rsidR="00686B2A" w:rsidRDefault="00686B2A">
          <w:pPr>
            <w:pStyle w:val="23"/>
            <w:tabs>
              <w:tab w:val="right" w:leader="dot" w:pos="8296"/>
            </w:tabs>
            <w:rPr>
              <w:rFonts w:eastAsiaTheme="minorEastAsia"/>
              <w:noProof/>
              <w:szCs w:val="22"/>
            </w:rPr>
          </w:pPr>
          <w:hyperlink w:anchor="_Toc147825564" w:history="1">
            <w:r w:rsidRPr="00982A41">
              <w:rPr>
                <w:rStyle w:val="a9"/>
                <w:rFonts w:ascii="楷体" w:eastAsia="楷体" w:hAnsi="楷体"/>
                <w:b/>
                <w:noProof/>
              </w:rPr>
              <w:t>锌：锌价高位震荡运行</w:t>
            </w:r>
          </w:hyperlink>
        </w:p>
        <w:p w:rsidR="00686B2A" w:rsidRDefault="00686B2A">
          <w:pPr>
            <w:pStyle w:val="23"/>
            <w:tabs>
              <w:tab w:val="right" w:leader="dot" w:pos="8296"/>
            </w:tabs>
            <w:rPr>
              <w:rFonts w:eastAsiaTheme="minorEastAsia"/>
              <w:noProof/>
              <w:szCs w:val="22"/>
            </w:rPr>
          </w:pPr>
          <w:hyperlink w:anchor="_Toc147825565" w:history="1">
            <w:r w:rsidRPr="00982A41">
              <w:rPr>
                <w:rStyle w:val="a9"/>
                <w:rFonts w:ascii="楷体" w:eastAsia="楷体" w:hAnsi="楷体"/>
                <w:b/>
                <w:noProof/>
              </w:rPr>
              <w:t>镍：宏观情绪边际好转，但弱势基本面对镍价形成拖累</w:t>
            </w:r>
          </w:hyperlink>
        </w:p>
        <w:p w:rsidR="00686B2A" w:rsidRDefault="00686B2A">
          <w:pPr>
            <w:pStyle w:val="23"/>
            <w:tabs>
              <w:tab w:val="right" w:leader="dot" w:pos="8296"/>
            </w:tabs>
            <w:rPr>
              <w:rFonts w:eastAsiaTheme="minorEastAsia"/>
              <w:noProof/>
              <w:szCs w:val="22"/>
            </w:rPr>
          </w:pPr>
          <w:hyperlink w:anchor="_Toc147825566" w:history="1">
            <w:r w:rsidRPr="00982A41">
              <w:rPr>
                <w:rStyle w:val="a9"/>
                <w:rFonts w:ascii="楷体" w:eastAsia="楷体" w:hAnsi="楷体"/>
                <w:b/>
                <w:noProof/>
              </w:rPr>
              <w:t>铅：铝价上方压力仍存</w:t>
            </w:r>
          </w:hyperlink>
        </w:p>
        <w:p w:rsidR="00686B2A" w:rsidRDefault="00686B2A">
          <w:pPr>
            <w:pStyle w:val="23"/>
            <w:tabs>
              <w:tab w:val="right" w:leader="dot" w:pos="8296"/>
            </w:tabs>
            <w:rPr>
              <w:rFonts w:eastAsiaTheme="minorEastAsia"/>
              <w:noProof/>
              <w:szCs w:val="22"/>
            </w:rPr>
          </w:pPr>
          <w:hyperlink w:anchor="_Toc147825567" w:history="1">
            <w:r w:rsidRPr="00982A41">
              <w:rPr>
                <w:rStyle w:val="a9"/>
                <w:rFonts w:ascii="楷体" w:eastAsia="楷体" w:hAnsi="楷体"/>
                <w:b/>
                <w:noProof/>
              </w:rPr>
              <w:t>不锈钢：供需两端均边际转弱，短期或震荡偏弱运行</w:t>
            </w:r>
          </w:hyperlink>
        </w:p>
        <w:p w:rsidR="00686B2A" w:rsidRDefault="00686B2A">
          <w:pPr>
            <w:pStyle w:val="23"/>
            <w:tabs>
              <w:tab w:val="right" w:leader="dot" w:pos="8296"/>
            </w:tabs>
            <w:rPr>
              <w:rFonts w:eastAsiaTheme="minorEastAsia"/>
              <w:noProof/>
              <w:szCs w:val="22"/>
            </w:rPr>
          </w:pPr>
          <w:hyperlink w:anchor="_Toc147825568" w:history="1">
            <w:r w:rsidRPr="00982A41">
              <w:rPr>
                <w:rStyle w:val="a9"/>
                <w:rFonts w:ascii="楷体" w:eastAsia="楷体" w:hAnsi="楷体"/>
                <w:b/>
                <w:noProof/>
              </w:rPr>
              <w:t>工业硅：成本存在抬升预期，短期市场或有支撑</w:t>
            </w:r>
          </w:hyperlink>
        </w:p>
        <w:p w:rsidR="00686B2A" w:rsidRDefault="00686B2A">
          <w:pPr>
            <w:pStyle w:val="11"/>
            <w:tabs>
              <w:tab w:val="right" w:leader="dot" w:pos="8296"/>
            </w:tabs>
            <w:rPr>
              <w:rFonts w:eastAsiaTheme="minorEastAsia"/>
              <w:noProof/>
              <w:szCs w:val="22"/>
            </w:rPr>
          </w:pPr>
          <w:hyperlink w:anchor="_Toc147825569" w:history="1">
            <w:r w:rsidRPr="00982A41">
              <w:rPr>
                <w:rStyle w:val="a9"/>
                <w:rFonts w:ascii="Times New Roman" w:eastAsia="楷体" w:hAnsi="Times New Roman"/>
                <w:b/>
                <w:noProof/>
              </w:rPr>
              <w:t>[</w:t>
            </w:r>
            <w:r w:rsidRPr="00982A41">
              <w:rPr>
                <w:rStyle w:val="a9"/>
                <w:rFonts w:ascii="Times New Roman" w:eastAsia="楷体" w:hAnsi="Times New Roman"/>
                <w:b/>
                <w:noProof/>
              </w:rPr>
              <w:t>化工</w:t>
            </w:r>
            <w:r w:rsidRPr="00982A41">
              <w:rPr>
                <w:rStyle w:val="a9"/>
                <w:rFonts w:ascii="Times New Roman" w:eastAsia="楷体" w:hAnsi="Times New Roman"/>
                <w:b/>
                <w:noProof/>
              </w:rPr>
              <w:t>]</w:t>
            </w:r>
          </w:hyperlink>
        </w:p>
        <w:p w:rsidR="00686B2A" w:rsidRDefault="00686B2A">
          <w:pPr>
            <w:pStyle w:val="23"/>
            <w:tabs>
              <w:tab w:val="right" w:leader="dot" w:pos="8296"/>
            </w:tabs>
            <w:rPr>
              <w:rFonts w:eastAsiaTheme="minorEastAsia"/>
              <w:noProof/>
              <w:szCs w:val="22"/>
            </w:rPr>
          </w:pPr>
          <w:hyperlink w:anchor="_Toc147825570" w:history="1">
            <w:r w:rsidRPr="00982A41">
              <w:rPr>
                <w:rStyle w:val="a9"/>
                <w:rFonts w:ascii="Times New Roman" w:eastAsia="楷体" w:hAnsi="Times New Roman"/>
                <w:b/>
                <w:noProof/>
              </w:rPr>
              <w:t>天然橡胶</w:t>
            </w:r>
            <w:r w:rsidRPr="00982A41">
              <w:rPr>
                <w:rStyle w:val="a9"/>
                <w:rFonts w:ascii="Times New Roman" w:eastAsia="楷体" w:hAnsi="Times New Roman"/>
                <w:b/>
                <w:noProof/>
              </w:rPr>
              <w:t>:</w:t>
            </w:r>
            <w:r w:rsidRPr="00982A41">
              <w:rPr>
                <w:rStyle w:val="a9"/>
                <w:rFonts w:ascii="楷体" w:eastAsia="楷体" w:hAnsi="楷体"/>
                <w:b/>
                <w:noProof/>
              </w:rPr>
              <w:t xml:space="preserve"> 泰国原料价格坚挺叠加下游积极补库 天胶或小幅上涨</w:t>
            </w:r>
          </w:hyperlink>
        </w:p>
        <w:p w:rsidR="00686B2A" w:rsidRDefault="00686B2A">
          <w:pPr>
            <w:pStyle w:val="23"/>
            <w:tabs>
              <w:tab w:val="right" w:leader="dot" w:pos="8296"/>
            </w:tabs>
            <w:rPr>
              <w:rFonts w:eastAsiaTheme="minorEastAsia"/>
              <w:noProof/>
              <w:szCs w:val="22"/>
            </w:rPr>
          </w:pPr>
          <w:hyperlink w:anchor="_Toc147825571" w:history="1">
            <w:r w:rsidRPr="00982A41">
              <w:rPr>
                <w:rStyle w:val="a9"/>
                <w:rFonts w:ascii="楷体" w:eastAsia="楷体" w:hAnsi="楷体"/>
                <w:b/>
                <w:noProof/>
              </w:rPr>
              <w:t>PTA：跟随成本端回调 等待企稳</w:t>
            </w:r>
          </w:hyperlink>
        </w:p>
        <w:p w:rsidR="00686B2A" w:rsidRDefault="00686B2A">
          <w:pPr>
            <w:pStyle w:val="23"/>
            <w:tabs>
              <w:tab w:val="right" w:leader="dot" w:pos="8296"/>
            </w:tabs>
            <w:rPr>
              <w:rFonts w:eastAsiaTheme="minorEastAsia"/>
              <w:noProof/>
              <w:szCs w:val="22"/>
            </w:rPr>
          </w:pPr>
          <w:hyperlink w:anchor="_Toc147825572" w:history="1">
            <w:r w:rsidRPr="00982A41">
              <w:rPr>
                <w:rStyle w:val="a9"/>
                <w:rFonts w:ascii="楷体" w:eastAsia="楷体" w:hAnsi="楷体"/>
                <w:b/>
                <w:noProof/>
              </w:rPr>
              <w:t>PVC：高库存+弱复苏 驱动不足</w:t>
            </w:r>
          </w:hyperlink>
        </w:p>
        <w:p w:rsidR="00686B2A" w:rsidRDefault="00686B2A">
          <w:pPr>
            <w:pStyle w:val="23"/>
            <w:tabs>
              <w:tab w:val="right" w:leader="dot" w:pos="8296"/>
            </w:tabs>
            <w:rPr>
              <w:rFonts w:eastAsiaTheme="minorEastAsia"/>
              <w:noProof/>
              <w:szCs w:val="22"/>
            </w:rPr>
          </w:pPr>
          <w:hyperlink w:anchor="_Toc147825573" w:history="1">
            <w:r w:rsidRPr="00982A41">
              <w:rPr>
                <w:rStyle w:val="a9"/>
                <w:rFonts w:ascii="楷体" w:eastAsia="楷体" w:hAnsi="楷体"/>
                <w:b/>
                <w:noProof/>
              </w:rPr>
              <w:t>聚烯烃：供需支撑减弱 聚烯烃偏弱整理为主</w:t>
            </w:r>
          </w:hyperlink>
        </w:p>
        <w:p w:rsidR="00686B2A" w:rsidRDefault="00686B2A">
          <w:pPr>
            <w:pStyle w:val="23"/>
            <w:tabs>
              <w:tab w:val="right" w:leader="dot" w:pos="8296"/>
            </w:tabs>
            <w:rPr>
              <w:rFonts w:eastAsiaTheme="minorEastAsia"/>
              <w:noProof/>
              <w:szCs w:val="22"/>
            </w:rPr>
          </w:pPr>
          <w:hyperlink w:anchor="_Toc147825574" w:history="1">
            <w:r w:rsidRPr="00982A41">
              <w:rPr>
                <w:rStyle w:val="a9"/>
                <w:rFonts w:ascii="楷体" w:eastAsia="楷体" w:hAnsi="楷体"/>
                <w:b/>
                <w:noProof/>
              </w:rPr>
              <w:t>MEG：供应端压力增量明显 上行驱动不足</w:t>
            </w:r>
          </w:hyperlink>
        </w:p>
        <w:p w:rsidR="00686B2A" w:rsidRDefault="00686B2A">
          <w:pPr>
            <w:pStyle w:val="23"/>
            <w:tabs>
              <w:tab w:val="right" w:leader="dot" w:pos="8296"/>
            </w:tabs>
            <w:rPr>
              <w:rFonts w:eastAsiaTheme="minorEastAsia"/>
              <w:noProof/>
              <w:szCs w:val="22"/>
            </w:rPr>
          </w:pPr>
          <w:hyperlink w:anchor="_Toc147825575" w:history="1">
            <w:r w:rsidRPr="00982A41">
              <w:rPr>
                <w:rStyle w:val="a9"/>
                <w:rFonts w:ascii="楷体" w:eastAsia="楷体" w:hAnsi="楷体"/>
                <w:b/>
                <w:noProof/>
              </w:rPr>
              <w:t>玻璃：假期产销走强，关注持续性</w:t>
            </w:r>
          </w:hyperlink>
        </w:p>
        <w:p w:rsidR="00686B2A" w:rsidRDefault="00686B2A">
          <w:pPr>
            <w:pStyle w:val="23"/>
            <w:tabs>
              <w:tab w:val="right" w:leader="dot" w:pos="8296"/>
            </w:tabs>
            <w:rPr>
              <w:rFonts w:eastAsiaTheme="minorEastAsia"/>
              <w:noProof/>
              <w:szCs w:val="22"/>
            </w:rPr>
          </w:pPr>
          <w:hyperlink w:anchor="_Toc147825576" w:history="1">
            <w:r w:rsidRPr="00982A41">
              <w:rPr>
                <w:rStyle w:val="a9"/>
                <w:rFonts w:ascii="楷体" w:eastAsia="楷体" w:hAnsi="楷体"/>
                <w:b/>
                <w:noProof/>
              </w:rPr>
              <w:t>纯碱：现货松动，高空为主</w:t>
            </w:r>
          </w:hyperlink>
        </w:p>
        <w:p w:rsidR="00686B2A" w:rsidRDefault="00686B2A">
          <w:pPr>
            <w:pStyle w:val="11"/>
            <w:tabs>
              <w:tab w:val="right" w:leader="dot" w:pos="8296"/>
            </w:tabs>
            <w:rPr>
              <w:rFonts w:eastAsiaTheme="minorEastAsia"/>
              <w:noProof/>
              <w:szCs w:val="22"/>
            </w:rPr>
          </w:pPr>
          <w:hyperlink w:anchor="_Toc147825577" w:history="1">
            <w:r w:rsidRPr="00982A41">
              <w:rPr>
                <w:rStyle w:val="a9"/>
                <w:rFonts w:ascii="Times New Roman" w:eastAsia="楷体" w:hAnsi="Times New Roman"/>
                <w:b/>
                <w:noProof/>
              </w:rPr>
              <w:t>[</w:t>
            </w:r>
            <w:r w:rsidRPr="00982A41">
              <w:rPr>
                <w:rStyle w:val="a9"/>
                <w:rFonts w:ascii="Times New Roman" w:eastAsia="楷体" w:hAnsi="Times New Roman"/>
                <w:b/>
                <w:noProof/>
              </w:rPr>
              <w:t>农产品</w:t>
            </w:r>
            <w:r w:rsidRPr="00982A41">
              <w:rPr>
                <w:rStyle w:val="a9"/>
                <w:rFonts w:ascii="Times New Roman" w:eastAsia="楷体" w:hAnsi="Times New Roman"/>
                <w:b/>
                <w:noProof/>
              </w:rPr>
              <w:t>]</w:t>
            </w:r>
          </w:hyperlink>
        </w:p>
        <w:p w:rsidR="00686B2A" w:rsidRDefault="00686B2A">
          <w:pPr>
            <w:pStyle w:val="23"/>
            <w:tabs>
              <w:tab w:val="right" w:leader="dot" w:pos="8296"/>
            </w:tabs>
            <w:rPr>
              <w:rFonts w:eastAsiaTheme="minorEastAsia"/>
              <w:noProof/>
              <w:szCs w:val="22"/>
            </w:rPr>
          </w:pPr>
          <w:hyperlink w:anchor="_Toc147825578" w:history="1">
            <w:r w:rsidRPr="00982A41">
              <w:rPr>
                <w:rStyle w:val="a9"/>
                <w:rFonts w:ascii="楷体" w:eastAsia="楷体" w:hAnsi="楷体"/>
                <w:b/>
                <w:noProof/>
              </w:rPr>
              <w:t>豆粕/菜粕：供应压力下，延续弱势</w:t>
            </w:r>
          </w:hyperlink>
        </w:p>
        <w:p w:rsidR="00686B2A" w:rsidRDefault="00686B2A">
          <w:pPr>
            <w:pStyle w:val="23"/>
            <w:tabs>
              <w:tab w:val="right" w:leader="dot" w:pos="8296"/>
            </w:tabs>
            <w:rPr>
              <w:rFonts w:eastAsiaTheme="minorEastAsia"/>
              <w:noProof/>
              <w:szCs w:val="22"/>
            </w:rPr>
          </w:pPr>
          <w:hyperlink w:anchor="_Toc147825579" w:history="1">
            <w:r w:rsidRPr="00982A41">
              <w:rPr>
                <w:rStyle w:val="a9"/>
                <w:rFonts w:ascii="楷体" w:eastAsia="楷体" w:hAnsi="楷体"/>
                <w:b/>
                <w:noProof/>
              </w:rPr>
              <w:t>油脂：维持偏弱震荡</w:t>
            </w:r>
          </w:hyperlink>
        </w:p>
        <w:p w:rsidR="00686B2A" w:rsidRDefault="00686B2A">
          <w:pPr>
            <w:pStyle w:val="23"/>
            <w:tabs>
              <w:tab w:val="right" w:leader="dot" w:pos="8296"/>
            </w:tabs>
            <w:rPr>
              <w:rFonts w:eastAsiaTheme="minorEastAsia"/>
              <w:noProof/>
              <w:szCs w:val="22"/>
            </w:rPr>
          </w:pPr>
          <w:hyperlink w:anchor="_Toc147825580" w:history="1">
            <w:r w:rsidRPr="00982A41">
              <w:rPr>
                <w:rStyle w:val="a9"/>
                <w:rFonts w:ascii="楷体" w:eastAsia="楷体" w:hAnsi="楷体"/>
                <w:b/>
                <w:bCs/>
                <w:noProof/>
              </w:rPr>
              <w:t>玉米与淀粉：</w:t>
            </w:r>
            <w:r w:rsidRPr="00982A41">
              <w:rPr>
                <w:rStyle w:val="a9"/>
                <w:rFonts w:ascii="楷体" w:eastAsia="楷体" w:hAnsi="楷体"/>
                <w:b/>
                <w:noProof/>
              </w:rPr>
              <w:t>等待新作压力释放后的做多机会</w:t>
            </w:r>
          </w:hyperlink>
        </w:p>
        <w:p w:rsidR="00686B2A" w:rsidRDefault="00686B2A">
          <w:pPr>
            <w:pStyle w:val="23"/>
            <w:tabs>
              <w:tab w:val="right" w:leader="dot" w:pos="8296"/>
            </w:tabs>
            <w:rPr>
              <w:rFonts w:eastAsiaTheme="minorEastAsia"/>
              <w:noProof/>
              <w:szCs w:val="22"/>
            </w:rPr>
          </w:pPr>
          <w:hyperlink w:anchor="_Toc147825581" w:history="1">
            <w:r w:rsidRPr="00982A41">
              <w:rPr>
                <w:rStyle w:val="a9"/>
                <w:rFonts w:ascii="楷体" w:eastAsia="楷体" w:hAnsi="楷体"/>
                <w:b/>
                <w:bCs/>
                <w:noProof/>
              </w:rPr>
              <w:t>畜禽养殖：现货带动期价近弱远强分化运行</w:t>
            </w:r>
          </w:hyperlink>
        </w:p>
        <w:p w:rsidR="00686B2A" w:rsidRDefault="00686B2A">
          <w:pPr>
            <w:pStyle w:val="23"/>
            <w:tabs>
              <w:tab w:val="right" w:leader="dot" w:pos="8296"/>
            </w:tabs>
            <w:rPr>
              <w:rFonts w:eastAsiaTheme="minorEastAsia"/>
              <w:noProof/>
              <w:szCs w:val="22"/>
            </w:rPr>
          </w:pPr>
          <w:hyperlink w:anchor="_Toc147825582" w:history="1">
            <w:r w:rsidRPr="00982A41">
              <w:rPr>
                <w:rStyle w:val="a9"/>
                <w:rFonts w:ascii="楷体" w:eastAsia="楷体" w:hAnsi="楷体"/>
                <w:b/>
                <w:noProof/>
              </w:rPr>
              <w:t>郑棉：看跌期权卖权持有</w:t>
            </w:r>
          </w:hyperlink>
        </w:p>
        <w:p w:rsidR="00686B2A" w:rsidRDefault="00686B2A">
          <w:pPr>
            <w:pStyle w:val="23"/>
            <w:tabs>
              <w:tab w:val="right" w:leader="dot" w:pos="8296"/>
            </w:tabs>
            <w:rPr>
              <w:rFonts w:eastAsiaTheme="minorEastAsia"/>
              <w:noProof/>
              <w:szCs w:val="22"/>
            </w:rPr>
          </w:pPr>
          <w:hyperlink w:anchor="_Toc147825583" w:history="1">
            <w:r w:rsidRPr="00982A41">
              <w:rPr>
                <w:rStyle w:val="a9"/>
                <w:rFonts w:ascii="楷体" w:eastAsia="楷体" w:hAnsi="楷体"/>
                <w:b/>
                <w:noProof/>
              </w:rPr>
              <w:t>白糖：观望</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782555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7825554"/>
      <w:bookmarkEnd w:id="4"/>
      <w:r>
        <w:rPr>
          <w:rFonts w:ascii="Times New Roman" w:eastAsia="楷体" w:hAnsi="Times New Roman" w:hint="eastAsia"/>
          <w:b/>
          <w:color w:val="000000" w:themeColor="text1"/>
          <w:sz w:val="24"/>
          <w:szCs w:val="24"/>
        </w:rPr>
        <w:t>股指：</w:t>
      </w:r>
      <w:bookmarkEnd w:id="6"/>
      <w:bookmarkEnd w:id="7"/>
      <w:r w:rsidR="00DB4E25" w:rsidRPr="00DB4E25">
        <w:rPr>
          <w:rFonts w:ascii="Times New Roman" w:eastAsia="楷体" w:hAnsi="Times New Roman" w:hint="eastAsia"/>
          <w:b/>
          <w:color w:val="000000" w:themeColor="text1"/>
          <w:sz w:val="24"/>
          <w:szCs w:val="24"/>
        </w:rPr>
        <w:t>IM</w:t>
      </w:r>
      <w:r w:rsidR="00DB4E25" w:rsidRPr="00DB4E25">
        <w:rPr>
          <w:rFonts w:ascii="Times New Roman" w:eastAsia="楷体" w:hAnsi="Times New Roman" w:hint="eastAsia"/>
          <w:b/>
          <w:color w:val="000000" w:themeColor="text1"/>
          <w:sz w:val="24"/>
          <w:szCs w:val="24"/>
        </w:rPr>
        <w:t>多单持有</w:t>
      </w:r>
      <w:bookmarkEnd w:id="8"/>
    </w:p>
    <w:p w:rsidR="003F56A5" w:rsidRDefault="00DB4E25" w:rsidP="00D14B3E">
      <w:pPr>
        <w:ind w:leftChars="300" w:left="630"/>
        <w:rPr>
          <w:rFonts w:ascii="Times New Roman" w:eastAsia="楷体" w:hAnsi="Times New Roman"/>
          <w:color w:val="000000" w:themeColor="text1"/>
          <w:sz w:val="24"/>
          <w:szCs w:val="24"/>
        </w:rPr>
      </w:pPr>
      <w:r w:rsidRPr="00DB4E25">
        <w:rPr>
          <w:rFonts w:ascii="Times New Roman" w:eastAsia="楷体" w:hAnsi="Times New Roman" w:hint="eastAsia"/>
          <w:color w:val="000000" w:themeColor="text1"/>
          <w:sz w:val="24"/>
          <w:szCs w:val="24"/>
        </w:rPr>
        <w:t>海外金融约束及中东地缘局势变化对市场风险偏好有一定压制，国内经济基本面出现多重修复信号，市场底部有支撑，中美两国领导人会面，关注后续中美关系变化</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782555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7825556"/>
      <w:r>
        <w:rPr>
          <w:rFonts w:ascii="Times New Roman" w:eastAsia="楷体" w:hAnsi="Times New Roman" w:hint="eastAsia"/>
          <w:b/>
          <w:color w:val="000000" w:themeColor="text1"/>
          <w:sz w:val="24"/>
          <w:szCs w:val="24"/>
        </w:rPr>
        <w:t>贵金属：</w:t>
      </w:r>
      <w:r w:rsidR="00DB4E25" w:rsidRPr="00DB4E25">
        <w:rPr>
          <w:rFonts w:ascii="Times New Roman" w:eastAsia="楷体" w:hAnsi="Times New Roman" w:hint="eastAsia"/>
          <w:b/>
          <w:color w:val="000000" w:themeColor="text1"/>
          <w:sz w:val="24"/>
          <w:szCs w:val="24"/>
        </w:rPr>
        <w:t>地缘冲突升级，外盘贵金属价格反弹</w:t>
      </w:r>
      <w:bookmarkEnd w:id="10"/>
    </w:p>
    <w:p w:rsidR="003F56A5" w:rsidRDefault="00DB4E25">
      <w:pPr>
        <w:ind w:leftChars="300" w:left="630"/>
        <w:rPr>
          <w:rFonts w:ascii="Times New Roman" w:eastAsia="楷体" w:hAnsi="Times New Roman"/>
          <w:sz w:val="24"/>
          <w:szCs w:val="24"/>
        </w:rPr>
      </w:pPr>
      <w:r w:rsidRPr="00DB4E25">
        <w:rPr>
          <w:rFonts w:ascii="Times New Roman" w:eastAsia="楷体" w:hAnsi="Times New Roman" w:hint="eastAsia"/>
          <w:color w:val="000000" w:themeColor="text1"/>
          <w:sz w:val="24"/>
          <w:szCs w:val="24"/>
        </w:rPr>
        <w:t>近期中东地区地缘冲突升级，避险情绪升温，外盘</w:t>
      </w:r>
      <w:r w:rsidRPr="00DB4E25">
        <w:rPr>
          <w:rFonts w:ascii="Times New Roman" w:eastAsia="楷体" w:hAnsi="Times New Roman" w:hint="eastAsia"/>
          <w:color w:val="000000" w:themeColor="text1"/>
          <w:sz w:val="24"/>
          <w:szCs w:val="24"/>
        </w:rPr>
        <w:t>COMEX</w:t>
      </w:r>
      <w:r w:rsidRPr="00DB4E25">
        <w:rPr>
          <w:rFonts w:ascii="Times New Roman" w:eastAsia="楷体" w:hAnsi="Times New Roman" w:hint="eastAsia"/>
          <w:color w:val="000000" w:themeColor="text1"/>
          <w:sz w:val="24"/>
          <w:szCs w:val="24"/>
        </w:rPr>
        <w:t>金价于长期均线支撑位反弹，昨夜涨近</w:t>
      </w:r>
      <w:r w:rsidRPr="00DB4E25">
        <w:rPr>
          <w:rFonts w:ascii="Times New Roman" w:eastAsia="楷体" w:hAnsi="Times New Roman" w:hint="eastAsia"/>
          <w:color w:val="000000" w:themeColor="text1"/>
          <w:sz w:val="24"/>
          <w:szCs w:val="24"/>
        </w:rPr>
        <w:t>1%</w:t>
      </w:r>
      <w:r w:rsidRPr="00DB4E25">
        <w:rPr>
          <w:rFonts w:ascii="Times New Roman" w:eastAsia="楷体" w:hAnsi="Times New Roman" w:hint="eastAsia"/>
          <w:color w:val="000000" w:themeColor="text1"/>
          <w:sz w:val="24"/>
          <w:szCs w:val="24"/>
        </w:rPr>
        <w:t>；</w:t>
      </w:r>
      <w:r w:rsidRPr="00DB4E25">
        <w:rPr>
          <w:rFonts w:ascii="Times New Roman" w:eastAsia="楷体" w:hAnsi="Times New Roman" w:hint="eastAsia"/>
          <w:color w:val="000000" w:themeColor="text1"/>
          <w:sz w:val="24"/>
          <w:szCs w:val="24"/>
        </w:rPr>
        <w:t>COMEX</w:t>
      </w:r>
      <w:r w:rsidRPr="00DB4E25">
        <w:rPr>
          <w:rFonts w:ascii="Times New Roman" w:eastAsia="楷体" w:hAnsi="Times New Roman" w:hint="eastAsia"/>
          <w:color w:val="000000" w:themeColor="text1"/>
          <w:sz w:val="24"/>
          <w:szCs w:val="24"/>
        </w:rPr>
        <w:t>银价跟随金价小幅上行。联储官员最新表态偏鸽，美联储洛根表示，美国长期国债收益率大幅上行，期限溢价上升或意味着再次加息的必要性降低。美联储杰弗逊表示，关注美债收益率上升对经济的潜在抑制效应，评估额外加息可能性时应谨慎行事。留意周四美国</w:t>
      </w:r>
      <w:r w:rsidRPr="00DB4E25">
        <w:rPr>
          <w:rFonts w:ascii="Times New Roman" w:eastAsia="楷体" w:hAnsi="Times New Roman" w:hint="eastAsia"/>
          <w:color w:val="000000" w:themeColor="text1"/>
          <w:sz w:val="24"/>
          <w:szCs w:val="24"/>
        </w:rPr>
        <w:t>CPI</w:t>
      </w:r>
      <w:r w:rsidRPr="00DB4E25">
        <w:rPr>
          <w:rFonts w:ascii="Times New Roman" w:eastAsia="楷体" w:hAnsi="Times New Roman" w:hint="eastAsia"/>
          <w:color w:val="000000" w:themeColor="text1"/>
          <w:sz w:val="24"/>
          <w:szCs w:val="24"/>
        </w:rPr>
        <w:t>通胀数据更新及联储议息会议纪要，建议轻仓逢低试多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782555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7825558"/>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下游采购偏谨慎，锂价持稳运行</w:t>
      </w:r>
      <w:bookmarkEnd w:id="18"/>
    </w:p>
    <w:p w:rsidR="00F50569" w:rsidRDefault="00DB4E25" w:rsidP="00F50569">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现货价格持平，部分生产企业提锂成本倒挂，开工率下行，近期成本逻辑对锂价支撑较弱。乘联会预估，今年9月新能源乘用车厂商批发销量83万辆，同比增长23%，环比增长4%；初步测算今年1-9月累计批发592万辆，同比增长36%。近期锂企开工率下降。云母矿山近期或有所减产，锂辉石方面国内精矿价格持续下跌，海外精矿价格维持偏高抑制进口意愿。下游采购排期或有所延后，观望情绪维持浓厚，库存去化速度较缓，锂价或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7825559"/>
      <w:r>
        <w:rPr>
          <w:rFonts w:ascii="楷体" w:eastAsia="楷体" w:hAnsi="楷体" w:hint="eastAsia"/>
          <w:b/>
          <w:color w:val="000000" w:themeColor="text1"/>
          <w:sz w:val="24"/>
          <w:szCs w:val="24"/>
        </w:rPr>
        <w:t>螺纹钢：</w:t>
      </w:r>
      <w:bookmarkEnd w:id="16"/>
      <w:bookmarkEnd w:id="17"/>
      <w:r w:rsidR="00DB4E25" w:rsidRPr="00DB4E25">
        <w:rPr>
          <w:rFonts w:ascii="楷体" w:eastAsia="楷体" w:hAnsi="楷体" w:hint="eastAsia"/>
          <w:b/>
          <w:color w:val="000000" w:themeColor="text1"/>
          <w:sz w:val="24"/>
          <w:szCs w:val="24"/>
        </w:rPr>
        <w:t>节后量价表现一般，或承压运行</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DB4E25" w:rsidP="00201944">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当前供需矛盾并不大，成本利润矛盾更加突出，铁水缓慢下行，回调或相对曲折。当前成本端支撑仍较强，各环节库存不高，关注下游低价补库的意愿</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7825560"/>
      <w:r>
        <w:rPr>
          <w:rFonts w:ascii="楷体" w:eastAsia="楷体" w:hAnsi="楷体" w:hint="eastAsia"/>
          <w:b/>
          <w:color w:val="000000" w:themeColor="text1"/>
          <w:sz w:val="24"/>
          <w:szCs w:val="24"/>
        </w:rPr>
        <w:t>焦炭：</w:t>
      </w:r>
      <w:bookmarkEnd w:id="20"/>
      <w:bookmarkEnd w:id="21"/>
      <w:r w:rsidR="00DB4E25" w:rsidRPr="00DB4E25">
        <w:rPr>
          <w:rFonts w:ascii="楷体" w:eastAsia="楷体" w:hAnsi="楷体" w:hint="eastAsia"/>
          <w:b/>
          <w:color w:val="000000" w:themeColor="text1"/>
          <w:sz w:val="24"/>
          <w:szCs w:val="24"/>
        </w:rPr>
        <w:t>现货偏强运行，成材压力或导致基差走强</w:t>
      </w:r>
      <w:bookmarkEnd w:id="22"/>
    </w:p>
    <w:p w:rsidR="003F56A5" w:rsidRDefault="00DB4E25" w:rsidP="00572E35">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下游库存偏低，节后仍存在一定补库需求，现货价格或继续偏强运行。但成材价格及利润压力明显，原料上行驱动或转弱，盘面或回调调整估值，预计高位宽幅震荡运行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7825561"/>
      <w:r>
        <w:rPr>
          <w:rFonts w:ascii="楷体" w:eastAsia="楷体" w:hAnsi="楷体" w:hint="eastAsia"/>
          <w:b/>
          <w:color w:val="000000" w:themeColor="text1"/>
          <w:sz w:val="24"/>
          <w:szCs w:val="24"/>
        </w:rPr>
        <w:t>焦煤：</w:t>
      </w:r>
      <w:r w:rsidR="00DB4E25" w:rsidRPr="00DB4E25">
        <w:rPr>
          <w:rFonts w:ascii="楷体" w:eastAsia="楷体" w:hAnsi="楷体" w:hint="eastAsia"/>
          <w:b/>
          <w:sz w:val="24"/>
          <w:szCs w:val="24"/>
        </w:rPr>
        <w:t>供应支撑现货价格，成材压力或导致基差走强</w:t>
      </w:r>
      <w:bookmarkEnd w:id="23"/>
    </w:p>
    <w:p w:rsidR="003F56A5" w:rsidRDefault="00DB4E25">
      <w:pPr>
        <w:ind w:leftChars="300" w:left="630"/>
        <w:rPr>
          <w:rFonts w:ascii="楷体" w:eastAsia="楷体" w:hAnsi="楷体"/>
          <w:bCs/>
          <w:sz w:val="24"/>
          <w:szCs w:val="24"/>
        </w:rPr>
      </w:pPr>
      <w:r w:rsidRPr="00DB4E25">
        <w:rPr>
          <w:rFonts w:ascii="楷体" w:eastAsia="楷体" w:hAnsi="楷体" w:hint="eastAsia"/>
          <w:sz w:val="24"/>
          <w:szCs w:val="24"/>
        </w:rPr>
        <w:t>下游库存偏低，节中安全事故仍扰动供应，现货价格或继续偏强运行。但成材价格及利润压力明显，原料上行驱动或转弱，盘面或回调调整估值，</w:t>
      </w:r>
      <w:r w:rsidRPr="00DB4E25">
        <w:rPr>
          <w:rFonts w:ascii="楷体" w:eastAsia="楷体" w:hAnsi="楷体" w:hint="eastAsia"/>
          <w:sz w:val="24"/>
          <w:szCs w:val="24"/>
        </w:rPr>
        <w:lastRenderedPageBreak/>
        <w:t>预计高位宽幅震荡运行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7825562"/>
      <w:r>
        <w:rPr>
          <w:rFonts w:ascii="楷体" w:eastAsia="楷体" w:hAnsi="楷体" w:hint="eastAsia"/>
          <w:b/>
          <w:color w:val="000000" w:themeColor="text1"/>
          <w:sz w:val="24"/>
          <w:szCs w:val="24"/>
        </w:rPr>
        <w:t>铜：</w:t>
      </w:r>
      <w:bookmarkEnd w:id="24"/>
      <w:bookmarkEnd w:id="25"/>
      <w:r w:rsidR="00DB4E25" w:rsidRPr="00DB4E25">
        <w:rPr>
          <w:rFonts w:ascii="楷体" w:eastAsia="楷体" w:hAnsi="楷体" w:hint="eastAsia"/>
          <w:b/>
          <w:color w:val="000000" w:themeColor="text1"/>
          <w:sz w:val="24"/>
          <w:szCs w:val="24"/>
        </w:rPr>
        <w:t>震荡承压运行</w:t>
      </w:r>
      <w:bookmarkEnd w:id="26"/>
    </w:p>
    <w:p w:rsidR="00DB4E25" w:rsidRPr="00DB4E25" w:rsidRDefault="00DB4E25" w:rsidP="00DB4E25">
      <w:pPr>
        <w:ind w:leftChars="300" w:left="630"/>
        <w:rPr>
          <w:rFonts w:ascii="楷体" w:eastAsia="楷体" w:hAnsi="楷体" w:hint="eastAsia"/>
          <w:color w:val="000000" w:themeColor="text1"/>
          <w:sz w:val="24"/>
          <w:szCs w:val="24"/>
        </w:rPr>
      </w:pPr>
      <w:r w:rsidRPr="00DB4E25">
        <w:rPr>
          <w:rFonts w:ascii="楷体" w:eastAsia="楷体" w:hAnsi="楷体" w:hint="eastAsia"/>
          <w:color w:val="000000" w:themeColor="text1"/>
          <w:sz w:val="24"/>
          <w:szCs w:val="24"/>
        </w:rPr>
        <w:t>(1)库存：10月9日，SHFE仓单库存4725吨，增2317吨；LME仓单库存170475吨，增300吨。</w:t>
      </w:r>
    </w:p>
    <w:p w:rsidR="00DB4E25" w:rsidRPr="00DB4E25" w:rsidRDefault="00DB4E25" w:rsidP="00DB4E25">
      <w:pPr>
        <w:ind w:leftChars="300" w:left="630"/>
        <w:rPr>
          <w:rFonts w:ascii="楷体" w:eastAsia="楷体" w:hAnsi="楷体" w:hint="eastAsia"/>
          <w:color w:val="000000" w:themeColor="text1"/>
          <w:sz w:val="24"/>
          <w:szCs w:val="24"/>
        </w:rPr>
      </w:pPr>
      <w:r w:rsidRPr="00DB4E25">
        <w:rPr>
          <w:rFonts w:ascii="楷体" w:eastAsia="楷体" w:hAnsi="楷体" w:hint="eastAsia"/>
          <w:color w:val="000000" w:themeColor="text1"/>
          <w:sz w:val="24"/>
          <w:szCs w:val="24"/>
        </w:rPr>
        <w:t>(2)精废价差：10月9日，Mysteel精废价差730，收窄180。目前价差在合理价差1375之下。</w:t>
      </w:r>
    </w:p>
    <w:p w:rsidR="00DB4E25" w:rsidRPr="00DB4E25" w:rsidRDefault="00DB4E25" w:rsidP="00DB4E25">
      <w:pPr>
        <w:ind w:leftChars="300" w:left="630"/>
        <w:rPr>
          <w:rFonts w:ascii="楷体" w:eastAsia="楷体" w:hAnsi="楷体"/>
          <w:color w:val="000000" w:themeColor="text1"/>
          <w:sz w:val="24"/>
          <w:szCs w:val="24"/>
        </w:rPr>
      </w:pPr>
    </w:p>
    <w:p w:rsidR="00127803" w:rsidRPr="00127803" w:rsidRDefault="00DB4E25" w:rsidP="00DB4E25">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综述：宏观面，当前海外经济仍未见明显衰退迹象，美国相对良好的就业情况支撑货币紧缩将持续较长一段时间，美债利率及美元指数大概率仍将持续高位运行，给铜价带来压力。国内方面，稳增长政策仍在陆续出台，9月PMI数据进一步确认国内经济修复中，后续需重点关注节后地产销售数据能否改善，对市场情绪形成扰动。基本面，10月国内电解铜产量或维持高位，铜价下跌后需求或有所好转，但预计整体弹性有限，产业面对价格施压。铜价维持震荡承压运行，运行区间或下移，短期参考66000-67500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7825563"/>
      <w:r>
        <w:rPr>
          <w:rFonts w:ascii="楷体" w:eastAsia="楷体" w:hAnsi="楷体" w:hint="eastAsia"/>
          <w:b/>
          <w:color w:val="000000" w:themeColor="text1"/>
          <w:sz w:val="24"/>
          <w:szCs w:val="24"/>
        </w:rPr>
        <w:t>铝：</w:t>
      </w:r>
      <w:bookmarkEnd w:id="27"/>
      <w:bookmarkEnd w:id="28"/>
      <w:r w:rsidR="006C38A8" w:rsidRPr="006C38A8">
        <w:rPr>
          <w:rFonts w:ascii="楷体" w:eastAsia="楷体" w:hAnsi="楷体" w:hint="eastAsia"/>
          <w:b/>
          <w:color w:val="000000" w:themeColor="text1"/>
          <w:sz w:val="24"/>
          <w:szCs w:val="24"/>
        </w:rPr>
        <w:t>铝价上行驱动有限，短期价格或有承压</w:t>
      </w:r>
      <w:bookmarkEnd w:id="29"/>
    </w:p>
    <w:p w:rsidR="003F56A5" w:rsidRDefault="006C38A8" w:rsidP="00127803">
      <w:pPr>
        <w:ind w:leftChars="300" w:left="630"/>
        <w:rPr>
          <w:rFonts w:ascii="楷体" w:eastAsia="楷体" w:hAnsi="楷体"/>
          <w:color w:val="000000" w:themeColor="text1"/>
          <w:sz w:val="24"/>
          <w:szCs w:val="24"/>
        </w:rPr>
      </w:pPr>
      <w:r w:rsidRPr="006C38A8">
        <w:rPr>
          <w:rFonts w:ascii="楷体" w:eastAsia="楷体" w:hAnsi="楷体" w:hint="eastAsia"/>
          <w:color w:val="000000" w:themeColor="text1"/>
          <w:sz w:val="24"/>
          <w:szCs w:val="24"/>
        </w:rPr>
        <w:t>中秋国庆假期间，LME铝价先涨后跌，9月28日收盘价2280美金/吨，10月6日收盘2242美金/吨，下跌1.6%，LME铝（0-3）升贴水持续深幅。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7825564"/>
      <w:r>
        <w:rPr>
          <w:rFonts w:ascii="楷体" w:eastAsia="楷体" w:hAnsi="楷体" w:hint="eastAsia"/>
          <w:b/>
          <w:color w:val="000000" w:themeColor="text1"/>
          <w:sz w:val="24"/>
          <w:szCs w:val="24"/>
        </w:rPr>
        <w:t>锌：</w:t>
      </w:r>
      <w:r w:rsidR="00DB4E25" w:rsidRPr="00DB4E25">
        <w:rPr>
          <w:rFonts w:ascii="楷体" w:eastAsia="楷体" w:hAnsi="楷体" w:hint="eastAsia"/>
          <w:b/>
          <w:color w:val="000000" w:themeColor="text1"/>
          <w:sz w:val="24"/>
          <w:szCs w:val="24"/>
        </w:rPr>
        <w:t>锌价高位震荡运行</w:t>
      </w:r>
      <w:bookmarkEnd w:id="30"/>
    </w:p>
    <w:p w:rsidR="003F56A5" w:rsidRDefault="00DB4E25" w:rsidP="000B0648">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美元指数强势运行，原油价格走涨引发市场通胀担忧，大宗市场整体情绪偏弱。基本面上看，海外锌矿供应走紧，国内锌矿产量下行，前期部分冶炼厂家检修影响生产，随着检修逐步进入尾声，在近期锌价高位带来的高利润刺激之下，冶炼厂积极开产，目前厂内在节前备库之后原料储备较为充足，短期生产暂不受到上游供应收紧制约，另外进口锌盈利窗口打开，有效刺激锌锭进口，整体来看供应依旧偏松，但下游需求表现较为疲软，镀锌开工表现平稳但无明显增量，氧化锌、锌合金开工偏弱，节后下游交易或再度陷入清淡，目前海内外锌市库存保持绝对低库状态，社会库存持续去库，低库存支撑价格。节后锌价大概率高位调整运行，价格上下有限</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7825565"/>
      <w:r>
        <w:rPr>
          <w:rFonts w:ascii="楷体" w:eastAsia="楷体" w:hAnsi="楷体" w:hint="eastAsia"/>
          <w:b/>
          <w:color w:val="000000" w:themeColor="text1"/>
          <w:sz w:val="24"/>
          <w:szCs w:val="24"/>
        </w:rPr>
        <w:t>镍：</w:t>
      </w:r>
      <w:r w:rsidR="00DB4E25" w:rsidRPr="00DB4E25">
        <w:rPr>
          <w:rFonts w:ascii="楷体" w:eastAsia="楷体" w:hAnsi="楷体" w:hint="eastAsia"/>
          <w:b/>
          <w:color w:val="000000" w:themeColor="text1"/>
          <w:sz w:val="24"/>
          <w:szCs w:val="24"/>
        </w:rPr>
        <w:t>宏观情绪边际好转，但弱势基本面对镍价形成拖累</w:t>
      </w:r>
      <w:bookmarkEnd w:id="31"/>
    </w:p>
    <w:p w:rsidR="003F56A5" w:rsidRDefault="00DB4E25">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美联储副主席杰斐逊表示较高的美债收益率可能意味着加息需求的降低，</w:t>
      </w:r>
      <w:r w:rsidRPr="00DB4E25">
        <w:rPr>
          <w:rFonts w:ascii="楷体" w:eastAsia="楷体" w:hAnsi="楷体" w:hint="eastAsia"/>
          <w:color w:val="000000" w:themeColor="text1"/>
          <w:sz w:val="24"/>
          <w:szCs w:val="24"/>
        </w:rPr>
        <w:lastRenderedPageBreak/>
        <w:t>释放信号偏鸽派，海外宏观情绪边际好转；国内经济呈回升态势，关注即将公布的9月社融规模等数据。供应方面，由于精炼镍利润维持可观，精炼镍增量预期逐步兑现，据国际镍研究组织(INSG)的预测，2023年镍供应将出现22.3万吨的过剩。需求方面，部分不锈钢厂开始减产，新能源汽车等领域的需求也表现平平。库存方面，国内外镍库存皆呈累库趋势，体现了镍市场的供应压力。据Mysteel10月9日统计，中国精炼镍27库社会库存15638吨，较节前增加833吨，涨幅5.63%；LME镍增加1152吨至43134吨，增幅2.74%。综合来看，短期宏观情绪好转或拉动镍价小幅反弹，但在基本面弱势依旧的情况下，镍价承压运行</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7825566"/>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7825567"/>
      <w:r>
        <w:rPr>
          <w:rFonts w:ascii="楷体" w:eastAsia="楷体" w:hAnsi="楷体" w:hint="eastAsia"/>
          <w:b/>
          <w:color w:val="000000" w:themeColor="text1"/>
          <w:sz w:val="24"/>
          <w:szCs w:val="24"/>
        </w:rPr>
        <w:t>不锈钢：</w:t>
      </w:r>
      <w:r w:rsidR="00DB4E25" w:rsidRPr="00DB4E25">
        <w:rPr>
          <w:rFonts w:ascii="楷体" w:eastAsia="楷体" w:hAnsi="楷体" w:hint="eastAsia"/>
          <w:b/>
          <w:color w:val="000000" w:themeColor="text1"/>
          <w:sz w:val="24"/>
          <w:szCs w:val="24"/>
        </w:rPr>
        <w:t>供需两端均边际转弱，短期或震荡偏弱运行</w:t>
      </w:r>
      <w:bookmarkEnd w:id="33"/>
    </w:p>
    <w:p w:rsidR="003F56A5" w:rsidRDefault="00DB4E25">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宏观方面，在近期美债收益率飙升的情况下，美联储官员最新表态转鸽派，市场对美联储11月加息预期降低，海外宏观氛围好转。矿端，由于印尼年内不再新增镍矿配额，且菲律宾矿区将进入雨季，镍矿价格预计维持坚挺。自印尼RKAB事件落地后，镍铁价格高位回落，镍铁价格现在受到上下游双重挤压，但在部分减产和矿价成本支撑下，镍铁下跌幅度预计有限。供应端，钢厂在8月和9月的排产较高，但是传统旺季预期未有体现，且成本高企，冶炼利润出现亏损，部分钢厂减产检修。需求端表现疲弱，短期内难有较大起色，或拖累不锈钢价格。综合而言，在供需双弱态势下，短期不锈钢价格或震荡偏弱运行，但在生产成本支撑下，下行空间亦有限</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7825568"/>
      <w:r>
        <w:rPr>
          <w:rFonts w:ascii="楷体" w:eastAsia="楷体" w:hAnsi="楷体" w:hint="eastAsia"/>
          <w:b/>
          <w:color w:val="000000" w:themeColor="text1"/>
          <w:sz w:val="24"/>
          <w:szCs w:val="24"/>
        </w:rPr>
        <w:t>工业硅：</w:t>
      </w:r>
      <w:r w:rsidR="00DB4E25" w:rsidRPr="00DB4E25">
        <w:rPr>
          <w:rFonts w:ascii="楷体" w:eastAsia="楷体" w:hAnsi="楷体" w:hint="eastAsia"/>
          <w:b/>
          <w:sz w:val="24"/>
          <w:szCs w:val="24"/>
        </w:rPr>
        <w:t>成本存在抬升预期，短期市场或有支撑</w:t>
      </w:r>
      <w:bookmarkEnd w:id="34"/>
    </w:p>
    <w:p w:rsidR="003F56A5" w:rsidRDefault="00DB4E25" w:rsidP="00827E8A">
      <w:pPr>
        <w:ind w:leftChars="300" w:left="630"/>
        <w:rPr>
          <w:rFonts w:ascii="楷体" w:eastAsia="楷体" w:hAnsi="楷体"/>
          <w:sz w:val="24"/>
          <w:szCs w:val="24"/>
        </w:rPr>
      </w:pPr>
      <w:r w:rsidRPr="00DB4E25">
        <w:rPr>
          <w:rFonts w:ascii="楷体" w:eastAsia="楷体" w:hAnsi="楷体" w:hint="eastAsia"/>
          <w:sz w:val="24"/>
          <w:szCs w:val="24"/>
        </w:rPr>
        <w:t>10月9日，Si2311主力合约呈反弹走势，收盘价14155元/吨，较上一收盘价涨跌幅+1.40%。从基本面来看，一方面西南地区即将进入平水期，电价或将开始陆续上调，以及还原剂等原料呈上涨趋势，生产成本存在抬升预期;另一方面，多晶硅新增产能陆续投产，叠加传统旺季有机硅、铝合金的需求也有边际改善。综合而言，需求改善预期仍存，叠加成本抬升预期，短期市场或有支撑。策略上，可尝试逢低做多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lastRenderedPageBreak/>
        <w:t xml:space="preserve"> </w:t>
      </w:r>
      <w:bookmarkStart w:id="36" w:name="_Toc14782556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815EF6" w:rsidRDefault="00CC3FFA" w:rsidP="00815EF6">
      <w:pPr>
        <w:ind w:firstLineChars="200" w:firstLine="482"/>
        <w:outlineLvl w:val="1"/>
        <w:rPr>
          <w:rFonts w:ascii="楷体" w:eastAsia="楷体" w:hAnsi="楷体"/>
          <w:b/>
          <w:sz w:val="24"/>
          <w:szCs w:val="24"/>
        </w:rPr>
      </w:pPr>
      <w:bookmarkStart w:id="37" w:name="_Toc147825570"/>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DB4E25" w:rsidRPr="00DB4E25">
        <w:rPr>
          <w:rFonts w:ascii="楷体" w:eastAsia="楷体" w:hAnsi="楷体" w:hint="eastAsia"/>
          <w:b/>
          <w:sz w:val="24"/>
          <w:szCs w:val="24"/>
        </w:rPr>
        <w:t>泰国原料价格坚挺叠加下游积极补库 天胶或小幅上涨</w:t>
      </w:r>
      <w:bookmarkEnd w:id="37"/>
    </w:p>
    <w:p w:rsidR="003F56A5" w:rsidRDefault="00DB4E25">
      <w:pPr>
        <w:ind w:leftChars="300" w:left="630"/>
        <w:rPr>
          <w:rFonts w:ascii="楷体" w:eastAsia="楷体" w:hAnsi="楷体"/>
          <w:sz w:val="24"/>
          <w:szCs w:val="24"/>
        </w:rPr>
      </w:pPr>
      <w:r w:rsidRPr="00DB4E25">
        <w:rPr>
          <w:rFonts w:ascii="楷体" w:eastAsia="楷体" w:hAnsi="楷体" w:hint="eastAsia"/>
          <w:sz w:val="24"/>
          <w:szCs w:val="24"/>
        </w:rPr>
        <w:t>点评：双节后市场资金活跃度将较节前明显提升。目前看，双节期间国内产区原材料收购价格维持高位，泰国原料收购价格上涨，成本端给予市场一定支撑。库存方面，节后船货未能如期到港，短时供应支撑仍存。需求端来看，下游轮胎企业开工率高位维持，半钢胎略好于全钢胎，国内稳经济政策将有利于轮胎替换及配套需求的改善。节后工厂开工将处于恢复提升状态，对原材料补库积极性提高，提振天胶市场。终端汽车方面，8月数据同环比走强</w:t>
      </w:r>
      <w:r>
        <w:rPr>
          <w:rFonts w:ascii="楷体" w:eastAsia="楷体" w:hAnsi="楷体" w:hint="eastAsia"/>
          <w:sz w:val="24"/>
          <w:szCs w:val="24"/>
        </w:rPr>
        <w:t>，呈现“淡季不淡”，九、十月汽车消费旺季来临下汽车市场景气度高</w:t>
      </w:r>
      <w:r w:rsidRPr="00DB4E25">
        <w:rPr>
          <w:rFonts w:ascii="楷体" w:eastAsia="楷体" w:hAnsi="楷体" w:hint="eastAsia"/>
          <w:sz w:val="24"/>
          <w:szCs w:val="24"/>
        </w:rPr>
        <w:t>。整体看，节后天胶市场有偏强预期</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7825571"/>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跟随成本端回调 等待企稳</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DB4E25" w:rsidP="002C73FE">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原油方面，巴以冲突目前来看整体可控，留意供需宽松预期带来的基本面边际弱化的问题。预估地缘冲突不进一步加剧的情况下，油价继续上涨空间不大。PTA装置变动不多，逸盛大化225万吨，中泰120万吨装置负荷下降，至9.28 PTA开工负荷仍在8成附近。需求方面，国内大陆地区聚酯负荷在88.6%大体维持。随着原料价格走弱，聚酯效益改善。经过长假期间的持续消耗，下游的原料备货下降较多。展望后市，PTA成本端趋弱VS聚酯开工缓慢回升，预估先跟随成本端回调一波，等待企稳。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7825572"/>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7825573"/>
      <w:r>
        <w:rPr>
          <w:rFonts w:ascii="楷体" w:eastAsia="楷体" w:hAnsi="楷体" w:hint="eastAsia"/>
          <w:b/>
          <w:color w:val="000000" w:themeColor="text1"/>
          <w:sz w:val="24"/>
          <w:szCs w:val="24"/>
        </w:rPr>
        <w:t>聚烯烃：</w:t>
      </w:r>
      <w:r w:rsidR="00DB4E25" w:rsidRPr="00DB4E25">
        <w:rPr>
          <w:rFonts w:ascii="楷体" w:eastAsia="楷体" w:hAnsi="楷体" w:hint="eastAsia"/>
          <w:b/>
          <w:color w:val="000000" w:themeColor="text1"/>
          <w:sz w:val="24"/>
          <w:szCs w:val="24"/>
        </w:rPr>
        <w:t>供需支撑减弱 聚烯烃偏弱整理为主</w:t>
      </w:r>
      <w:bookmarkEnd w:id="40"/>
    </w:p>
    <w:p w:rsidR="003F56A5" w:rsidRDefault="00DB4E25">
      <w:pPr>
        <w:ind w:leftChars="300" w:left="630"/>
        <w:rPr>
          <w:rFonts w:ascii="楷体" w:eastAsia="楷体" w:hAnsi="楷体"/>
          <w:bCs/>
          <w:sz w:val="24"/>
          <w:szCs w:val="24"/>
        </w:rPr>
      </w:pPr>
      <w:r w:rsidRPr="00DB4E25">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以色列和哈马斯的冲突进入第三天，周一油价上涨超过4%，为4月3日以来最大单日涨幅。周一收盘后，欧美原油期货继续延续涨势。需求方面，PE下游方面，农膜整体需求平平，工厂生产清淡。棚膜工厂多停机检修；PP下游方面，BOPP市场成交刚需有量，整体量较上一交易日增</w:t>
      </w:r>
      <w:r w:rsidRPr="00DB4E25">
        <w:rPr>
          <w:rFonts w:ascii="楷体" w:eastAsia="楷体" w:hAnsi="楷体" w:hint="eastAsia"/>
          <w:color w:val="000000" w:themeColor="text1"/>
          <w:sz w:val="24"/>
          <w:szCs w:val="24"/>
        </w:rPr>
        <w:lastRenderedPageBreak/>
        <w:t>加，BOPP企业未交付订单多数在一周以内，个别可至八月中。综合来看，PE方面，现阶段供应增加，生产企业去库预计较慢；需求端，市场成交平平，农膜行业旺季仍未显现，终端多持观望心态。综上所述，今日PE或震荡下跌态势。PP方面，巴以冲突危机下国际原油价格上涨，成本支撑暂稳；然节后归来，两油库存高位去库速度缓慢，场内心态偏空，旺季需求不及往年，整体成交平平。预计今日PP震荡下跌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7825574"/>
      <w:r>
        <w:rPr>
          <w:rFonts w:ascii="楷体" w:eastAsia="楷体" w:hAnsi="楷体" w:hint="eastAsia"/>
          <w:b/>
          <w:color w:val="000000" w:themeColor="text1"/>
          <w:sz w:val="24"/>
          <w:szCs w:val="24"/>
        </w:rPr>
        <w:t>MEG：</w:t>
      </w:r>
      <w:r w:rsidR="00DB4E25" w:rsidRPr="00DB4E25">
        <w:rPr>
          <w:rFonts w:ascii="楷体" w:eastAsia="楷体" w:hAnsi="楷体" w:hint="eastAsia"/>
          <w:b/>
          <w:color w:val="000000" w:themeColor="text1"/>
          <w:sz w:val="24"/>
          <w:szCs w:val="24"/>
        </w:rPr>
        <w:t>供应端压力增量明显 上行驱动不足</w:t>
      </w:r>
      <w:bookmarkEnd w:id="41"/>
    </w:p>
    <w:p w:rsidR="003F56A5" w:rsidRDefault="00DB4E25" w:rsidP="00115EEA">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供需情况，10.7华东主港地区MEG港口库存约117.4万吨附近，环比上期增加2.0万吨，库存仍高位累积。截至9月28日，中国大陆地区乙二醇整体开工负荷在65.08%（+1.79%），其中煤制乙二醇开工负荷在69.22%（+1.75%）。后市来看，四季度新投产装置推迟、但后续存量供应收缩将推迟兑现及聚酯开工高位，或维持动态平衡小幅累库的节奏，暂维持4000-4500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7825575"/>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假期产销走强，关注持续性</w:t>
      </w:r>
      <w:bookmarkEnd w:id="42"/>
    </w:p>
    <w:p w:rsidR="00A71A7E" w:rsidRDefault="00DB4E25" w:rsidP="001F79C6">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隆众资讯10月9日报道：今日浮法玻璃现货价格2094元/吨，较上一交易日+4元/吨。库存上，截至10月7日，全国浮法玻璃样本企业总库存4295.3万重箱，环比增加152.5万重箱，环比3.68%，假期累库。需求上，截至2023年9月底，深加工企业订单天数20.3天，较9月中旬+1.8天，环比+9.70%，小幅补库。节后中下游库存基本已经消化，短期有阶段性补库需求，原片厂以涨促销，现货强势；供给端近期点火较多，产能提升至17万吨/日左右高位水平，短期产销再度过百，阶段性补库和现货涨价推动期价上行，但中长线供给压力较大。盘面增仓上涨，但向上空间需观察产销持续性</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7825576"/>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现货松动，高空为主</w:t>
      </w:r>
      <w:bookmarkEnd w:id="43"/>
    </w:p>
    <w:p w:rsidR="00A71A7E" w:rsidRDefault="00DB4E25" w:rsidP="00A71A7E">
      <w:pPr>
        <w:ind w:leftChars="300" w:left="630"/>
        <w:rPr>
          <w:rFonts w:ascii="楷体" w:eastAsia="楷体" w:hAnsi="楷体"/>
          <w:bCs/>
          <w:sz w:val="24"/>
          <w:szCs w:val="24"/>
        </w:rPr>
      </w:pPr>
      <w:r w:rsidRPr="00DB4E25">
        <w:rPr>
          <w:rFonts w:ascii="楷体" w:eastAsia="楷体" w:hAnsi="楷体" w:hint="eastAsia"/>
          <w:color w:val="000000" w:themeColor="text1"/>
          <w:sz w:val="24"/>
          <w:szCs w:val="24"/>
        </w:rPr>
        <w:t>节后纯碱价格出现明显松动，华中和华北重碱主流价格下跌100-200元/吨不等，报价在2900-3050元/吨之间，供给方面，检修基本恢复，叠加新增产能纯碱产量继续抬升，截至10月8日，周产量68.63万吨，环比增加1.57万吨，涨幅2.35%。库存上，周纯碱库存总库存27.50万吨，环比增加6.21万吨，上涨29.17%。其中，轻质库存19.65万吨，重质库存7.85万吨，轻碱累库加速，重碱目前库存不高，短期远月合约跌破氨碱法成本线概率不大。需求上，下游玻璃厂对高价抵制心态较强，后续有低价进口碱到港。供需双增下，供给增速大于需求，远月过剩较为明确，但9月累库预期已部分计价，短线以高空为主，下跌到1650氨碱法成本附近或有支撑</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782557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7825578"/>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DB4E25" w:rsidRPr="00DB4E25">
        <w:rPr>
          <w:rFonts w:ascii="楷体" w:eastAsia="楷体" w:hAnsi="楷体" w:hint="eastAsia"/>
          <w:b/>
          <w:sz w:val="24"/>
          <w:szCs w:val="24"/>
        </w:rPr>
        <w:t>供应压力下，延续弱势</w:t>
      </w:r>
      <w:bookmarkEnd w:id="45"/>
    </w:p>
    <w:p w:rsidR="003F56A5" w:rsidRDefault="00DB4E25">
      <w:pPr>
        <w:ind w:leftChars="300" w:left="630"/>
        <w:rPr>
          <w:rFonts w:ascii="楷体" w:eastAsia="楷体" w:hAnsi="楷体"/>
          <w:sz w:val="24"/>
          <w:szCs w:val="24"/>
        </w:rPr>
      </w:pPr>
      <w:r w:rsidRPr="00DB4E25">
        <w:rPr>
          <w:rFonts w:ascii="楷体" w:eastAsia="楷体" w:hAnsi="楷体" w:hint="eastAsia"/>
          <w:sz w:val="24"/>
          <w:szCs w:val="24"/>
        </w:rPr>
        <w:t>节后开盘蛋白粕跟随外盘补跌，在新作上市压力及国内库存中性偏高等因素持续施压期现价格。虽美豆新季平衡表继续收紧，且受干燥天气影响，</w:t>
      </w:r>
      <w:r w:rsidRPr="00DB4E25">
        <w:rPr>
          <w:rFonts w:ascii="楷体" w:eastAsia="楷体" w:hAnsi="楷体" w:hint="eastAsia"/>
          <w:sz w:val="24"/>
          <w:szCs w:val="24"/>
        </w:rPr>
        <w:lastRenderedPageBreak/>
        <w:t>美豆出口或仍存忧，但整体有利于新作收割推进，卖压显现，叠加巴西大豆新作播种进度较快，在出口方面仍对美豆构成冲击，CBOT大豆价格预计上方空间有限，整体承压运行。后续关注10月USDA报告对单产的调整。国内现货基差继续承压，近两日贸易商陆续恢复报价，预计市场购销逐渐恢复。供应端在9-10月份大豆阶段性到港减少下，当前油厂大豆库存维持中性偏低，随着节后油厂开机恢复，豆粕产出预计会有所回升，但在需求清淡下油厂豆粕库存高于去年同期值为77.35万吨，当前沿海主流油厂豆粕现货报价下调至4370-4540元/吨。大豆6-8月到港量仍较充裕，8月进口935万吨大豆，今年1-8个月大豆进口量达到7165万吨，同比增长17.9%，但9-10月进口到港预期减少，且对美豆新作买船偏慢，关注后续大豆到港情况。需求，下游生猪养殖利润不佳，但在能繁存栏高位下，下游维持刚需备货，提货情况尚可，但近期成交仍清淡。菜粕当前供需基本面改善，随着6月份后菜籽到港减少，油厂压榨也在逐步下滑，但供给整体较充裕。而需求方面，水产消费旺季即将结束，菜粕需求预计减少，主要关注替代需求。策略方面，预计节后维持偏弱震荡，建议短线操作，菜粕01建议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7825579"/>
      <w:r>
        <w:rPr>
          <w:rFonts w:ascii="楷体" w:eastAsia="楷体" w:hAnsi="楷体" w:hint="eastAsia"/>
          <w:b/>
          <w:color w:val="000000" w:themeColor="text1"/>
          <w:sz w:val="24"/>
          <w:szCs w:val="24"/>
        </w:rPr>
        <w:t>油脂：</w:t>
      </w:r>
      <w:r w:rsidR="00DB4E25" w:rsidRPr="00DB4E25">
        <w:rPr>
          <w:rFonts w:ascii="楷体" w:eastAsia="楷体" w:hAnsi="楷体" w:hint="eastAsia"/>
          <w:b/>
          <w:sz w:val="24"/>
          <w:szCs w:val="24"/>
        </w:rPr>
        <w:t>维持偏弱震荡</w:t>
      </w:r>
      <w:bookmarkEnd w:id="46"/>
    </w:p>
    <w:p w:rsidR="003F56A5" w:rsidRDefault="00DB4E25" w:rsidP="00792D31">
      <w:pPr>
        <w:ind w:leftChars="300" w:left="630"/>
        <w:rPr>
          <w:rFonts w:ascii="楷体" w:eastAsia="楷体" w:hAnsi="楷体"/>
          <w:sz w:val="24"/>
          <w:szCs w:val="24"/>
        </w:rPr>
      </w:pPr>
      <w:r w:rsidRPr="00DB4E25">
        <w:rPr>
          <w:rFonts w:ascii="楷体" w:eastAsia="楷体" w:hAnsi="楷体" w:hint="eastAsia"/>
          <w:sz w:val="24"/>
          <w:szCs w:val="24"/>
        </w:rPr>
        <w:t>节后开盘，油脂跟随外盘补跌，国际原油价格在地缘政治冲突下止跌反弹，但对油脂提振有限，在供应充裕下油脂价格上方仍存压。棕榈油，产地季节性增产周期下存继续累库预期，印尼棕榈油7月份因产量增幅不及需求增幅，库存继续下降。而马棕产量8月延续增产为175.3万吨，环比提高8.91%，关注产量持续修复情况；同时在8月出口降幅高于预期下，库存增至212.5万吨，环比增长22.54%，高于分析师平均预估189万吨；但因主要消费国国内油脂库存偏高，后续采购预计放缓，产地预计维持累库趋势。国内棕榈油7-8月份进口到港预计维持高位，在买船积极下，库存持续累积，最新商业库存为85.85万吨。需求端，随着各地气温下降，棕榈油逐步进入消费淡季，棕榈油10月份预计表现偏弱。豆油库存预计继续去化。国内7-8月进口大豆到港量仍不少，但受9-10月大豆到港减少及节日停机影响下，预计油厂整体压榨水平不高。需求端，节后终端或存在补库需求，且四季度为豆油消费旺季，部分掺混需求预计转向豆油。菜油短期供应压力减轻，但四季度存供应增加预期。当前主产地菜籽还未集中上市，全球菜籽新作产量不确定性仍存，但当前加籽收割基本结束，上市压力也抑制期价走势。虽8-9月份进口加籽到港量减少，菜籽开机及压榨水平也有所降低，但整体仍高于去年同期，8月菜籽进口39.6万吨，环比增167%。需求方面，当前去库速度缓慢，与豆油价差持续收窄，库存去化仍需看到替代需求出现。短期油脂维持偏弱走势，建议关注豆棕套利低多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7825580"/>
      <w:r>
        <w:rPr>
          <w:rFonts w:ascii="楷体" w:eastAsia="楷体" w:hAnsi="楷体" w:hint="eastAsia"/>
          <w:b/>
          <w:bCs/>
          <w:color w:val="000000" w:themeColor="text1"/>
        </w:rPr>
        <w:t>玉米与淀粉：</w:t>
      </w:r>
      <w:r w:rsidR="00DB4E25" w:rsidRPr="00DB4E25">
        <w:rPr>
          <w:rFonts w:ascii="楷体" w:eastAsia="楷体" w:hAnsi="楷体" w:hint="eastAsia"/>
          <w:b/>
        </w:rPr>
        <w:t>等待新作压力释放后的做多机会</w:t>
      </w:r>
      <w:bookmarkEnd w:id="47"/>
    </w:p>
    <w:p w:rsidR="00DB4E25" w:rsidRPr="00DB4E25" w:rsidRDefault="00DB4E25" w:rsidP="00DB4E25">
      <w:pPr>
        <w:pStyle w:val="paragraph"/>
        <w:spacing w:before="60" w:after="60"/>
        <w:ind w:leftChars="300" w:left="630"/>
        <w:rPr>
          <w:rFonts w:ascii="楷体" w:eastAsia="楷体" w:hAnsi="楷体" w:hint="eastAsia"/>
        </w:rPr>
      </w:pPr>
      <w:r w:rsidRPr="00DB4E25">
        <w:rPr>
          <w:rFonts w:ascii="楷体" w:eastAsia="楷体" w:hAnsi="楷体" w:hint="eastAsia"/>
        </w:rPr>
        <w:t>对于玉米而言，9月期价震荡回落过程中，期现货结构转为现货升水11月，11月升水1月，但之后各合约转为远月小幅升水。这一期期现结构反映两个问题，其一是当前市场担心在于新作压力，其二是市场对于新作供需预期依然紧张，这意味着市场在等待新作压力释放后的低点再行</w:t>
      </w:r>
      <w:r w:rsidRPr="00DB4E25">
        <w:rPr>
          <w:rFonts w:ascii="楷体" w:eastAsia="楷体" w:hAnsi="楷体" w:hint="eastAsia"/>
        </w:rPr>
        <w:lastRenderedPageBreak/>
        <w:t>入场，基于年度产需缺口进入补库存阶段。基于这样的理解，接下来需要关注三个层面，其一是期价下方的空间，其二是后期上涨驱动因素，其三是新作上市压力释放到主动补库存的转折时点。在我们看来，当前期价已经具备安全边际，且有市场渠道库存偏低和小麦现货上涨两个潜在上涨驱动因素，但目前尚不确定新作压力释放向主动补库存的转折时点，据此由前期中性再度转为谨慎看多，建议谨慎投资者观望，激进投资者择机做多，或持有前期多单。</w:t>
      </w:r>
    </w:p>
    <w:p w:rsidR="003F56A5" w:rsidRDefault="00DB4E25" w:rsidP="00DB4E25">
      <w:pPr>
        <w:pStyle w:val="paragraph"/>
        <w:spacing w:before="60" w:beforeAutospacing="0" w:after="60" w:afterAutospacing="0"/>
        <w:ind w:leftChars="300" w:left="630"/>
        <w:rPr>
          <w:rFonts w:ascii="楷体" w:eastAsia="楷体" w:hAnsi="楷体"/>
        </w:rPr>
      </w:pPr>
      <w:r w:rsidRPr="00DB4E25">
        <w:rPr>
          <w:rFonts w:ascii="楷体" w:eastAsia="楷体" w:hAnsi="楷体" w:hint="eastAsia"/>
        </w:rPr>
        <w:t>对于淀粉而言，9月期间淀粉-玉米价差总体震荡收窄，主要源于成本端的担忧，因产区现货逐步转弱。但与此同时，行业供需端和副产品端均相对利多，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我们倾向于认为淀粉-玉米价差继续收窄空间受限，结合前面对玉米原料端的分析，后期新作压力释放之后，淀粉-玉米价差有望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7825581"/>
      <w:r>
        <w:rPr>
          <w:rFonts w:ascii="楷体" w:eastAsia="楷体" w:hAnsi="楷体" w:hint="eastAsia"/>
          <w:b/>
          <w:bCs/>
          <w:color w:val="000000" w:themeColor="text1"/>
        </w:rPr>
        <w:t>畜禽养殖：</w:t>
      </w:r>
      <w:r w:rsidR="00DB4E25" w:rsidRPr="00DB4E25">
        <w:rPr>
          <w:rFonts w:ascii="楷体" w:eastAsia="楷体" w:hAnsi="楷体" w:hint="eastAsia"/>
          <w:b/>
          <w:bCs/>
          <w:color w:val="000000" w:themeColor="text1"/>
        </w:rPr>
        <w:t>现货带动期价近弱远强分化运行</w:t>
      </w:r>
      <w:bookmarkEnd w:id="48"/>
    </w:p>
    <w:p w:rsidR="00DB4E25" w:rsidRPr="00DB4E25" w:rsidRDefault="00DB4E25" w:rsidP="00DB4E25">
      <w:pPr>
        <w:pStyle w:val="paragraph"/>
        <w:spacing w:before="60" w:after="60"/>
        <w:ind w:leftChars="300" w:left="630"/>
        <w:rPr>
          <w:rFonts w:ascii="楷体" w:eastAsia="楷体" w:hAnsi="楷体" w:hint="eastAsia"/>
        </w:rPr>
      </w:pPr>
      <w:r w:rsidRPr="00DB4E25">
        <w:rPr>
          <w:rFonts w:ascii="楷体" w:eastAsia="楷体" w:hAnsi="楷体" w:hint="eastAsia"/>
        </w:rPr>
        <w:t>对于生猪而言，在前期报告中我们指出，考虑到各方数据显示生猪产能去化缓慢，表明7月下旬以来的猪价上涨是供应去化带来的阶段性反弹，而非产能去化所带来的周期见底。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市场供需矛盾并不突出，且接下来现货波动的节奏存在分歧，不确定性较大，观点维持中性，建议投资者继续观望为宜。</w:t>
      </w:r>
    </w:p>
    <w:p w:rsidR="003F56A5" w:rsidRDefault="00DB4E25" w:rsidP="00DB4E25">
      <w:pPr>
        <w:pStyle w:val="paragraph"/>
        <w:spacing w:before="60" w:beforeAutospacing="0" w:after="60" w:afterAutospacing="0"/>
        <w:ind w:leftChars="300" w:left="630"/>
        <w:rPr>
          <w:rFonts w:ascii="楷体" w:eastAsia="楷体" w:hAnsi="楷体"/>
        </w:rPr>
      </w:pPr>
      <w:r w:rsidRPr="00DB4E25">
        <w:rPr>
          <w:rFonts w:ascii="楷体" w:eastAsia="楷体" w:hAnsi="楷体" w:hint="eastAsia"/>
        </w:rPr>
        <w:t>对于鸡蛋而言，9月期间期价特别是近月表现强于市场之前预期，主要源于今年现货季节性高点出现时间晚于往年，这使得市场担心前期悲观预期可能落空，甚至出现类似于去年10月现货再创新高的情况。但在我们看来，9月上半月现货表现强于预期或更多源于两个方面的原因，其一是今年春节后现货相对高位，鸡蛋进入冷库形成库存量相对较低，其二是市场对后期价格悲观，渠道库存偏低。而从供需角度看，卓创资讯数据显示，在产蛋鸡存栏连续三个月环比增加，考虑到今年节后以来蛋鸡苗销量均同比增加，而蛋鸡淘汰量持续处于历史低位水平，蛋鸡淘汰日龄则持续位于历史同期高位，由此可以看出，后期鸡蛋供需有望趋于改善。考虑到现货已经趋于季节性回落，后期需要担心叠加春节后补栏带来的供应增量，现货表现或弱于预期，在这种情况下，我们观点维持中性，后期或转向看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7825582"/>
      <w:r>
        <w:rPr>
          <w:rFonts w:ascii="楷体" w:eastAsia="楷体" w:hAnsi="楷体" w:hint="eastAsia"/>
          <w:b/>
          <w:sz w:val="24"/>
          <w:szCs w:val="24"/>
        </w:rPr>
        <w:lastRenderedPageBreak/>
        <w:t>郑棉：</w:t>
      </w:r>
      <w:r w:rsidR="00DB4E25" w:rsidRPr="00DB4E25">
        <w:rPr>
          <w:rFonts w:ascii="楷体" w:eastAsia="楷体" w:hAnsi="楷体" w:hint="eastAsia"/>
          <w:b/>
          <w:sz w:val="24"/>
          <w:szCs w:val="24"/>
        </w:rPr>
        <w:t>看跌期权卖权持有</w:t>
      </w:r>
      <w:bookmarkEnd w:id="49"/>
    </w:p>
    <w:p w:rsidR="003F56A5" w:rsidRDefault="00DB4E25" w:rsidP="007B3290">
      <w:pPr>
        <w:ind w:leftChars="300" w:left="630"/>
        <w:rPr>
          <w:rFonts w:ascii="楷体" w:eastAsia="楷体" w:hAnsi="楷体"/>
          <w:sz w:val="24"/>
          <w:szCs w:val="24"/>
        </w:rPr>
      </w:pPr>
      <w:r w:rsidRPr="00DB4E25">
        <w:rPr>
          <w:rFonts w:ascii="楷体" w:eastAsia="楷体" w:hAnsi="楷体" w:hint="eastAsia"/>
          <w:sz w:val="24"/>
          <w:szCs w:val="24"/>
        </w:rPr>
        <w:t>新棉即将大规模开秤，从新疆反馈的情况来看，棉农和轧花厂都持谨慎态度，观望情绪较浓，轧花厂收购不易。市场资金等待新棉成本的指引，而轧花厂和棉农同建样反向在等待期货价格方面的指导。下游金九银十反馈依然不佳，旺季还未出现启动迹象。叠加原油带领下多数商品走弱，郑棉上方承压，供需双弱，预计郑棉围绕17500附近一线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7825583"/>
      <w:r>
        <w:rPr>
          <w:rFonts w:ascii="楷体" w:eastAsia="楷体" w:hAnsi="楷体" w:hint="eastAsia"/>
          <w:b/>
          <w:sz w:val="24"/>
          <w:szCs w:val="24"/>
        </w:rPr>
        <w:t>白糖：</w:t>
      </w:r>
      <w:r w:rsidR="00DB4E25" w:rsidRPr="00DB4E25">
        <w:rPr>
          <w:rFonts w:ascii="楷体" w:eastAsia="楷体" w:hAnsi="楷体" w:hint="eastAsia"/>
          <w:b/>
          <w:sz w:val="24"/>
          <w:szCs w:val="24"/>
        </w:rPr>
        <w:t>观望</w:t>
      </w:r>
      <w:bookmarkEnd w:id="50"/>
    </w:p>
    <w:p w:rsidR="00296325" w:rsidRDefault="00DB4E25" w:rsidP="00296325">
      <w:pPr>
        <w:ind w:leftChars="300" w:left="630"/>
        <w:rPr>
          <w:rFonts w:ascii="楷体" w:eastAsia="楷体" w:hAnsi="楷体"/>
          <w:sz w:val="24"/>
          <w:szCs w:val="24"/>
        </w:rPr>
      </w:pPr>
      <w:r w:rsidRPr="00DB4E25">
        <w:rPr>
          <w:rFonts w:ascii="楷体" w:eastAsia="楷体" w:hAnsi="楷体" w:hint="eastAsia"/>
          <w:sz w:val="24"/>
          <w:szCs w:val="24"/>
        </w:rPr>
        <w:t>巴西白糖出口量依然高企，9月出口量达321万吨，同比增加6.2%。同时，原油带领商品集体走弱。但市场对新季白糖的供应依然感到担忧。主要产糖大国印度的乙醇燃料计划使其甘蔗使用量大增，新年度可能继续限制白糖出口。泰国的产糖前景也不乐观。对于国内糖价来说，传闻10月交割的原糖大部分将运往中国，新榨季也已开始，供应紧张局面短期内有所缓解。2401主力合约在20日均线处显著承压，预计偏弱震荡，建议观望为主</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92" w:rsidRDefault="004F2492">
      <w:r>
        <w:separator/>
      </w:r>
    </w:p>
  </w:endnote>
  <w:endnote w:type="continuationSeparator" w:id="0">
    <w:p w:rsidR="004F2492" w:rsidRDefault="004F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AD2D5D1" wp14:editId="0561AAD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686B2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686B2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92" w:rsidRDefault="004F2492">
      <w:r>
        <w:separator/>
      </w:r>
    </w:p>
  </w:footnote>
  <w:footnote w:type="continuationSeparator" w:id="0">
    <w:p w:rsidR="004F2492" w:rsidRDefault="004F24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F1FE2B5" wp14:editId="2548F45A">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EE2B905" wp14:editId="2AE0A4EC">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DB4E25">
      <w:rPr>
        <w:rFonts w:ascii="Times New Roman" w:eastAsia="楷体" w:hAnsi="Times New Roman" w:hint="eastAsia"/>
        <w:b/>
        <w:bCs/>
        <w:noProof/>
        <w:color w:val="833C0B"/>
        <w:sz w:val="21"/>
      </w:rPr>
      <w:t>2023</w:t>
    </w:r>
    <w:r w:rsidR="00DB4E25">
      <w:rPr>
        <w:rFonts w:ascii="Times New Roman" w:eastAsia="楷体" w:hAnsi="Times New Roman" w:hint="eastAsia"/>
        <w:b/>
        <w:bCs/>
        <w:noProof/>
        <w:color w:val="833C0B"/>
        <w:sz w:val="21"/>
      </w:rPr>
      <w:t>年</w:t>
    </w:r>
    <w:r w:rsidR="00DB4E25">
      <w:rPr>
        <w:rFonts w:ascii="Times New Roman" w:eastAsia="楷体" w:hAnsi="Times New Roman" w:hint="eastAsia"/>
        <w:b/>
        <w:bCs/>
        <w:noProof/>
        <w:color w:val="833C0B"/>
        <w:sz w:val="21"/>
      </w:rPr>
      <w:t>10</w:t>
    </w:r>
    <w:r w:rsidR="00DB4E25">
      <w:rPr>
        <w:rFonts w:ascii="Times New Roman" w:eastAsia="楷体" w:hAnsi="Times New Roman" w:hint="eastAsia"/>
        <w:b/>
        <w:bCs/>
        <w:noProof/>
        <w:color w:val="833C0B"/>
        <w:sz w:val="21"/>
      </w:rPr>
      <w:t>月</w:t>
    </w:r>
    <w:r w:rsidR="00DB4E25">
      <w:rPr>
        <w:rFonts w:ascii="Times New Roman" w:eastAsia="楷体" w:hAnsi="Times New Roman" w:hint="eastAsia"/>
        <w:b/>
        <w:bCs/>
        <w:noProof/>
        <w:color w:val="833C0B"/>
        <w:sz w:val="21"/>
      </w:rPr>
      <w:t>10</w:t>
    </w:r>
    <w:r w:rsidR="00DB4E25">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6FEB"/>
    <w:rsid w:val="001579F3"/>
    <w:rsid w:val="00163984"/>
    <w:rsid w:val="00170E7B"/>
    <w:rsid w:val="00170EDF"/>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D7FC5"/>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5F3F"/>
    <w:rsid w:val="004D0484"/>
    <w:rsid w:val="004D6F74"/>
    <w:rsid w:val="004E269E"/>
    <w:rsid w:val="004E2959"/>
    <w:rsid w:val="004E3A10"/>
    <w:rsid w:val="004E58A5"/>
    <w:rsid w:val="004E6093"/>
    <w:rsid w:val="004F2492"/>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A5EEB"/>
    <w:rsid w:val="005B5BDF"/>
    <w:rsid w:val="005B790A"/>
    <w:rsid w:val="005C05F7"/>
    <w:rsid w:val="005C05FA"/>
    <w:rsid w:val="005C49BA"/>
    <w:rsid w:val="005C5B1D"/>
    <w:rsid w:val="005E1CE0"/>
    <w:rsid w:val="005E6164"/>
    <w:rsid w:val="005F28F8"/>
    <w:rsid w:val="005F2CE6"/>
    <w:rsid w:val="005F45A8"/>
    <w:rsid w:val="005F5D8E"/>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5EF6"/>
    <w:rsid w:val="00816F85"/>
    <w:rsid w:val="00820D28"/>
    <w:rsid w:val="00822591"/>
    <w:rsid w:val="00827E8A"/>
    <w:rsid w:val="0083288D"/>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4E25"/>
    <w:rsid w:val="00DB6FBE"/>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CBB35"/>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74FB3-687B-4117-A4E2-CCC6ADAF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4011</TotalTime>
  <Pages>10</Pages>
  <Words>1618</Words>
  <Characters>9229</Characters>
  <Application>Microsoft Office Word</Application>
  <DocSecurity>0</DocSecurity>
  <Lines>76</Lines>
  <Paragraphs>21</Paragraphs>
  <ScaleCrop>false</ScaleCrop>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102</cp:revision>
  <cp:lastPrinted>2023-06-08T02:23:00Z</cp:lastPrinted>
  <dcterms:created xsi:type="dcterms:W3CDTF">2022-11-15T10:06:00Z</dcterms:created>
  <dcterms:modified xsi:type="dcterms:W3CDTF">2023-10-10T02:18:00Z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