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702D65"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702D65" w:rsidRPr="00C43C2C">
            <w:rPr>
              <w:rStyle w:val="a9"/>
              <w:noProof/>
            </w:rPr>
            <w:fldChar w:fldCharType="begin"/>
          </w:r>
          <w:r w:rsidR="00702D65" w:rsidRPr="00C43C2C">
            <w:rPr>
              <w:rStyle w:val="a9"/>
              <w:noProof/>
            </w:rPr>
            <w:instrText xml:space="preserve"> </w:instrText>
          </w:r>
          <w:r w:rsidR="00702D65">
            <w:rPr>
              <w:noProof/>
            </w:rPr>
            <w:instrText>HYPERLINK \l "_Toc147740868"</w:instrText>
          </w:r>
          <w:r w:rsidR="00702D65" w:rsidRPr="00C43C2C">
            <w:rPr>
              <w:rStyle w:val="a9"/>
              <w:noProof/>
            </w:rPr>
            <w:instrText xml:space="preserve"> </w:instrText>
          </w:r>
          <w:r w:rsidR="00702D65" w:rsidRPr="00C43C2C">
            <w:rPr>
              <w:rStyle w:val="a9"/>
              <w:noProof/>
            </w:rPr>
          </w:r>
          <w:r w:rsidR="00702D65" w:rsidRPr="00C43C2C">
            <w:rPr>
              <w:rStyle w:val="a9"/>
              <w:noProof/>
            </w:rPr>
            <w:fldChar w:fldCharType="separate"/>
          </w:r>
          <w:r w:rsidR="00702D65" w:rsidRPr="00C43C2C">
            <w:rPr>
              <w:rStyle w:val="a9"/>
              <w:rFonts w:ascii="Times New Roman" w:eastAsia="楷体" w:hAnsi="Times New Roman"/>
              <w:b/>
              <w:noProof/>
            </w:rPr>
            <w:t>[</w:t>
          </w:r>
          <w:r w:rsidR="00702D65" w:rsidRPr="00C43C2C">
            <w:rPr>
              <w:rStyle w:val="a9"/>
              <w:rFonts w:ascii="Times New Roman" w:eastAsia="楷体" w:hAnsi="Times New Roman"/>
              <w:b/>
              <w:noProof/>
            </w:rPr>
            <w:t>金融</w:t>
          </w:r>
          <w:r w:rsidR="00702D65" w:rsidRPr="00C43C2C">
            <w:rPr>
              <w:rStyle w:val="a9"/>
              <w:rFonts w:ascii="Times New Roman" w:eastAsia="楷体" w:hAnsi="Times New Roman"/>
              <w:b/>
              <w:noProof/>
            </w:rPr>
            <w:t>]</w:t>
          </w:r>
          <w:r w:rsidR="00702D65" w:rsidRPr="00C43C2C">
            <w:rPr>
              <w:rStyle w:val="a9"/>
              <w:noProof/>
            </w:rPr>
            <w:fldChar w:fldCharType="end"/>
          </w:r>
        </w:p>
        <w:p w:rsidR="00702D65" w:rsidRDefault="00702D65">
          <w:pPr>
            <w:pStyle w:val="23"/>
            <w:tabs>
              <w:tab w:val="right" w:leader="dot" w:pos="8296"/>
            </w:tabs>
            <w:rPr>
              <w:rFonts w:eastAsiaTheme="minorEastAsia"/>
              <w:noProof/>
              <w:szCs w:val="22"/>
            </w:rPr>
          </w:pPr>
          <w:hyperlink w:anchor="_Toc147740869" w:history="1">
            <w:r w:rsidRPr="00C43C2C">
              <w:rPr>
                <w:rStyle w:val="a9"/>
                <w:rFonts w:ascii="Times New Roman" w:eastAsia="楷体" w:hAnsi="Times New Roman"/>
                <w:b/>
                <w:noProof/>
              </w:rPr>
              <w:t>股指：观望，若超跌可轻仓布局</w:t>
            </w:r>
            <w:r w:rsidRPr="00C43C2C">
              <w:rPr>
                <w:rStyle w:val="a9"/>
                <w:rFonts w:ascii="Times New Roman" w:eastAsia="楷体" w:hAnsi="Times New Roman"/>
                <w:b/>
                <w:noProof/>
              </w:rPr>
              <w:t>IM</w:t>
            </w:r>
            <w:r w:rsidRPr="00C43C2C">
              <w:rPr>
                <w:rStyle w:val="a9"/>
                <w:rFonts w:ascii="Times New Roman" w:eastAsia="楷体" w:hAnsi="Times New Roman"/>
                <w:b/>
                <w:noProof/>
              </w:rPr>
              <w:t>多单海外</w:t>
            </w:r>
          </w:hyperlink>
        </w:p>
        <w:p w:rsidR="00702D65" w:rsidRDefault="00702D65">
          <w:pPr>
            <w:pStyle w:val="11"/>
            <w:tabs>
              <w:tab w:val="right" w:leader="dot" w:pos="8296"/>
            </w:tabs>
            <w:rPr>
              <w:rFonts w:eastAsiaTheme="minorEastAsia"/>
              <w:noProof/>
              <w:szCs w:val="22"/>
            </w:rPr>
          </w:pPr>
          <w:hyperlink w:anchor="_Toc147740870" w:history="1">
            <w:r w:rsidRPr="00C43C2C">
              <w:rPr>
                <w:rStyle w:val="a9"/>
                <w:rFonts w:ascii="Times New Roman" w:eastAsia="楷体" w:hAnsi="Times New Roman"/>
                <w:b/>
                <w:noProof/>
              </w:rPr>
              <w:t>[</w:t>
            </w:r>
            <w:r w:rsidRPr="00C43C2C">
              <w:rPr>
                <w:rStyle w:val="a9"/>
                <w:rFonts w:ascii="Times New Roman" w:eastAsia="楷体" w:hAnsi="Times New Roman"/>
                <w:b/>
                <w:noProof/>
              </w:rPr>
              <w:t>贵金属</w:t>
            </w:r>
            <w:r w:rsidRPr="00C43C2C">
              <w:rPr>
                <w:rStyle w:val="a9"/>
                <w:rFonts w:ascii="Times New Roman" w:eastAsia="楷体" w:hAnsi="Times New Roman"/>
                <w:b/>
                <w:noProof/>
              </w:rPr>
              <w:t>]</w:t>
            </w:r>
          </w:hyperlink>
        </w:p>
        <w:p w:rsidR="00702D65" w:rsidRDefault="00702D65">
          <w:pPr>
            <w:pStyle w:val="23"/>
            <w:tabs>
              <w:tab w:val="right" w:leader="dot" w:pos="8296"/>
            </w:tabs>
            <w:rPr>
              <w:rFonts w:eastAsiaTheme="minorEastAsia"/>
              <w:noProof/>
              <w:szCs w:val="22"/>
            </w:rPr>
          </w:pPr>
          <w:hyperlink w:anchor="_Toc147740871" w:history="1">
            <w:r w:rsidRPr="00C43C2C">
              <w:rPr>
                <w:rStyle w:val="a9"/>
                <w:rFonts w:ascii="Times New Roman" w:eastAsia="楷体" w:hAnsi="Times New Roman"/>
                <w:b/>
                <w:noProof/>
              </w:rPr>
              <w:t>贵金属：假期外盘连续下跌，内盘贵金属价格或跳空低开</w:t>
            </w:r>
          </w:hyperlink>
        </w:p>
        <w:p w:rsidR="00702D65" w:rsidRDefault="00702D65">
          <w:pPr>
            <w:pStyle w:val="11"/>
            <w:tabs>
              <w:tab w:val="right" w:leader="dot" w:pos="8296"/>
            </w:tabs>
            <w:rPr>
              <w:rFonts w:eastAsiaTheme="minorEastAsia"/>
              <w:noProof/>
              <w:szCs w:val="22"/>
            </w:rPr>
          </w:pPr>
          <w:hyperlink w:anchor="_Toc147740872" w:history="1">
            <w:r w:rsidRPr="00C43C2C">
              <w:rPr>
                <w:rStyle w:val="a9"/>
                <w:rFonts w:ascii="Times New Roman" w:eastAsia="楷体" w:hAnsi="Times New Roman"/>
                <w:b/>
                <w:noProof/>
              </w:rPr>
              <w:t>[</w:t>
            </w:r>
            <w:r w:rsidRPr="00C43C2C">
              <w:rPr>
                <w:rStyle w:val="a9"/>
                <w:rFonts w:ascii="Times New Roman" w:eastAsia="楷体" w:hAnsi="Times New Roman"/>
                <w:b/>
                <w:noProof/>
              </w:rPr>
              <w:t>金属</w:t>
            </w:r>
            <w:r w:rsidRPr="00C43C2C">
              <w:rPr>
                <w:rStyle w:val="a9"/>
                <w:rFonts w:ascii="Times New Roman" w:eastAsia="楷体" w:hAnsi="Times New Roman"/>
                <w:b/>
                <w:noProof/>
              </w:rPr>
              <w:t>]</w:t>
            </w:r>
          </w:hyperlink>
        </w:p>
        <w:p w:rsidR="00702D65" w:rsidRDefault="00702D65">
          <w:pPr>
            <w:pStyle w:val="23"/>
            <w:tabs>
              <w:tab w:val="right" w:leader="dot" w:pos="8296"/>
            </w:tabs>
            <w:rPr>
              <w:rFonts w:eastAsiaTheme="minorEastAsia"/>
              <w:noProof/>
              <w:szCs w:val="22"/>
            </w:rPr>
          </w:pPr>
          <w:hyperlink w:anchor="_Toc147740873" w:history="1">
            <w:r w:rsidRPr="00C43C2C">
              <w:rPr>
                <w:rStyle w:val="a9"/>
                <w:rFonts w:ascii="楷体" w:eastAsia="楷体" w:hAnsi="楷体"/>
                <w:b/>
                <w:noProof/>
              </w:rPr>
              <w:t>碳酸锂：供需趋弱成交低迷，市场维持观望</w:t>
            </w:r>
          </w:hyperlink>
        </w:p>
        <w:p w:rsidR="00702D65" w:rsidRDefault="00702D65">
          <w:pPr>
            <w:pStyle w:val="23"/>
            <w:tabs>
              <w:tab w:val="right" w:leader="dot" w:pos="8296"/>
            </w:tabs>
            <w:rPr>
              <w:rFonts w:eastAsiaTheme="minorEastAsia"/>
              <w:noProof/>
              <w:szCs w:val="22"/>
            </w:rPr>
          </w:pPr>
          <w:hyperlink w:anchor="_Toc147740874" w:history="1">
            <w:r w:rsidRPr="00C43C2C">
              <w:rPr>
                <w:rStyle w:val="a9"/>
                <w:rFonts w:ascii="楷体" w:eastAsia="楷体" w:hAnsi="楷体"/>
                <w:b/>
                <w:noProof/>
              </w:rPr>
              <w:t>螺纹钢：旺季平淡开局，回调压力明显</w:t>
            </w:r>
          </w:hyperlink>
        </w:p>
        <w:p w:rsidR="00702D65" w:rsidRDefault="00702D65">
          <w:pPr>
            <w:pStyle w:val="23"/>
            <w:tabs>
              <w:tab w:val="right" w:leader="dot" w:pos="8296"/>
            </w:tabs>
            <w:rPr>
              <w:rFonts w:eastAsiaTheme="minorEastAsia"/>
              <w:noProof/>
              <w:szCs w:val="22"/>
            </w:rPr>
          </w:pPr>
          <w:hyperlink w:anchor="_Toc147740875" w:history="1">
            <w:r w:rsidRPr="00C43C2C">
              <w:rPr>
                <w:rStyle w:val="a9"/>
                <w:rFonts w:ascii="楷体" w:eastAsia="楷体" w:hAnsi="楷体"/>
                <w:b/>
                <w:noProof/>
              </w:rPr>
              <w:t>焦炭：现货偏强运行，成材压力或导致基差走强</w:t>
            </w:r>
          </w:hyperlink>
        </w:p>
        <w:p w:rsidR="00702D65" w:rsidRDefault="00702D65">
          <w:pPr>
            <w:pStyle w:val="23"/>
            <w:tabs>
              <w:tab w:val="right" w:leader="dot" w:pos="8296"/>
            </w:tabs>
            <w:rPr>
              <w:rFonts w:eastAsiaTheme="minorEastAsia"/>
              <w:noProof/>
              <w:szCs w:val="22"/>
            </w:rPr>
          </w:pPr>
          <w:hyperlink w:anchor="_Toc147740876" w:history="1">
            <w:r w:rsidRPr="00C43C2C">
              <w:rPr>
                <w:rStyle w:val="a9"/>
                <w:rFonts w:ascii="楷体" w:eastAsia="楷体" w:hAnsi="楷体"/>
                <w:b/>
                <w:noProof/>
              </w:rPr>
              <w:t>焦煤：供应支撑现货价格，成材压力或导致基差走强</w:t>
            </w:r>
          </w:hyperlink>
        </w:p>
        <w:p w:rsidR="00702D65" w:rsidRDefault="00702D65">
          <w:pPr>
            <w:pStyle w:val="23"/>
            <w:tabs>
              <w:tab w:val="right" w:leader="dot" w:pos="8296"/>
            </w:tabs>
            <w:rPr>
              <w:rFonts w:eastAsiaTheme="minorEastAsia"/>
              <w:noProof/>
              <w:szCs w:val="22"/>
            </w:rPr>
          </w:pPr>
          <w:hyperlink w:anchor="_Toc147740877" w:history="1">
            <w:r w:rsidRPr="00C43C2C">
              <w:rPr>
                <w:rStyle w:val="a9"/>
                <w:rFonts w:ascii="楷体" w:eastAsia="楷体" w:hAnsi="楷体"/>
                <w:b/>
                <w:noProof/>
              </w:rPr>
              <w:t>铜：受外盘影响，节后沪铜存继续下行压力</w:t>
            </w:r>
          </w:hyperlink>
        </w:p>
        <w:p w:rsidR="00702D65" w:rsidRDefault="00702D65">
          <w:pPr>
            <w:pStyle w:val="23"/>
            <w:tabs>
              <w:tab w:val="right" w:leader="dot" w:pos="8296"/>
            </w:tabs>
            <w:rPr>
              <w:rFonts w:eastAsiaTheme="minorEastAsia"/>
              <w:noProof/>
              <w:szCs w:val="22"/>
            </w:rPr>
          </w:pPr>
          <w:hyperlink w:anchor="_Toc147740878" w:history="1">
            <w:r w:rsidRPr="00C43C2C">
              <w:rPr>
                <w:rStyle w:val="a9"/>
                <w:rFonts w:ascii="楷体" w:eastAsia="楷体" w:hAnsi="楷体"/>
                <w:b/>
                <w:noProof/>
              </w:rPr>
              <w:t>铝：铝价上行驱动有限，短期价格或有承压</w:t>
            </w:r>
          </w:hyperlink>
        </w:p>
        <w:p w:rsidR="00702D65" w:rsidRDefault="00702D65">
          <w:pPr>
            <w:pStyle w:val="23"/>
            <w:tabs>
              <w:tab w:val="right" w:leader="dot" w:pos="8296"/>
            </w:tabs>
            <w:rPr>
              <w:rFonts w:eastAsiaTheme="minorEastAsia"/>
              <w:noProof/>
              <w:szCs w:val="22"/>
            </w:rPr>
          </w:pPr>
          <w:hyperlink w:anchor="_Toc147740879" w:history="1">
            <w:r w:rsidRPr="00C43C2C">
              <w:rPr>
                <w:rStyle w:val="a9"/>
                <w:rFonts w:ascii="楷体" w:eastAsia="楷体" w:hAnsi="楷体"/>
                <w:b/>
                <w:noProof/>
              </w:rPr>
              <w:t>锌：绝对低库存主导，价格高位震荡运行</w:t>
            </w:r>
          </w:hyperlink>
        </w:p>
        <w:p w:rsidR="00702D65" w:rsidRDefault="00702D65">
          <w:pPr>
            <w:pStyle w:val="23"/>
            <w:tabs>
              <w:tab w:val="right" w:leader="dot" w:pos="8296"/>
            </w:tabs>
            <w:rPr>
              <w:rFonts w:eastAsiaTheme="minorEastAsia"/>
              <w:noProof/>
              <w:szCs w:val="22"/>
            </w:rPr>
          </w:pPr>
          <w:hyperlink w:anchor="_Toc147740880" w:history="1">
            <w:r w:rsidRPr="00C43C2C">
              <w:rPr>
                <w:rStyle w:val="a9"/>
                <w:rFonts w:ascii="楷体" w:eastAsia="楷体" w:hAnsi="楷体"/>
                <w:b/>
                <w:noProof/>
              </w:rPr>
              <w:t>镍：宏观与基本面共振，预计镍价震荡偏弱</w:t>
            </w:r>
          </w:hyperlink>
        </w:p>
        <w:p w:rsidR="00702D65" w:rsidRDefault="00702D65">
          <w:pPr>
            <w:pStyle w:val="23"/>
            <w:tabs>
              <w:tab w:val="right" w:leader="dot" w:pos="8296"/>
            </w:tabs>
            <w:rPr>
              <w:rFonts w:eastAsiaTheme="minorEastAsia"/>
              <w:noProof/>
              <w:szCs w:val="22"/>
            </w:rPr>
          </w:pPr>
          <w:hyperlink w:anchor="_Toc147740881" w:history="1">
            <w:r w:rsidRPr="00C43C2C">
              <w:rPr>
                <w:rStyle w:val="a9"/>
                <w:rFonts w:ascii="楷体" w:eastAsia="楷体" w:hAnsi="楷体"/>
                <w:b/>
                <w:noProof/>
              </w:rPr>
              <w:t>铅：铝市供需双修，观望价格上方压力位</w:t>
            </w:r>
          </w:hyperlink>
        </w:p>
        <w:p w:rsidR="00702D65" w:rsidRDefault="00702D65">
          <w:pPr>
            <w:pStyle w:val="23"/>
            <w:tabs>
              <w:tab w:val="right" w:leader="dot" w:pos="8296"/>
            </w:tabs>
            <w:rPr>
              <w:rFonts w:eastAsiaTheme="minorEastAsia"/>
              <w:noProof/>
              <w:szCs w:val="22"/>
            </w:rPr>
          </w:pPr>
          <w:hyperlink w:anchor="_Toc147740882" w:history="1">
            <w:r w:rsidRPr="00C43C2C">
              <w:rPr>
                <w:rStyle w:val="a9"/>
                <w:rFonts w:ascii="楷体" w:eastAsia="楷体" w:hAnsi="楷体"/>
                <w:b/>
                <w:noProof/>
              </w:rPr>
              <w:t>不锈钢：宏观利空叠加需求不振，或震荡下行</w:t>
            </w:r>
          </w:hyperlink>
        </w:p>
        <w:p w:rsidR="00702D65" w:rsidRDefault="00702D65">
          <w:pPr>
            <w:pStyle w:val="23"/>
            <w:tabs>
              <w:tab w:val="right" w:leader="dot" w:pos="8296"/>
            </w:tabs>
            <w:rPr>
              <w:rFonts w:eastAsiaTheme="minorEastAsia"/>
              <w:noProof/>
              <w:szCs w:val="22"/>
            </w:rPr>
          </w:pPr>
          <w:hyperlink w:anchor="_Toc147740883" w:history="1">
            <w:r w:rsidRPr="00C43C2C">
              <w:rPr>
                <w:rStyle w:val="a9"/>
                <w:rFonts w:ascii="楷体" w:eastAsia="楷体" w:hAnsi="楷体"/>
                <w:b/>
                <w:noProof/>
              </w:rPr>
              <w:t>工业硅：需求改善预期仍存，持续回调空间或有限</w:t>
            </w:r>
          </w:hyperlink>
        </w:p>
        <w:p w:rsidR="00702D65" w:rsidRDefault="00702D65">
          <w:pPr>
            <w:pStyle w:val="11"/>
            <w:tabs>
              <w:tab w:val="right" w:leader="dot" w:pos="8296"/>
            </w:tabs>
            <w:rPr>
              <w:rFonts w:eastAsiaTheme="minorEastAsia"/>
              <w:noProof/>
              <w:szCs w:val="22"/>
            </w:rPr>
          </w:pPr>
          <w:hyperlink w:anchor="_Toc147740884" w:history="1">
            <w:r w:rsidRPr="00C43C2C">
              <w:rPr>
                <w:rStyle w:val="a9"/>
                <w:rFonts w:ascii="Times New Roman" w:eastAsia="楷体" w:hAnsi="Times New Roman"/>
                <w:b/>
                <w:noProof/>
              </w:rPr>
              <w:t>[</w:t>
            </w:r>
            <w:r w:rsidRPr="00C43C2C">
              <w:rPr>
                <w:rStyle w:val="a9"/>
                <w:rFonts w:ascii="Times New Roman" w:eastAsia="楷体" w:hAnsi="Times New Roman"/>
                <w:b/>
                <w:noProof/>
              </w:rPr>
              <w:t>化工</w:t>
            </w:r>
            <w:r w:rsidRPr="00C43C2C">
              <w:rPr>
                <w:rStyle w:val="a9"/>
                <w:rFonts w:ascii="Times New Roman" w:eastAsia="楷体" w:hAnsi="Times New Roman"/>
                <w:b/>
                <w:noProof/>
              </w:rPr>
              <w:t>]</w:t>
            </w:r>
          </w:hyperlink>
        </w:p>
        <w:p w:rsidR="00702D65" w:rsidRDefault="00702D65">
          <w:pPr>
            <w:pStyle w:val="23"/>
            <w:tabs>
              <w:tab w:val="right" w:leader="dot" w:pos="8296"/>
            </w:tabs>
            <w:rPr>
              <w:rFonts w:eastAsiaTheme="minorEastAsia"/>
              <w:noProof/>
              <w:szCs w:val="22"/>
            </w:rPr>
          </w:pPr>
          <w:hyperlink w:anchor="_Toc147740885" w:history="1">
            <w:r w:rsidRPr="00C43C2C">
              <w:rPr>
                <w:rStyle w:val="a9"/>
                <w:rFonts w:ascii="Times New Roman" w:eastAsia="楷体" w:hAnsi="Times New Roman"/>
                <w:b/>
                <w:noProof/>
              </w:rPr>
              <w:t>天然橡胶</w:t>
            </w:r>
            <w:r w:rsidRPr="00C43C2C">
              <w:rPr>
                <w:rStyle w:val="a9"/>
                <w:rFonts w:ascii="Times New Roman" w:eastAsia="楷体" w:hAnsi="Times New Roman"/>
                <w:b/>
                <w:noProof/>
              </w:rPr>
              <w:t>:</w:t>
            </w:r>
            <w:r w:rsidRPr="00C43C2C">
              <w:rPr>
                <w:rStyle w:val="a9"/>
                <w:rFonts w:ascii="楷体" w:eastAsia="楷体" w:hAnsi="楷体"/>
                <w:b/>
                <w:noProof/>
              </w:rPr>
              <w:t xml:space="preserve"> 节后市场资金活跃度较节前改善 天胶或小幅上涨</w:t>
            </w:r>
          </w:hyperlink>
        </w:p>
        <w:p w:rsidR="00702D65" w:rsidRDefault="00702D65">
          <w:pPr>
            <w:pStyle w:val="23"/>
            <w:tabs>
              <w:tab w:val="right" w:leader="dot" w:pos="8296"/>
            </w:tabs>
            <w:rPr>
              <w:rFonts w:eastAsiaTheme="minorEastAsia"/>
              <w:noProof/>
              <w:szCs w:val="22"/>
            </w:rPr>
          </w:pPr>
          <w:hyperlink w:anchor="_Toc147740886" w:history="1">
            <w:r w:rsidRPr="00C43C2C">
              <w:rPr>
                <w:rStyle w:val="a9"/>
                <w:rFonts w:ascii="楷体" w:eastAsia="楷体" w:hAnsi="楷体"/>
                <w:b/>
                <w:noProof/>
              </w:rPr>
              <w:t>PTA：跟随成本端回调 等待企稳</w:t>
            </w:r>
          </w:hyperlink>
        </w:p>
        <w:p w:rsidR="00702D65" w:rsidRDefault="00702D65">
          <w:pPr>
            <w:pStyle w:val="23"/>
            <w:tabs>
              <w:tab w:val="right" w:leader="dot" w:pos="8296"/>
            </w:tabs>
            <w:rPr>
              <w:rFonts w:eastAsiaTheme="minorEastAsia"/>
              <w:noProof/>
              <w:szCs w:val="22"/>
            </w:rPr>
          </w:pPr>
          <w:hyperlink w:anchor="_Toc147740887" w:history="1">
            <w:r w:rsidRPr="00C43C2C">
              <w:rPr>
                <w:rStyle w:val="a9"/>
                <w:rFonts w:ascii="楷体" w:eastAsia="楷体" w:hAnsi="楷体"/>
                <w:b/>
                <w:noProof/>
              </w:rPr>
              <w:t>PVC：高库存+弱复苏 驱动不足</w:t>
            </w:r>
          </w:hyperlink>
        </w:p>
        <w:p w:rsidR="00702D65" w:rsidRDefault="00702D65">
          <w:pPr>
            <w:pStyle w:val="23"/>
            <w:tabs>
              <w:tab w:val="right" w:leader="dot" w:pos="8296"/>
            </w:tabs>
            <w:rPr>
              <w:rFonts w:eastAsiaTheme="minorEastAsia"/>
              <w:noProof/>
              <w:szCs w:val="22"/>
            </w:rPr>
          </w:pPr>
          <w:hyperlink w:anchor="_Toc147740888" w:history="1">
            <w:r w:rsidRPr="00C43C2C">
              <w:rPr>
                <w:rStyle w:val="a9"/>
                <w:rFonts w:ascii="楷体" w:eastAsia="楷体" w:hAnsi="楷体"/>
                <w:b/>
                <w:noProof/>
              </w:rPr>
              <w:t>聚烯烃：供需支撑减弱 聚烯烃偏弱整理为主</w:t>
            </w:r>
          </w:hyperlink>
        </w:p>
        <w:p w:rsidR="00702D65" w:rsidRDefault="00702D65">
          <w:pPr>
            <w:pStyle w:val="23"/>
            <w:tabs>
              <w:tab w:val="right" w:leader="dot" w:pos="8296"/>
            </w:tabs>
            <w:rPr>
              <w:rFonts w:eastAsiaTheme="minorEastAsia"/>
              <w:noProof/>
              <w:szCs w:val="22"/>
            </w:rPr>
          </w:pPr>
          <w:hyperlink w:anchor="_Toc147740889" w:history="1">
            <w:r w:rsidRPr="00C43C2C">
              <w:rPr>
                <w:rStyle w:val="a9"/>
                <w:rFonts w:ascii="楷体" w:eastAsia="楷体" w:hAnsi="楷体"/>
                <w:b/>
                <w:noProof/>
              </w:rPr>
              <w:t>MEG：供应端压力增量明显 上行驱动不足</w:t>
            </w:r>
          </w:hyperlink>
        </w:p>
        <w:p w:rsidR="00702D65" w:rsidRDefault="00702D65">
          <w:pPr>
            <w:pStyle w:val="23"/>
            <w:tabs>
              <w:tab w:val="right" w:leader="dot" w:pos="8296"/>
            </w:tabs>
            <w:rPr>
              <w:rFonts w:eastAsiaTheme="minorEastAsia"/>
              <w:noProof/>
              <w:szCs w:val="22"/>
            </w:rPr>
          </w:pPr>
          <w:hyperlink w:anchor="_Toc147740890" w:history="1">
            <w:r w:rsidRPr="00C43C2C">
              <w:rPr>
                <w:rStyle w:val="a9"/>
                <w:rFonts w:ascii="楷体" w:eastAsia="楷体" w:hAnsi="楷体"/>
                <w:b/>
                <w:noProof/>
              </w:rPr>
              <w:t>玻璃：现货强势，短期有上涨驱动</w:t>
            </w:r>
          </w:hyperlink>
        </w:p>
        <w:p w:rsidR="00702D65" w:rsidRDefault="00702D65">
          <w:pPr>
            <w:pStyle w:val="23"/>
            <w:tabs>
              <w:tab w:val="right" w:leader="dot" w:pos="8296"/>
            </w:tabs>
            <w:rPr>
              <w:rFonts w:eastAsiaTheme="minorEastAsia"/>
              <w:noProof/>
              <w:szCs w:val="22"/>
            </w:rPr>
          </w:pPr>
          <w:hyperlink w:anchor="_Toc147740891" w:history="1">
            <w:r w:rsidRPr="00C43C2C">
              <w:rPr>
                <w:rStyle w:val="a9"/>
                <w:rFonts w:ascii="楷体" w:eastAsia="楷体" w:hAnsi="楷体"/>
                <w:b/>
                <w:noProof/>
              </w:rPr>
              <w:t>纯碱：轻重碱价格松动，期价预计下行</w:t>
            </w:r>
          </w:hyperlink>
        </w:p>
        <w:p w:rsidR="00702D65" w:rsidRDefault="00702D65">
          <w:pPr>
            <w:pStyle w:val="11"/>
            <w:tabs>
              <w:tab w:val="right" w:leader="dot" w:pos="8296"/>
            </w:tabs>
            <w:rPr>
              <w:rFonts w:eastAsiaTheme="minorEastAsia"/>
              <w:noProof/>
              <w:szCs w:val="22"/>
            </w:rPr>
          </w:pPr>
          <w:hyperlink w:anchor="_Toc147740892" w:history="1">
            <w:r w:rsidRPr="00C43C2C">
              <w:rPr>
                <w:rStyle w:val="a9"/>
                <w:rFonts w:ascii="Times New Roman" w:eastAsia="楷体" w:hAnsi="Times New Roman"/>
                <w:b/>
                <w:noProof/>
              </w:rPr>
              <w:t>[</w:t>
            </w:r>
            <w:r w:rsidRPr="00C43C2C">
              <w:rPr>
                <w:rStyle w:val="a9"/>
                <w:rFonts w:ascii="Times New Roman" w:eastAsia="楷体" w:hAnsi="Times New Roman"/>
                <w:b/>
                <w:noProof/>
              </w:rPr>
              <w:t>农产品</w:t>
            </w:r>
            <w:r w:rsidRPr="00C43C2C">
              <w:rPr>
                <w:rStyle w:val="a9"/>
                <w:rFonts w:ascii="Times New Roman" w:eastAsia="楷体" w:hAnsi="Times New Roman"/>
                <w:b/>
                <w:noProof/>
              </w:rPr>
              <w:t>]</w:t>
            </w:r>
          </w:hyperlink>
        </w:p>
        <w:p w:rsidR="00702D65" w:rsidRDefault="00702D65">
          <w:pPr>
            <w:pStyle w:val="23"/>
            <w:tabs>
              <w:tab w:val="right" w:leader="dot" w:pos="8296"/>
            </w:tabs>
            <w:rPr>
              <w:rFonts w:eastAsiaTheme="minorEastAsia"/>
              <w:noProof/>
              <w:szCs w:val="22"/>
            </w:rPr>
          </w:pPr>
          <w:hyperlink w:anchor="_Toc147740893" w:history="1">
            <w:r w:rsidRPr="00C43C2C">
              <w:rPr>
                <w:rStyle w:val="a9"/>
                <w:rFonts w:ascii="楷体" w:eastAsia="楷体" w:hAnsi="楷体"/>
                <w:b/>
                <w:noProof/>
              </w:rPr>
              <w:t>豆粕/菜粕：预计偏弱震荡</w:t>
            </w:r>
          </w:hyperlink>
        </w:p>
        <w:p w:rsidR="00702D65" w:rsidRDefault="00702D65">
          <w:pPr>
            <w:pStyle w:val="23"/>
            <w:tabs>
              <w:tab w:val="right" w:leader="dot" w:pos="8296"/>
            </w:tabs>
            <w:rPr>
              <w:rFonts w:eastAsiaTheme="minorEastAsia"/>
              <w:noProof/>
              <w:szCs w:val="22"/>
            </w:rPr>
          </w:pPr>
          <w:hyperlink w:anchor="_Toc147740894" w:history="1">
            <w:r w:rsidRPr="00C43C2C">
              <w:rPr>
                <w:rStyle w:val="a9"/>
                <w:rFonts w:ascii="楷体" w:eastAsia="楷体" w:hAnsi="楷体"/>
                <w:b/>
                <w:noProof/>
              </w:rPr>
              <w:t>油脂：或随外盘承压回调</w:t>
            </w:r>
          </w:hyperlink>
        </w:p>
        <w:p w:rsidR="00702D65" w:rsidRDefault="00702D65">
          <w:pPr>
            <w:pStyle w:val="23"/>
            <w:tabs>
              <w:tab w:val="right" w:leader="dot" w:pos="8296"/>
            </w:tabs>
            <w:rPr>
              <w:rFonts w:eastAsiaTheme="minorEastAsia"/>
              <w:noProof/>
              <w:szCs w:val="22"/>
            </w:rPr>
          </w:pPr>
          <w:hyperlink w:anchor="_Toc147740895" w:history="1">
            <w:r w:rsidRPr="00C43C2C">
              <w:rPr>
                <w:rStyle w:val="a9"/>
                <w:rFonts w:ascii="楷体" w:eastAsia="楷体" w:hAnsi="楷体"/>
                <w:b/>
                <w:bCs/>
                <w:noProof/>
              </w:rPr>
              <w:t>玉米与淀粉：</w:t>
            </w:r>
            <w:r w:rsidRPr="00C43C2C">
              <w:rPr>
                <w:rStyle w:val="a9"/>
                <w:rFonts w:ascii="楷体" w:eastAsia="楷体" w:hAnsi="楷体"/>
                <w:b/>
                <w:noProof/>
              </w:rPr>
              <w:t>等待新作压力释放</w:t>
            </w:r>
          </w:hyperlink>
        </w:p>
        <w:p w:rsidR="00702D65" w:rsidRDefault="00702D65">
          <w:pPr>
            <w:pStyle w:val="23"/>
            <w:tabs>
              <w:tab w:val="right" w:leader="dot" w:pos="8296"/>
            </w:tabs>
            <w:rPr>
              <w:rFonts w:eastAsiaTheme="minorEastAsia"/>
              <w:noProof/>
              <w:szCs w:val="22"/>
            </w:rPr>
          </w:pPr>
          <w:hyperlink w:anchor="_Toc147740896" w:history="1">
            <w:r w:rsidRPr="00C43C2C">
              <w:rPr>
                <w:rStyle w:val="a9"/>
                <w:rFonts w:ascii="楷体" w:eastAsia="楷体" w:hAnsi="楷体"/>
                <w:b/>
                <w:bCs/>
                <w:noProof/>
              </w:rPr>
              <w:t>畜禽养殖：鸡蛋期价震荡偏强</w:t>
            </w:r>
          </w:hyperlink>
        </w:p>
        <w:p w:rsidR="00702D65" w:rsidRDefault="00702D65">
          <w:pPr>
            <w:pStyle w:val="23"/>
            <w:tabs>
              <w:tab w:val="right" w:leader="dot" w:pos="8296"/>
            </w:tabs>
            <w:rPr>
              <w:rFonts w:eastAsiaTheme="minorEastAsia"/>
              <w:noProof/>
              <w:szCs w:val="22"/>
            </w:rPr>
          </w:pPr>
          <w:hyperlink w:anchor="_Toc147740897" w:history="1">
            <w:r w:rsidRPr="00C43C2C">
              <w:rPr>
                <w:rStyle w:val="a9"/>
                <w:rFonts w:ascii="楷体" w:eastAsia="楷体" w:hAnsi="楷体"/>
                <w:b/>
                <w:noProof/>
              </w:rPr>
              <w:t>郑棉：看跌期权卖权持有</w:t>
            </w:r>
          </w:hyperlink>
        </w:p>
        <w:p w:rsidR="00702D65" w:rsidRDefault="00702D65">
          <w:pPr>
            <w:pStyle w:val="23"/>
            <w:tabs>
              <w:tab w:val="right" w:leader="dot" w:pos="8296"/>
            </w:tabs>
            <w:rPr>
              <w:rFonts w:eastAsiaTheme="minorEastAsia"/>
              <w:noProof/>
              <w:szCs w:val="22"/>
            </w:rPr>
          </w:pPr>
          <w:hyperlink w:anchor="_Toc147740898" w:history="1">
            <w:r w:rsidRPr="00C43C2C">
              <w:rPr>
                <w:rStyle w:val="a9"/>
                <w:rFonts w:ascii="楷体" w:eastAsia="楷体" w:hAnsi="楷体"/>
                <w:b/>
                <w:noProof/>
              </w:rPr>
              <w:t>白糖：观望</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774086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7740869"/>
      <w:bookmarkEnd w:id="4"/>
      <w:r>
        <w:rPr>
          <w:rFonts w:ascii="Times New Roman" w:eastAsia="楷体" w:hAnsi="Times New Roman" w:hint="eastAsia"/>
          <w:b/>
          <w:color w:val="000000" w:themeColor="text1"/>
          <w:sz w:val="24"/>
          <w:szCs w:val="24"/>
        </w:rPr>
        <w:t>股指：</w:t>
      </w:r>
      <w:bookmarkEnd w:id="6"/>
      <w:bookmarkEnd w:id="7"/>
      <w:r w:rsidR="00815EF6" w:rsidRPr="00815EF6">
        <w:rPr>
          <w:rFonts w:ascii="Times New Roman" w:eastAsia="楷体" w:hAnsi="Times New Roman" w:hint="eastAsia"/>
          <w:b/>
          <w:color w:val="000000" w:themeColor="text1"/>
          <w:sz w:val="24"/>
          <w:szCs w:val="24"/>
        </w:rPr>
        <w:t>观望，若超跌可轻仓布局</w:t>
      </w:r>
      <w:r w:rsidR="00815EF6" w:rsidRPr="00815EF6">
        <w:rPr>
          <w:rFonts w:ascii="Times New Roman" w:eastAsia="楷体" w:hAnsi="Times New Roman" w:hint="eastAsia"/>
          <w:b/>
          <w:color w:val="000000" w:themeColor="text1"/>
          <w:sz w:val="24"/>
          <w:szCs w:val="24"/>
        </w:rPr>
        <w:t>IM</w:t>
      </w:r>
      <w:r w:rsidR="00815EF6" w:rsidRPr="00815EF6">
        <w:rPr>
          <w:rFonts w:ascii="Times New Roman" w:eastAsia="楷体" w:hAnsi="Times New Roman" w:hint="eastAsia"/>
          <w:b/>
          <w:color w:val="000000" w:themeColor="text1"/>
          <w:sz w:val="24"/>
          <w:szCs w:val="24"/>
        </w:rPr>
        <w:t>多单海外</w:t>
      </w:r>
      <w:bookmarkEnd w:id="8"/>
    </w:p>
    <w:p w:rsidR="003F56A5" w:rsidRDefault="00815EF6" w:rsidP="00D14B3E">
      <w:pPr>
        <w:ind w:leftChars="300" w:left="630"/>
        <w:rPr>
          <w:rFonts w:ascii="Times New Roman" w:eastAsia="楷体" w:hAnsi="Times New Roman"/>
          <w:color w:val="000000" w:themeColor="text1"/>
          <w:sz w:val="24"/>
          <w:szCs w:val="24"/>
        </w:rPr>
      </w:pPr>
      <w:r w:rsidRPr="00815EF6">
        <w:rPr>
          <w:rFonts w:ascii="Times New Roman" w:eastAsia="楷体" w:hAnsi="Times New Roman" w:hint="eastAsia"/>
          <w:color w:val="000000" w:themeColor="text1"/>
          <w:sz w:val="24"/>
          <w:szCs w:val="24"/>
        </w:rPr>
        <w:t>金融约束及地缘冲突对市场风险偏好短期有一定压制，但内部经济基本面温和改善，</w:t>
      </w:r>
      <w:r w:rsidRPr="00815EF6">
        <w:rPr>
          <w:rFonts w:ascii="Times New Roman" w:eastAsia="楷体" w:hAnsi="Times New Roman" w:hint="eastAsia"/>
          <w:color w:val="000000" w:themeColor="text1"/>
          <w:sz w:val="24"/>
          <w:szCs w:val="24"/>
        </w:rPr>
        <w:t>A</w:t>
      </w:r>
      <w:r w:rsidRPr="00815EF6">
        <w:rPr>
          <w:rFonts w:ascii="Times New Roman" w:eastAsia="楷体" w:hAnsi="Times New Roman" w:hint="eastAsia"/>
          <w:color w:val="000000" w:themeColor="text1"/>
          <w:sz w:val="24"/>
          <w:szCs w:val="24"/>
        </w:rPr>
        <w:t>股中期或仍能保持温和修复走势，若指数超跌可适当轻仓布局</w:t>
      </w:r>
      <w:r w:rsidRPr="00815EF6">
        <w:rPr>
          <w:rFonts w:ascii="Times New Roman" w:eastAsia="楷体" w:hAnsi="Times New Roman" w:hint="eastAsia"/>
          <w:color w:val="000000" w:themeColor="text1"/>
          <w:sz w:val="24"/>
          <w:szCs w:val="24"/>
        </w:rPr>
        <w:t>IM</w:t>
      </w:r>
      <w:r w:rsidRPr="00815EF6">
        <w:rPr>
          <w:rFonts w:ascii="Times New Roman" w:eastAsia="楷体" w:hAnsi="Times New Roman" w:hint="eastAsia"/>
          <w:color w:val="000000" w:themeColor="text1"/>
          <w:sz w:val="24"/>
          <w:szCs w:val="24"/>
        </w:rPr>
        <w:t>多单</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774087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7740871"/>
      <w:r>
        <w:rPr>
          <w:rFonts w:ascii="Times New Roman" w:eastAsia="楷体" w:hAnsi="Times New Roman" w:hint="eastAsia"/>
          <w:b/>
          <w:color w:val="000000" w:themeColor="text1"/>
          <w:sz w:val="24"/>
          <w:szCs w:val="24"/>
        </w:rPr>
        <w:t>贵金属：</w:t>
      </w:r>
      <w:r w:rsidR="006C38A8" w:rsidRPr="006C38A8">
        <w:rPr>
          <w:rFonts w:ascii="Times New Roman" w:eastAsia="楷体" w:hAnsi="Times New Roman" w:hint="eastAsia"/>
          <w:b/>
          <w:color w:val="000000" w:themeColor="text1"/>
          <w:sz w:val="24"/>
          <w:szCs w:val="24"/>
        </w:rPr>
        <w:t>假期外盘连续下跌，内盘贵金属价格或跳空低开</w:t>
      </w:r>
      <w:bookmarkEnd w:id="10"/>
    </w:p>
    <w:p w:rsidR="003F56A5" w:rsidRDefault="006C38A8">
      <w:pPr>
        <w:ind w:leftChars="300" w:left="630"/>
        <w:rPr>
          <w:rFonts w:ascii="Times New Roman" w:eastAsia="楷体" w:hAnsi="Times New Roman"/>
          <w:sz w:val="24"/>
          <w:szCs w:val="24"/>
        </w:rPr>
      </w:pPr>
      <w:r w:rsidRPr="006C38A8">
        <w:rPr>
          <w:rFonts w:ascii="Times New Roman" w:eastAsia="楷体" w:hAnsi="Times New Roman" w:hint="eastAsia"/>
          <w:color w:val="000000" w:themeColor="text1"/>
          <w:sz w:val="24"/>
          <w:szCs w:val="24"/>
        </w:rPr>
        <w:t>中秋国庆长假期间，外盘金价、银价大幅下跌至长期均线支撑位，周五止跌小幅反弹。</w:t>
      </w:r>
      <w:r w:rsidRPr="006C38A8">
        <w:rPr>
          <w:rFonts w:ascii="Times New Roman" w:eastAsia="楷体" w:hAnsi="Times New Roman" w:hint="eastAsia"/>
          <w:color w:val="000000" w:themeColor="text1"/>
          <w:sz w:val="24"/>
          <w:szCs w:val="24"/>
        </w:rPr>
        <w:t>COMEX</w:t>
      </w:r>
      <w:r w:rsidRPr="006C38A8">
        <w:rPr>
          <w:rFonts w:ascii="Times New Roman" w:eastAsia="楷体" w:hAnsi="Times New Roman" w:hint="eastAsia"/>
          <w:color w:val="000000" w:themeColor="text1"/>
          <w:sz w:val="24"/>
          <w:szCs w:val="24"/>
        </w:rPr>
        <w:t>金价下跌</w:t>
      </w:r>
      <w:r w:rsidRPr="006C38A8">
        <w:rPr>
          <w:rFonts w:ascii="Times New Roman" w:eastAsia="楷体" w:hAnsi="Times New Roman" w:hint="eastAsia"/>
          <w:color w:val="000000" w:themeColor="text1"/>
          <w:sz w:val="24"/>
          <w:szCs w:val="24"/>
        </w:rPr>
        <w:t>2.32%</w:t>
      </w:r>
      <w:r w:rsidRPr="006C38A8">
        <w:rPr>
          <w:rFonts w:ascii="Times New Roman" w:eastAsia="楷体" w:hAnsi="Times New Roman" w:hint="eastAsia"/>
          <w:color w:val="000000" w:themeColor="text1"/>
          <w:sz w:val="24"/>
          <w:szCs w:val="24"/>
        </w:rPr>
        <w:t>至</w:t>
      </w:r>
      <w:r w:rsidRPr="006C38A8">
        <w:rPr>
          <w:rFonts w:ascii="Times New Roman" w:eastAsia="楷体" w:hAnsi="Times New Roman" w:hint="eastAsia"/>
          <w:color w:val="000000" w:themeColor="text1"/>
          <w:sz w:val="24"/>
          <w:szCs w:val="24"/>
        </w:rPr>
        <w:t>1847.0</w:t>
      </w:r>
      <w:r w:rsidRPr="006C38A8">
        <w:rPr>
          <w:rFonts w:ascii="Times New Roman" w:eastAsia="楷体" w:hAnsi="Times New Roman" w:hint="eastAsia"/>
          <w:color w:val="000000" w:themeColor="text1"/>
          <w:sz w:val="24"/>
          <w:szCs w:val="24"/>
        </w:rPr>
        <w:t>美元</w:t>
      </w:r>
      <w:r w:rsidRPr="006C38A8">
        <w:rPr>
          <w:rFonts w:ascii="Times New Roman" w:eastAsia="楷体" w:hAnsi="Times New Roman" w:hint="eastAsia"/>
          <w:color w:val="000000" w:themeColor="text1"/>
          <w:sz w:val="24"/>
          <w:szCs w:val="24"/>
        </w:rPr>
        <w:t>/</w:t>
      </w:r>
      <w:r w:rsidRPr="006C38A8">
        <w:rPr>
          <w:rFonts w:ascii="Times New Roman" w:eastAsia="楷体" w:hAnsi="Times New Roman" w:hint="eastAsia"/>
          <w:color w:val="000000" w:themeColor="text1"/>
          <w:sz w:val="24"/>
          <w:szCs w:val="24"/>
        </w:rPr>
        <w:t>盎司；</w:t>
      </w:r>
      <w:r w:rsidRPr="006C38A8">
        <w:rPr>
          <w:rFonts w:ascii="Times New Roman" w:eastAsia="楷体" w:hAnsi="Times New Roman" w:hint="eastAsia"/>
          <w:color w:val="000000" w:themeColor="text1"/>
          <w:sz w:val="24"/>
          <w:szCs w:val="24"/>
        </w:rPr>
        <w:t>COMEX</w:t>
      </w:r>
      <w:r w:rsidRPr="006C38A8">
        <w:rPr>
          <w:rFonts w:ascii="Times New Roman" w:eastAsia="楷体" w:hAnsi="Times New Roman" w:hint="eastAsia"/>
          <w:color w:val="000000" w:themeColor="text1"/>
          <w:sz w:val="24"/>
          <w:szCs w:val="24"/>
        </w:rPr>
        <w:t>银价下跌</w:t>
      </w:r>
      <w:r w:rsidRPr="006C38A8">
        <w:rPr>
          <w:rFonts w:ascii="Times New Roman" w:eastAsia="楷体" w:hAnsi="Times New Roman" w:hint="eastAsia"/>
          <w:color w:val="000000" w:themeColor="text1"/>
          <w:sz w:val="24"/>
          <w:szCs w:val="24"/>
        </w:rPr>
        <w:t>4.22%</w:t>
      </w:r>
      <w:r w:rsidRPr="006C38A8">
        <w:rPr>
          <w:rFonts w:ascii="Times New Roman" w:eastAsia="楷体" w:hAnsi="Times New Roman" w:hint="eastAsia"/>
          <w:color w:val="000000" w:themeColor="text1"/>
          <w:sz w:val="24"/>
          <w:szCs w:val="24"/>
        </w:rPr>
        <w:t>至</w:t>
      </w:r>
      <w:r w:rsidRPr="006C38A8">
        <w:rPr>
          <w:rFonts w:ascii="Times New Roman" w:eastAsia="楷体" w:hAnsi="Times New Roman" w:hint="eastAsia"/>
          <w:color w:val="000000" w:themeColor="text1"/>
          <w:sz w:val="24"/>
          <w:szCs w:val="24"/>
        </w:rPr>
        <w:t>21.765</w:t>
      </w:r>
      <w:r w:rsidRPr="006C38A8">
        <w:rPr>
          <w:rFonts w:ascii="Times New Roman" w:eastAsia="楷体" w:hAnsi="Times New Roman" w:hint="eastAsia"/>
          <w:color w:val="000000" w:themeColor="text1"/>
          <w:sz w:val="24"/>
          <w:szCs w:val="24"/>
        </w:rPr>
        <w:t>美元</w:t>
      </w:r>
      <w:r w:rsidRPr="006C38A8">
        <w:rPr>
          <w:rFonts w:ascii="Times New Roman" w:eastAsia="楷体" w:hAnsi="Times New Roman" w:hint="eastAsia"/>
          <w:color w:val="000000" w:themeColor="text1"/>
          <w:sz w:val="24"/>
          <w:szCs w:val="24"/>
        </w:rPr>
        <w:t>/</w:t>
      </w:r>
      <w:r w:rsidRPr="006C38A8">
        <w:rPr>
          <w:rFonts w:ascii="Times New Roman" w:eastAsia="楷体" w:hAnsi="Times New Roman" w:hint="eastAsia"/>
          <w:color w:val="000000" w:themeColor="text1"/>
          <w:sz w:val="24"/>
          <w:szCs w:val="24"/>
        </w:rPr>
        <w:t>盎司。假期期间外盘贵金属价格大幅下跌的最主要原因在于美债收益率反弹，十年期美债收益率大幅上升至</w:t>
      </w:r>
      <w:r w:rsidRPr="006C38A8">
        <w:rPr>
          <w:rFonts w:ascii="Times New Roman" w:eastAsia="楷体" w:hAnsi="Times New Roman" w:hint="eastAsia"/>
          <w:color w:val="000000" w:themeColor="text1"/>
          <w:sz w:val="24"/>
          <w:szCs w:val="24"/>
        </w:rPr>
        <w:t>4.88%</w:t>
      </w:r>
      <w:r w:rsidRPr="006C38A8">
        <w:rPr>
          <w:rFonts w:ascii="Times New Roman" w:eastAsia="楷体" w:hAnsi="Times New Roman" w:hint="eastAsia"/>
          <w:color w:val="000000" w:themeColor="text1"/>
          <w:sz w:val="24"/>
          <w:szCs w:val="24"/>
        </w:rPr>
        <w:t>，上涨近</w:t>
      </w:r>
      <w:r w:rsidRPr="006C38A8">
        <w:rPr>
          <w:rFonts w:ascii="Times New Roman" w:eastAsia="楷体" w:hAnsi="Times New Roman" w:hint="eastAsia"/>
          <w:color w:val="000000" w:themeColor="text1"/>
          <w:sz w:val="24"/>
          <w:szCs w:val="24"/>
        </w:rPr>
        <w:t>30bp</w:t>
      </w:r>
      <w:r w:rsidRPr="006C38A8">
        <w:rPr>
          <w:rFonts w:ascii="Times New Roman" w:eastAsia="楷体" w:hAnsi="Times New Roman" w:hint="eastAsia"/>
          <w:color w:val="000000" w:themeColor="text1"/>
          <w:sz w:val="24"/>
          <w:szCs w:val="24"/>
        </w:rPr>
        <w:t>。一方面，美国非农数据表现强势，美国</w:t>
      </w:r>
      <w:r w:rsidRPr="006C38A8">
        <w:rPr>
          <w:rFonts w:ascii="Times New Roman" w:eastAsia="楷体" w:hAnsi="Times New Roman" w:hint="eastAsia"/>
          <w:color w:val="000000" w:themeColor="text1"/>
          <w:sz w:val="24"/>
          <w:szCs w:val="24"/>
        </w:rPr>
        <w:t>9</w:t>
      </w:r>
      <w:r w:rsidRPr="006C38A8">
        <w:rPr>
          <w:rFonts w:ascii="Times New Roman" w:eastAsia="楷体" w:hAnsi="Times New Roman" w:hint="eastAsia"/>
          <w:color w:val="000000" w:themeColor="text1"/>
          <w:sz w:val="24"/>
          <w:szCs w:val="24"/>
        </w:rPr>
        <w:t>月新增非农就业人数录得增</w:t>
      </w:r>
      <w:r w:rsidRPr="006C38A8">
        <w:rPr>
          <w:rFonts w:ascii="Times New Roman" w:eastAsia="楷体" w:hAnsi="Times New Roman" w:hint="eastAsia"/>
          <w:color w:val="000000" w:themeColor="text1"/>
          <w:sz w:val="24"/>
          <w:szCs w:val="24"/>
        </w:rPr>
        <w:t>33.6</w:t>
      </w:r>
      <w:r w:rsidRPr="006C38A8">
        <w:rPr>
          <w:rFonts w:ascii="Times New Roman" w:eastAsia="楷体" w:hAnsi="Times New Roman" w:hint="eastAsia"/>
          <w:color w:val="000000" w:themeColor="text1"/>
          <w:sz w:val="24"/>
          <w:szCs w:val="24"/>
        </w:rPr>
        <w:t>万人，较上月而言上升</w:t>
      </w:r>
      <w:r w:rsidRPr="006C38A8">
        <w:rPr>
          <w:rFonts w:ascii="Times New Roman" w:eastAsia="楷体" w:hAnsi="Times New Roman" w:hint="eastAsia"/>
          <w:color w:val="000000" w:themeColor="text1"/>
          <w:sz w:val="24"/>
          <w:szCs w:val="24"/>
        </w:rPr>
        <w:t>10.9</w:t>
      </w:r>
      <w:r w:rsidRPr="006C38A8">
        <w:rPr>
          <w:rFonts w:ascii="Times New Roman" w:eastAsia="楷体" w:hAnsi="Times New Roman" w:hint="eastAsia"/>
          <w:color w:val="000000" w:themeColor="text1"/>
          <w:sz w:val="24"/>
          <w:szCs w:val="24"/>
        </w:rPr>
        <w:t>万人，高于此前预期。分项而言，</w:t>
      </w:r>
      <w:r w:rsidRPr="006C38A8">
        <w:rPr>
          <w:rFonts w:ascii="Times New Roman" w:eastAsia="楷体" w:hAnsi="Times New Roman" w:hint="eastAsia"/>
          <w:color w:val="000000" w:themeColor="text1"/>
          <w:sz w:val="24"/>
          <w:szCs w:val="24"/>
        </w:rPr>
        <w:t>9</w:t>
      </w:r>
      <w:r w:rsidRPr="006C38A8">
        <w:rPr>
          <w:rFonts w:ascii="Times New Roman" w:eastAsia="楷体" w:hAnsi="Times New Roman" w:hint="eastAsia"/>
          <w:color w:val="000000" w:themeColor="text1"/>
          <w:sz w:val="24"/>
          <w:szCs w:val="24"/>
        </w:rPr>
        <w:t>月新增非农就业主要受休闲和酒店业、政府部门、教育和保健服务所拉动。另一方面，在加息周期接近尾声的同时，美联储维持不会立即降息的立场，为美债收益率近期强势表现提供支撑，而近期美元流动性收缩或提示经济衰退隐忧。美元指数升至</w:t>
      </w:r>
      <w:r w:rsidRPr="006C38A8">
        <w:rPr>
          <w:rFonts w:ascii="Times New Roman" w:eastAsia="楷体" w:hAnsi="Times New Roman" w:hint="eastAsia"/>
          <w:color w:val="000000" w:themeColor="text1"/>
          <w:sz w:val="24"/>
          <w:szCs w:val="24"/>
        </w:rPr>
        <w:t>106.12</w:t>
      </w:r>
      <w:r w:rsidRPr="006C38A8">
        <w:rPr>
          <w:rFonts w:ascii="Times New Roman" w:eastAsia="楷体" w:hAnsi="Times New Roman" w:hint="eastAsia"/>
          <w:color w:val="000000" w:themeColor="text1"/>
          <w:sz w:val="24"/>
          <w:szCs w:val="24"/>
        </w:rPr>
        <w:t>高位，美元指数、美债收益率强势表现令贵金属价格承压，内盘贵金属价格或跳空低开，建议谨慎观望</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774087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7740873"/>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6C38A8" w:rsidRPr="006C38A8">
        <w:rPr>
          <w:rFonts w:ascii="楷体" w:eastAsia="楷体" w:hAnsi="楷体" w:hint="eastAsia"/>
          <w:b/>
          <w:color w:val="000000" w:themeColor="text1"/>
          <w:sz w:val="24"/>
          <w:szCs w:val="24"/>
        </w:rPr>
        <w:t>供需趋弱成交低迷，市场维持观望</w:t>
      </w:r>
      <w:bookmarkEnd w:id="18"/>
    </w:p>
    <w:p w:rsidR="00F50569" w:rsidRDefault="006C38A8" w:rsidP="00F50569">
      <w:pPr>
        <w:ind w:leftChars="300" w:left="630"/>
        <w:rPr>
          <w:rFonts w:ascii="楷体" w:eastAsia="楷体" w:hAnsi="楷体"/>
          <w:color w:val="000000" w:themeColor="text1"/>
          <w:sz w:val="24"/>
          <w:szCs w:val="24"/>
        </w:rPr>
      </w:pPr>
      <w:r w:rsidRPr="006C38A8">
        <w:rPr>
          <w:rFonts w:ascii="楷体" w:eastAsia="楷体" w:hAnsi="楷体" w:hint="eastAsia"/>
          <w:color w:val="000000" w:themeColor="text1"/>
          <w:sz w:val="24"/>
          <w:szCs w:val="24"/>
        </w:rPr>
        <w:t>外采锂云母提锂出现成本倒挂，供需趋弱，近期锂企开工率下降，节前江西地区头部生产企业宣布10月启动检修，预计或影响约3000吨产量。假期期间fastmarket现货报价显示，电池级碳酸锂亚洲CIF均价24.5美元/千克，欧美DDP均价26美元/千克，较上周下跌近2%。云母矿山近期或有所减产，锂辉石方面国内精矿价格持续下跌，海外精矿价格维持偏高抑制进口意愿。下游开工维持低位，采购排期或有所延后，观望情绪维持浓厚。近期成本逻辑对锂价支撑较弱，节前现货市场成交低迷，锂价或维持偏弱运行</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7740874"/>
      <w:r>
        <w:rPr>
          <w:rFonts w:ascii="楷体" w:eastAsia="楷体" w:hAnsi="楷体" w:hint="eastAsia"/>
          <w:b/>
          <w:color w:val="000000" w:themeColor="text1"/>
          <w:sz w:val="24"/>
          <w:szCs w:val="24"/>
        </w:rPr>
        <w:t>螺纹钢：</w:t>
      </w:r>
      <w:bookmarkEnd w:id="16"/>
      <w:bookmarkEnd w:id="17"/>
      <w:r w:rsidR="006C38A8" w:rsidRPr="006C38A8">
        <w:rPr>
          <w:rFonts w:ascii="楷体" w:eastAsia="楷体" w:hAnsi="楷体" w:hint="eastAsia"/>
          <w:b/>
          <w:color w:val="000000" w:themeColor="text1"/>
          <w:sz w:val="24"/>
          <w:szCs w:val="24"/>
        </w:rPr>
        <w:t>旺季平淡开局，回调压力明显</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6C38A8" w:rsidP="00201944">
      <w:pPr>
        <w:ind w:leftChars="300" w:left="630"/>
        <w:rPr>
          <w:rFonts w:ascii="楷体" w:eastAsia="楷体" w:hAnsi="楷体"/>
          <w:color w:val="000000" w:themeColor="text1"/>
          <w:sz w:val="24"/>
          <w:szCs w:val="24"/>
        </w:rPr>
      </w:pPr>
      <w:r w:rsidRPr="006C38A8">
        <w:rPr>
          <w:rFonts w:ascii="楷体" w:eastAsia="楷体" w:hAnsi="楷体" w:hint="eastAsia"/>
          <w:color w:val="000000" w:themeColor="text1"/>
          <w:sz w:val="24"/>
          <w:szCs w:val="24"/>
        </w:rPr>
        <w:t>成材成本定价逻辑持续，成材下滑程度决定原料调整幅度。需求相对平淡，板材的高显性库存压制成材价格上行，成材价格的疲弱突出成材与原料的利润矛盾。后续需求或季节性走弱，高位铁水或持续回落并推动原料调整。当前供需矛盾并不大，成本利润矛盾更加突出，铁水缓慢下行，回调或相对曲折。当前成本端支撑仍较强，各环节库存不高，关注下游低价补库的意愿</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7740875"/>
      <w:r>
        <w:rPr>
          <w:rFonts w:ascii="楷体" w:eastAsia="楷体" w:hAnsi="楷体" w:hint="eastAsia"/>
          <w:b/>
          <w:color w:val="000000" w:themeColor="text1"/>
          <w:sz w:val="24"/>
          <w:szCs w:val="24"/>
        </w:rPr>
        <w:t>焦炭：</w:t>
      </w:r>
      <w:bookmarkEnd w:id="20"/>
      <w:bookmarkEnd w:id="21"/>
      <w:r w:rsidR="006C38A8" w:rsidRPr="006C38A8">
        <w:rPr>
          <w:rFonts w:ascii="楷体" w:eastAsia="楷体" w:hAnsi="楷体" w:hint="eastAsia"/>
          <w:b/>
          <w:color w:val="000000" w:themeColor="text1"/>
          <w:sz w:val="24"/>
          <w:szCs w:val="24"/>
        </w:rPr>
        <w:t>现货偏强运行，成材压力或导致基差走强</w:t>
      </w:r>
      <w:bookmarkEnd w:id="22"/>
    </w:p>
    <w:p w:rsidR="003F56A5" w:rsidRDefault="006C38A8" w:rsidP="00572E35">
      <w:pPr>
        <w:ind w:leftChars="300" w:left="630"/>
        <w:rPr>
          <w:rFonts w:ascii="楷体" w:eastAsia="楷体" w:hAnsi="楷体"/>
          <w:color w:val="000000" w:themeColor="text1"/>
          <w:sz w:val="24"/>
          <w:szCs w:val="24"/>
        </w:rPr>
      </w:pPr>
      <w:r w:rsidRPr="006C38A8">
        <w:rPr>
          <w:rFonts w:ascii="楷体" w:eastAsia="楷体" w:hAnsi="楷体" w:hint="eastAsia"/>
          <w:color w:val="000000" w:themeColor="text1"/>
          <w:sz w:val="24"/>
          <w:szCs w:val="24"/>
        </w:rPr>
        <w:t>下游库存偏低，节后仍存在一定补库需求，现货价格或继续偏强运行。但成材价格及利润压力明显，原料上行驱动或转弱，盘面或回调调整估值</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7740876"/>
      <w:r>
        <w:rPr>
          <w:rFonts w:ascii="楷体" w:eastAsia="楷体" w:hAnsi="楷体" w:hint="eastAsia"/>
          <w:b/>
          <w:color w:val="000000" w:themeColor="text1"/>
          <w:sz w:val="24"/>
          <w:szCs w:val="24"/>
        </w:rPr>
        <w:t>焦煤：</w:t>
      </w:r>
      <w:r w:rsidR="006C38A8" w:rsidRPr="006C38A8">
        <w:rPr>
          <w:rFonts w:ascii="楷体" w:eastAsia="楷体" w:hAnsi="楷体" w:hint="eastAsia"/>
          <w:b/>
          <w:sz w:val="24"/>
          <w:szCs w:val="24"/>
        </w:rPr>
        <w:t>供应支撑现货价格，成材压力或导致基差走强</w:t>
      </w:r>
      <w:bookmarkEnd w:id="23"/>
    </w:p>
    <w:p w:rsidR="003F56A5" w:rsidRDefault="006C38A8">
      <w:pPr>
        <w:ind w:leftChars="300" w:left="630"/>
        <w:rPr>
          <w:rFonts w:ascii="楷体" w:eastAsia="楷体" w:hAnsi="楷体"/>
          <w:bCs/>
          <w:sz w:val="24"/>
          <w:szCs w:val="24"/>
        </w:rPr>
      </w:pPr>
      <w:r w:rsidRPr="006C38A8">
        <w:rPr>
          <w:rFonts w:ascii="楷体" w:eastAsia="楷体" w:hAnsi="楷体" w:hint="eastAsia"/>
          <w:sz w:val="24"/>
          <w:szCs w:val="24"/>
        </w:rPr>
        <w:t>下游库存偏低，节中安全事故仍扰动供应，现货价格或继续偏强运行。但成材价格及利润压力明显，原料上行驱动或转弱，盘面或回调调整估值</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7740877"/>
      <w:r>
        <w:rPr>
          <w:rFonts w:ascii="楷体" w:eastAsia="楷体" w:hAnsi="楷体" w:hint="eastAsia"/>
          <w:b/>
          <w:color w:val="000000" w:themeColor="text1"/>
          <w:sz w:val="24"/>
          <w:szCs w:val="24"/>
        </w:rPr>
        <w:t>铜：</w:t>
      </w:r>
      <w:bookmarkEnd w:id="24"/>
      <w:bookmarkEnd w:id="25"/>
      <w:r w:rsidR="006C38A8" w:rsidRPr="006C38A8">
        <w:rPr>
          <w:rFonts w:ascii="楷体" w:eastAsia="楷体" w:hAnsi="楷体" w:hint="eastAsia"/>
          <w:b/>
          <w:color w:val="000000" w:themeColor="text1"/>
          <w:sz w:val="24"/>
          <w:szCs w:val="24"/>
        </w:rPr>
        <w:t>受外盘影响，节后沪铜存继续下行压力</w:t>
      </w:r>
      <w:bookmarkEnd w:id="26"/>
    </w:p>
    <w:p w:rsidR="006C38A8" w:rsidRPr="006C38A8" w:rsidRDefault="006C38A8" w:rsidP="006C38A8">
      <w:pPr>
        <w:ind w:leftChars="300" w:left="630"/>
        <w:rPr>
          <w:rFonts w:ascii="楷体" w:eastAsia="楷体" w:hAnsi="楷体" w:hint="eastAsia"/>
          <w:color w:val="000000" w:themeColor="text1"/>
          <w:sz w:val="24"/>
          <w:szCs w:val="24"/>
        </w:rPr>
      </w:pPr>
      <w:r w:rsidRPr="006C38A8">
        <w:rPr>
          <w:rFonts w:ascii="楷体" w:eastAsia="楷体" w:hAnsi="楷体" w:hint="eastAsia"/>
          <w:color w:val="000000" w:themeColor="text1"/>
          <w:sz w:val="24"/>
          <w:szCs w:val="24"/>
        </w:rPr>
        <w:t>(1)宏观：9月美国非农就业人数增加33.6万人，好于之前预期的17万人。失业率为3.8%，高于预期的3.7%。工资增长低于预期，当月平均时薪同比增长0.2%，同比增长4.2%，而预期分别为0.3%和4.3%。</w:t>
      </w:r>
    </w:p>
    <w:p w:rsidR="006C38A8" w:rsidRPr="006C38A8" w:rsidRDefault="006C38A8" w:rsidP="006C38A8">
      <w:pPr>
        <w:ind w:leftChars="300" w:left="630"/>
        <w:rPr>
          <w:rFonts w:ascii="楷体" w:eastAsia="楷体" w:hAnsi="楷体" w:hint="eastAsia"/>
          <w:color w:val="000000" w:themeColor="text1"/>
          <w:sz w:val="24"/>
          <w:szCs w:val="24"/>
        </w:rPr>
      </w:pPr>
      <w:r w:rsidRPr="006C38A8">
        <w:rPr>
          <w:rFonts w:ascii="楷体" w:eastAsia="楷体" w:hAnsi="楷体" w:hint="eastAsia"/>
          <w:color w:val="000000" w:themeColor="text1"/>
          <w:sz w:val="24"/>
          <w:szCs w:val="24"/>
        </w:rPr>
        <w:t>(2)库存：10月6日，LME仓单库存170175吨，较9月29日增2350吨。</w:t>
      </w:r>
    </w:p>
    <w:p w:rsidR="006C38A8" w:rsidRPr="006C38A8" w:rsidRDefault="006C38A8" w:rsidP="006C38A8">
      <w:pPr>
        <w:ind w:leftChars="300" w:left="630"/>
        <w:rPr>
          <w:rFonts w:ascii="楷体" w:eastAsia="楷体" w:hAnsi="楷体"/>
          <w:color w:val="000000" w:themeColor="text1"/>
          <w:sz w:val="24"/>
          <w:szCs w:val="24"/>
        </w:rPr>
      </w:pPr>
    </w:p>
    <w:p w:rsidR="00127803" w:rsidRPr="00127803" w:rsidRDefault="006C38A8" w:rsidP="006C38A8">
      <w:pPr>
        <w:ind w:leftChars="300" w:left="630"/>
        <w:rPr>
          <w:rFonts w:ascii="楷体" w:eastAsia="楷体" w:hAnsi="楷体"/>
          <w:color w:val="000000" w:themeColor="text1"/>
          <w:sz w:val="24"/>
          <w:szCs w:val="24"/>
        </w:rPr>
      </w:pPr>
      <w:r w:rsidRPr="006C38A8">
        <w:rPr>
          <w:rFonts w:ascii="楷体" w:eastAsia="楷体" w:hAnsi="楷体" w:hint="eastAsia"/>
          <w:color w:val="000000" w:themeColor="text1"/>
          <w:sz w:val="24"/>
          <w:szCs w:val="24"/>
        </w:rPr>
        <w:t>综述：国内双节期间伦铜跟随美元指数大幅波动，截止10月6日，LME铜收盘8045美元/吨，较9月29日收盘价8275美元/吨，下跌230美元，跌幅2.78%。关注价格进一步下跌后下游补库意愿及精废价差继续收窄后精铜替代消费情况。预计今日沪铜开盘或呈现低开后震荡回暖为主，短期波动区间参考66000-67500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7740878"/>
      <w:r>
        <w:rPr>
          <w:rFonts w:ascii="楷体" w:eastAsia="楷体" w:hAnsi="楷体" w:hint="eastAsia"/>
          <w:b/>
          <w:color w:val="000000" w:themeColor="text1"/>
          <w:sz w:val="24"/>
          <w:szCs w:val="24"/>
        </w:rPr>
        <w:t>铝：</w:t>
      </w:r>
      <w:bookmarkEnd w:id="27"/>
      <w:bookmarkEnd w:id="28"/>
      <w:r w:rsidR="006C38A8" w:rsidRPr="006C38A8">
        <w:rPr>
          <w:rFonts w:ascii="楷体" w:eastAsia="楷体" w:hAnsi="楷体" w:hint="eastAsia"/>
          <w:b/>
          <w:color w:val="000000" w:themeColor="text1"/>
          <w:sz w:val="24"/>
          <w:szCs w:val="24"/>
        </w:rPr>
        <w:t>铝价上行驱动有限，短期价格或有承压</w:t>
      </w:r>
      <w:bookmarkEnd w:id="29"/>
    </w:p>
    <w:p w:rsidR="003F56A5" w:rsidRDefault="006C38A8" w:rsidP="00127803">
      <w:pPr>
        <w:ind w:leftChars="300" w:left="630"/>
        <w:rPr>
          <w:rFonts w:ascii="楷体" w:eastAsia="楷体" w:hAnsi="楷体"/>
          <w:color w:val="000000" w:themeColor="text1"/>
          <w:sz w:val="24"/>
          <w:szCs w:val="24"/>
        </w:rPr>
      </w:pPr>
      <w:r w:rsidRPr="006C38A8">
        <w:rPr>
          <w:rFonts w:ascii="楷体" w:eastAsia="楷体" w:hAnsi="楷体" w:hint="eastAsia"/>
          <w:color w:val="000000" w:themeColor="text1"/>
          <w:sz w:val="24"/>
          <w:szCs w:val="24"/>
        </w:rPr>
        <w:t>中秋国庆假期间，LME铝价先涨后跌，9月28日收盘价2280美金/吨，10月6日收盘2242美金/吨，下跌1.6%，LME铝（0-3）升贴水持续深幅。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7740879"/>
      <w:r>
        <w:rPr>
          <w:rFonts w:ascii="楷体" w:eastAsia="楷体" w:hAnsi="楷体" w:hint="eastAsia"/>
          <w:b/>
          <w:color w:val="000000" w:themeColor="text1"/>
          <w:sz w:val="24"/>
          <w:szCs w:val="24"/>
        </w:rPr>
        <w:t>锌：</w:t>
      </w:r>
      <w:r w:rsidR="006C38A8" w:rsidRPr="006C38A8">
        <w:rPr>
          <w:rFonts w:ascii="楷体" w:eastAsia="楷体" w:hAnsi="楷体" w:hint="eastAsia"/>
          <w:b/>
          <w:color w:val="000000" w:themeColor="text1"/>
          <w:sz w:val="24"/>
          <w:szCs w:val="24"/>
        </w:rPr>
        <w:t>绝对低库存主导，价格高位震荡运行</w:t>
      </w:r>
      <w:bookmarkEnd w:id="30"/>
    </w:p>
    <w:p w:rsidR="003F56A5" w:rsidRDefault="006C38A8" w:rsidP="000B0648">
      <w:pPr>
        <w:ind w:leftChars="300" w:left="630"/>
        <w:rPr>
          <w:rFonts w:ascii="楷体" w:eastAsia="楷体" w:hAnsi="楷体"/>
          <w:color w:val="000000" w:themeColor="text1"/>
          <w:sz w:val="24"/>
          <w:szCs w:val="24"/>
        </w:rPr>
      </w:pPr>
      <w:r w:rsidRPr="006C38A8">
        <w:rPr>
          <w:rFonts w:ascii="楷体" w:eastAsia="楷体" w:hAnsi="楷体" w:hint="eastAsia"/>
          <w:color w:val="000000" w:themeColor="text1"/>
          <w:sz w:val="24"/>
          <w:szCs w:val="24"/>
        </w:rPr>
        <w:t>中秋国庆假期伦锌价格表现较弱，9月28日收盘价2627美金/吨，10月6日收盘2499美金/吨，下跌4.87%，LME锌（0-3）贴水走深。基本面上看，海外锌矿供应走紧，国内锌矿产量下行，前期部分冶炼厂家检修影响生产，随着检修逐步进入尾声，在近期锌价高位带来的高利润刺激之下，冶炼厂积极开产，目前厂内在节前备库之后原料储备较为充足，短期生产暂不受到上游供应收紧制约，另外进口锌盈利窗口打开，有效刺激锌锭进口，整体来看供应依旧偏松，但下游需求表现较为疲软，镀锌开工表现平稳但无</w:t>
      </w:r>
      <w:r w:rsidRPr="006C38A8">
        <w:rPr>
          <w:rFonts w:ascii="楷体" w:eastAsia="楷体" w:hAnsi="楷体" w:hint="eastAsia"/>
          <w:color w:val="000000" w:themeColor="text1"/>
          <w:sz w:val="24"/>
          <w:szCs w:val="24"/>
        </w:rPr>
        <w:lastRenderedPageBreak/>
        <w:t>明显增量，氧化锌、锌合金开工偏弱，节后下游交易或再度陷入清淡，目前海内外锌市库存保持绝对低库状态，社会库存持续去库，低库存支撑价格。节后锌价大概率高位调整运行，价格上下有限</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7740880"/>
      <w:r>
        <w:rPr>
          <w:rFonts w:ascii="楷体" w:eastAsia="楷体" w:hAnsi="楷体" w:hint="eastAsia"/>
          <w:b/>
          <w:color w:val="000000" w:themeColor="text1"/>
          <w:sz w:val="24"/>
          <w:szCs w:val="24"/>
        </w:rPr>
        <w:t>镍：</w:t>
      </w:r>
      <w:r w:rsidR="006C38A8" w:rsidRPr="006C38A8">
        <w:rPr>
          <w:rFonts w:ascii="楷体" w:eastAsia="楷体" w:hAnsi="楷体" w:hint="eastAsia"/>
          <w:b/>
          <w:color w:val="000000" w:themeColor="text1"/>
          <w:sz w:val="24"/>
          <w:szCs w:val="24"/>
        </w:rPr>
        <w:t>宏观与基本面共振，预计镍价震荡偏弱</w:t>
      </w:r>
      <w:bookmarkEnd w:id="31"/>
    </w:p>
    <w:p w:rsidR="003F56A5" w:rsidRDefault="006C38A8">
      <w:pPr>
        <w:ind w:leftChars="300" w:left="630"/>
        <w:rPr>
          <w:rFonts w:ascii="楷体" w:eastAsia="楷体" w:hAnsi="楷体"/>
          <w:color w:val="000000" w:themeColor="text1"/>
          <w:sz w:val="24"/>
          <w:szCs w:val="24"/>
        </w:rPr>
      </w:pPr>
      <w:r w:rsidRPr="006C38A8">
        <w:rPr>
          <w:rFonts w:ascii="楷体" w:eastAsia="楷体" w:hAnsi="楷体" w:hint="eastAsia"/>
          <w:color w:val="000000" w:themeColor="text1"/>
          <w:sz w:val="24"/>
          <w:szCs w:val="24"/>
        </w:rPr>
        <w:t>宏观方面，美国9月非农就业人口增加33.6万人，为今年以来的最大增幅，远超预期的17万人，表明美国就业增长势头强劲，推升美联储加息预期，给镍价带来压制。供应方面，由于精炼镍利润维持可观，精炼镍增量预期逐步兑现，据国际镍研究组织(INSG)的预测，2023年镍供应将出现22.3万吨的过剩。需求方面，部分不锈钢厂开始减产，新能源汽车等领域的需求也表现平平。库存方面，国内外镍库存皆呈累库趋势，体现了镍市场的供应压力。综合来看，宏观与基本面共振，镍价在节后预计震荡偏弱运行</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7740881"/>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铝市供需双修，观望价格上方压力位</w:t>
      </w:r>
      <w:bookmarkEnd w:id="32"/>
    </w:p>
    <w:p w:rsidR="008B13D2" w:rsidRPr="008B13D2" w:rsidRDefault="00E72567" w:rsidP="008B13D2">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美国劳动力市场仍有韧性，联储9月加息倾向暂停，国内政策面持续释放利好。基本面上，矿端供应走紧，电解铝生产理论成本支撑下行，电解铝生产利润持续修复，刺激厂家积极投产。云南地区电解铝复产完成，目前电解铝运行产能在4270万吨左右，开工率达到历史峰值，后续电解铝供应压力逐步走增，交易所库存及社会库存维持低位。铝下游开工率分化，建材需求表现一般，工业材需求走增，金九银十消费旺到来，以及国内消费利好政策密集落地，市场对电解铝需求有修复预期。进入9月，供应端维持高产能投放，需求进入旺季叠加有政策面利多支持，铝价或再度摸高，但政策信心仍需市场现实验证，观望19500压力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7740882"/>
      <w:r>
        <w:rPr>
          <w:rFonts w:ascii="楷体" w:eastAsia="楷体" w:hAnsi="楷体" w:hint="eastAsia"/>
          <w:b/>
          <w:color w:val="000000" w:themeColor="text1"/>
          <w:sz w:val="24"/>
          <w:szCs w:val="24"/>
        </w:rPr>
        <w:t>不锈钢：</w:t>
      </w:r>
      <w:r w:rsidR="006C38A8" w:rsidRPr="006C38A8">
        <w:rPr>
          <w:rFonts w:ascii="楷体" w:eastAsia="楷体" w:hAnsi="楷体" w:hint="eastAsia"/>
          <w:b/>
          <w:color w:val="000000" w:themeColor="text1"/>
          <w:sz w:val="24"/>
          <w:szCs w:val="24"/>
        </w:rPr>
        <w:t>宏观利空叠加需求不振，或震荡下行</w:t>
      </w:r>
      <w:bookmarkEnd w:id="33"/>
    </w:p>
    <w:p w:rsidR="003F56A5" w:rsidRDefault="006C38A8">
      <w:pPr>
        <w:ind w:leftChars="300" w:left="630"/>
        <w:rPr>
          <w:rFonts w:ascii="楷体" w:eastAsia="楷体" w:hAnsi="楷体"/>
          <w:color w:val="000000" w:themeColor="text1"/>
          <w:sz w:val="24"/>
          <w:szCs w:val="24"/>
        </w:rPr>
      </w:pPr>
      <w:r w:rsidRPr="006C38A8">
        <w:rPr>
          <w:rFonts w:ascii="楷体" w:eastAsia="楷体" w:hAnsi="楷体" w:hint="eastAsia"/>
          <w:color w:val="000000" w:themeColor="text1"/>
          <w:sz w:val="24"/>
          <w:szCs w:val="24"/>
        </w:rPr>
        <w:t>宏观方面，美联储官员偏鹰派，美国9月非农就业数据超预期强劲，宏观氛围偏空。矿端，由于印尼年内不再新增镍矿配额，且菲律宾矿区将进入雨季，镍矿价格预计维持坚挺。镍铁价格受到上下游双重挤压，但在矿价成本支撑下，镍铁下跌幅度预计有限。供应端，钢厂在8月和9月的排产较高，但是传统旺季预期未有体现，且成本高企，冶炼利润出现亏损，部分钢厂减产检修。需求端表现疲弱，短期内难有较大起色，或拖累不锈钢价格。综合而言，宏观利空叠加需求不振，预计节后不锈钢价格震荡下行，但在生产成本支撑下，下跌空间亦有限</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7740883"/>
      <w:r>
        <w:rPr>
          <w:rFonts w:ascii="楷体" w:eastAsia="楷体" w:hAnsi="楷体" w:hint="eastAsia"/>
          <w:b/>
          <w:color w:val="000000" w:themeColor="text1"/>
          <w:sz w:val="24"/>
          <w:szCs w:val="24"/>
        </w:rPr>
        <w:t>工业硅：</w:t>
      </w:r>
      <w:r w:rsidR="006C38A8" w:rsidRPr="006C38A8">
        <w:rPr>
          <w:rFonts w:ascii="楷体" w:eastAsia="楷体" w:hAnsi="楷体" w:hint="eastAsia"/>
          <w:b/>
          <w:sz w:val="24"/>
          <w:szCs w:val="24"/>
        </w:rPr>
        <w:t>需求改善预期仍存，持续回调空间或有限</w:t>
      </w:r>
      <w:bookmarkEnd w:id="34"/>
    </w:p>
    <w:p w:rsidR="003F56A5" w:rsidRDefault="006C38A8" w:rsidP="00827E8A">
      <w:pPr>
        <w:ind w:leftChars="300" w:left="630"/>
        <w:rPr>
          <w:rFonts w:ascii="楷体" w:eastAsia="楷体" w:hAnsi="楷体"/>
          <w:sz w:val="24"/>
          <w:szCs w:val="24"/>
        </w:rPr>
      </w:pPr>
      <w:r w:rsidRPr="006C38A8">
        <w:rPr>
          <w:rFonts w:ascii="楷体" w:eastAsia="楷体" w:hAnsi="楷体" w:hint="eastAsia"/>
          <w:sz w:val="24"/>
          <w:szCs w:val="24"/>
        </w:rPr>
        <w:t>9月28日，Si2311主力合约呈下行走势，收盘价13960元/吨，较上一收盘价涨跌幅-1.66%，主要为节前资金在避险情绪驱动下，盘面出现较大回调。从基本面来看，一方面西南地区即将进入平水期，电价或将开始陆续上调，以及还原剂等原料呈上涨趋势，生产成本存在抬升预期;另一方面，多晶硅新增产能陆续投产，叠加传统旺季有机硅、铝合金的需求也有边际改善。综合而言，需求改善预期仍存，叠加成本抬升预期，市场持续回调空间或有限。策略上，谨慎资金暂时观望，激进资金可尝试逢低做多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774088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815EF6" w:rsidRDefault="00CC3FFA" w:rsidP="00815EF6">
      <w:pPr>
        <w:ind w:firstLineChars="200" w:firstLine="482"/>
        <w:outlineLvl w:val="1"/>
        <w:rPr>
          <w:rFonts w:ascii="楷体" w:eastAsia="楷体" w:hAnsi="楷体"/>
          <w:b/>
          <w:sz w:val="24"/>
          <w:szCs w:val="24"/>
        </w:rPr>
      </w:pPr>
      <w:bookmarkStart w:id="37" w:name="_Toc147740885"/>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815EF6" w:rsidRPr="00815EF6">
        <w:rPr>
          <w:rFonts w:ascii="楷体" w:eastAsia="楷体" w:hAnsi="楷体" w:hint="eastAsia"/>
          <w:b/>
          <w:sz w:val="24"/>
          <w:szCs w:val="24"/>
        </w:rPr>
        <w:t>节后市场资金活跃度较节前改善 天胶或小幅上涨</w:t>
      </w:r>
      <w:bookmarkEnd w:id="37"/>
    </w:p>
    <w:p w:rsidR="003F56A5" w:rsidRDefault="00815EF6">
      <w:pPr>
        <w:ind w:leftChars="300" w:left="630"/>
        <w:rPr>
          <w:rFonts w:ascii="楷体" w:eastAsia="楷体" w:hAnsi="楷体"/>
          <w:sz w:val="24"/>
          <w:szCs w:val="24"/>
        </w:rPr>
      </w:pPr>
      <w:r w:rsidRPr="00815EF6">
        <w:rPr>
          <w:rFonts w:ascii="楷体" w:eastAsia="楷体" w:hAnsi="楷体" w:hint="eastAsia"/>
          <w:sz w:val="24"/>
          <w:szCs w:val="24"/>
        </w:rPr>
        <w:t>点评：双节后市场资金活跃度将较节前明显提升。目前看，节前国内外产区不规律降水稍有缓和，云南替代指标大部分进入，原料供应有小幅增加预期，收购价格上行驱动不足。库存方面，海外船货到港规避节假日，双节前后或存集中到港预期，社会库存去库幅度将减弱。需求端来看，下游轮胎企业开工率高位维持，半钢胎略好于全钢胎，国内稳经济政策将有利于轮胎替换及配套需求的改善。节后工厂开工将处于恢复提升状态，对原材料补库积极性提高，天胶库存将短时间维持去库状态，提振天胶市场。整体看，轮胎平稳排产、表现强劲。终端汽车方面，8月数据同环比走强，呈现“淡季不淡”，九月汽车消费旺季来临下汽车市场景气度高。假期结束后下游工厂存备货行为。整体看，节后天胶存小幅上涨空间</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7740886"/>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815EF6" w:rsidRPr="00815EF6">
        <w:rPr>
          <w:rFonts w:ascii="楷体" w:eastAsia="楷体" w:hAnsi="楷体" w:hint="eastAsia"/>
          <w:b/>
          <w:color w:val="000000" w:themeColor="text1"/>
          <w:sz w:val="24"/>
          <w:szCs w:val="24"/>
        </w:rPr>
        <w:t>跟随成本端回调 等待企稳</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815EF6" w:rsidP="002C73FE">
      <w:pPr>
        <w:ind w:leftChars="300" w:left="630"/>
        <w:rPr>
          <w:rFonts w:ascii="楷体" w:eastAsia="楷体" w:hAnsi="楷体"/>
          <w:color w:val="000000" w:themeColor="text1"/>
          <w:sz w:val="24"/>
          <w:szCs w:val="24"/>
        </w:rPr>
      </w:pPr>
      <w:r w:rsidRPr="00815EF6">
        <w:rPr>
          <w:rFonts w:ascii="楷体" w:eastAsia="楷体" w:hAnsi="楷体" w:hint="eastAsia"/>
          <w:color w:val="000000" w:themeColor="text1"/>
          <w:sz w:val="24"/>
          <w:szCs w:val="24"/>
        </w:rPr>
        <w:t>PTA装置变动不多，逸盛大化225万吨，中泰120万吨装置负荷下降，至9.28 PTA开工负荷仍在8成附近。需求方面，国内大陆地区聚酯负荷在88.6%大体维持。随着原料价格走弱，聚酯效益改善。经过长假期间的持续消耗，下游的原料备货下降较多。展望后市，PTA成本端趋弱VS聚酯开工缓慢回升，预估先跟随成本端回调一波，等待企稳。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7740887"/>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7740888"/>
      <w:r>
        <w:rPr>
          <w:rFonts w:ascii="楷体" w:eastAsia="楷体" w:hAnsi="楷体" w:hint="eastAsia"/>
          <w:b/>
          <w:color w:val="000000" w:themeColor="text1"/>
          <w:sz w:val="24"/>
          <w:szCs w:val="24"/>
        </w:rPr>
        <w:t>聚烯烃：</w:t>
      </w:r>
      <w:r w:rsidR="00495F18" w:rsidRPr="00495F18">
        <w:rPr>
          <w:rFonts w:ascii="楷体" w:eastAsia="楷体" w:hAnsi="楷体" w:hint="eastAsia"/>
          <w:b/>
          <w:color w:val="000000" w:themeColor="text1"/>
          <w:sz w:val="24"/>
          <w:szCs w:val="24"/>
        </w:rPr>
        <w:t>供需支撑减弱 聚烯烃偏弱整理为主</w:t>
      </w:r>
      <w:bookmarkEnd w:id="40"/>
    </w:p>
    <w:p w:rsidR="003F56A5" w:rsidRDefault="00495F18">
      <w:pPr>
        <w:ind w:leftChars="300" w:left="630"/>
        <w:rPr>
          <w:rFonts w:ascii="楷体" w:eastAsia="楷体" w:hAnsi="楷体"/>
          <w:bCs/>
          <w:sz w:val="24"/>
          <w:szCs w:val="24"/>
        </w:rPr>
      </w:pPr>
      <w:r w:rsidRPr="00495F18">
        <w:rPr>
          <w:rFonts w:ascii="楷体" w:eastAsia="楷体" w:hAnsi="楷体" w:hint="eastAsia"/>
          <w:color w:val="000000" w:themeColor="text1"/>
          <w:sz w:val="24"/>
          <w:szCs w:val="24"/>
        </w:rPr>
        <w:t>近期聚烯烃小幅上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俄罗斯放松了对燃料的禁令，投资者认为美国利率上升可能会抑制需求，美元汇率继续增强，国际油价盘中波动后收盘继续趋稳。需求方面，PE下游方面，农膜整体需求平平，工厂生产清</w:t>
      </w:r>
      <w:r w:rsidRPr="00495F18">
        <w:rPr>
          <w:rFonts w:ascii="楷体" w:eastAsia="楷体" w:hAnsi="楷体" w:hint="eastAsia"/>
          <w:color w:val="000000" w:themeColor="text1"/>
          <w:sz w:val="24"/>
          <w:szCs w:val="24"/>
        </w:rPr>
        <w:lastRenderedPageBreak/>
        <w:t>淡。棚膜工厂多停机检修；PP下游方面，BOPP市场成交刚需有量，整体量较上一交易日增加，BOPP企业未交付订单多数在一周以内，个别可至八月中。综合来看，PE方面，短期来看，随着国庆假期的临近，下游补货行为减少，市场需求减弱。但生产企业为降低库存，仍以积极出货为主，市场商家不乏出现让利成交情况。预计PE价格仍有小幅下跌可能。PP方面，成本延续高位，对价格仍有支撑，而昨日多套装置重启，检修损失量继续降低，供应端压力增加。盘面走跌，市场看涨心态减弱，但临近国庆假期，下游工厂存在一定备货意愿，贸易商积极出货为主。预计今日PP价格偏弱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7740889"/>
      <w:r>
        <w:rPr>
          <w:rFonts w:ascii="楷体" w:eastAsia="楷体" w:hAnsi="楷体" w:hint="eastAsia"/>
          <w:b/>
          <w:color w:val="000000" w:themeColor="text1"/>
          <w:sz w:val="24"/>
          <w:szCs w:val="24"/>
        </w:rPr>
        <w:t>MEG：</w:t>
      </w:r>
      <w:r w:rsidR="00815EF6" w:rsidRPr="00815EF6">
        <w:rPr>
          <w:rFonts w:ascii="楷体" w:eastAsia="楷体" w:hAnsi="楷体" w:hint="eastAsia"/>
          <w:b/>
          <w:color w:val="000000" w:themeColor="text1"/>
          <w:sz w:val="24"/>
          <w:szCs w:val="24"/>
        </w:rPr>
        <w:t>供应端压力增量明显 上行驱动不足</w:t>
      </w:r>
      <w:bookmarkEnd w:id="41"/>
    </w:p>
    <w:p w:rsidR="003F56A5" w:rsidRDefault="00815EF6" w:rsidP="00115EEA">
      <w:pPr>
        <w:ind w:leftChars="300" w:left="630"/>
        <w:rPr>
          <w:rFonts w:ascii="楷体" w:eastAsia="楷体" w:hAnsi="楷体"/>
          <w:color w:val="000000" w:themeColor="text1"/>
          <w:sz w:val="24"/>
          <w:szCs w:val="24"/>
        </w:rPr>
      </w:pPr>
      <w:r w:rsidRPr="00815EF6">
        <w:rPr>
          <w:rFonts w:ascii="楷体" w:eastAsia="楷体" w:hAnsi="楷体" w:hint="eastAsia"/>
          <w:color w:val="000000" w:themeColor="text1"/>
          <w:sz w:val="24"/>
          <w:szCs w:val="24"/>
        </w:rPr>
        <w:t>供需情况，10.7华东主港地区MEG港口库存约117.4万吨附近，环比上期增加2.0万吨，库存仍高位累积。截至9月28日，中国大陆地区乙二醇整体开工负荷在65.08%（+1.79%），其中煤制乙二醇开工负荷在69.22%（+1.75%）。四季度新投产装置推迟、后续存量供应收缩将推迟兑现及聚酯开工高位，或维持动态平衡小幅累库的节奏，暂维持4000-4500区间操作思路。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7740890"/>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6C38A8" w:rsidRPr="006C38A8">
        <w:rPr>
          <w:rFonts w:ascii="楷体" w:eastAsia="楷体" w:hAnsi="楷体" w:hint="eastAsia"/>
          <w:b/>
          <w:color w:val="000000" w:themeColor="text1"/>
          <w:sz w:val="24"/>
          <w:szCs w:val="24"/>
        </w:rPr>
        <w:t>现货强势，短期有上涨驱动</w:t>
      </w:r>
      <w:bookmarkEnd w:id="42"/>
    </w:p>
    <w:p w:rsidR="00A71A7E" w:rsidRDefault="006C38A8" w:rsidP="001F79C6">
      <w:pPr>
        <w:ind w:leftChars="300" w:left="630"/>
        <w:rPr>
          <w:rFonts w:ascii="楷体" w:eastAsia="楷体" w:hAnsi="楷体"/>
          <w:color w:val="000000" w:themeColor="text1"/>
          <w:sz w:val="24"/>
          <w:szCs w:val="24"/>
        </w:rPr>
      </w:pPr>
      <w:r w:rsidRPr="006C38A8">
        <w:rPr>
          <w:rFonts w:ascii="楷体" w:eastAsia="楷体" w:hAnsi="楷体" w:hint="eastAsia"/>
          <w:color w:val="000000" w:themeColor="text1"/>
          <w:sz w:val="24"/>
          <w:szCs w:val="24"/>
        </w:rPr>
        <w:t>现货端，中秋国庆假期玻璃价格普涨，需求端，10 月作为传统地产旺季，玻璃需求预期向好，库存上，中下游目前库存不高，后续有补库需求，假期后半段原片厂开始主动涨价，以涨促销，销售策略表现良好，中下游为了锁定成本，采购积极性有所提升，目前沙河均价在 2000 元/吨左右，比节前上涨 20 元/吨左右。从产销节奏上看，如果产销继续走强，或将带动盘面上行</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7740891"/>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6C38A8" w:rsidRPr="006C38A8">
        <w:rPr>
          <w:rFonts w:ascii="楷体" w:eastAsia="楷体" w:hAnsi="楷体" w:hint="eastAsia"/>
          <w:b/>
          <w:color w:val="000000" w:themeColor="text1"/>
          <w:sz w:val="24"/>
          <w:szCs w:val="24"/>
        </w:rPr>
        <w:t>轻重碱价格松动，期价预计下行</w:t>
      </w:r>
      <w:bookmarkEnd w:id="43"/>
    </w:p>
    <w:p w:rsidR="00A71A7E" w:rsidRDefault="006C38A8" w:rsidP="00A71A7E">
      <w:pPr>
        <w:ind w:leftChars="300" w:left="630"/>
        <w:rPr>
          <w:rFonts w:ascii="楷体" w:eastAsia="楷体" w:hAnsi="楷体"/>
          <w:bCs/>
          <w:sz w:val="24"/>
          <w:szCs w:val="24"/>
        </w:rPr>
      </w:pPr>
      <w:r w:rsidRPr="006C38A8">
        <w:rPr>
          <w:rFonts w:ascii="楷体" w:eastAsia="楷体" w:hAnsi="楷体" w:hint="eastAsia"/>
          <w:color w:val="000000" w:themeColor="text1"/>
          <w:sz w:val="24"/>
          <w:szCs w:val="24"/>
        </w:rPr>
        <w:t>中秋国庆假期纯碱价格松动，轻重碱普遍下跌50-150元/吨不等。供给方面，假期周纯碱产量 67万吨左右，9月底到10月初有大量进口碱到港；库存上，纯碱总库存27.50万吨，环比增加6.21万吨，上涨29.17%。累库加速。需求上，下游玻璃厂点火较多，保持刚需。盘面节后产能加速释放，远月相对较弱，低开可能较大，以逢高做空为主</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774089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7740893"/>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6C38A8" w:rsidRPr="006C38A8">
        <w:rPr>
          <w:rFonts w:ascii="楷体" w:eastAsia="楷体" w:hAnsi="楷体" w:hint="eastAsia"/>
          <w:b/>
          <w:sz w:val="24"/>
          <w:szCs w:val="24"/>
        </w:rPr>
        <w:t>预计偏弱震荡</w:t>
      </w:r>
      <w:bookmarkEnd w:id="45"/>
    </w:p>
    <w:p w:rsidR="003F56A5" w:rsidRDefault="006C38A8">
      <w:pPr>
        <w:ind w:leftChars="300" w:left="630"/>
        <w:rPr>
          <w:rFonts w:ascii="楷体" w:eastAsia="楷体" w:hAnsi="楷体"/>
          <w:sz w:val="24"/>
          <w:szCs w:val="24"/>
        </w:rPr>
      </w:pPr>
      <w:r w:rsidRPr="006C38A8">
        <w:rPr>
          <w:rFonts w:ascii="楷体" w:eastAsia="楷体" w:hAnsi="楷体" w:hint="eastAsia"/>
          <w:sz w:val="24"/>
          <w:szCs w:val="24"/>
        </w:rPr>
        <w:t>国庆期间，外盘走势整体偏弱，截至10月6日，CBOT大豆主力合约收于1263.75美分/蒲，跌幅1.8%。虽美豆新季平衡表继续收紧，且受干燥天气影响，美豆出口或仍存忧，但整体有利于新作收割推进，卖压显现，叠加巴西大豆新作播种进度较快，在出口方面仍对美豆构成冲击，CBOT大豆价格预计上方空间有限，整体承压运行。后续关注10月USDA报告对单产的调整。国内现货基差继续承压，近两日贸易商陆续恢复报价，预计市场购销逐渐恢复。供应端在9-10月份大豆阶段性到港减少下，当前油厂大豆库</w:t>
      </w:r>
      <w:r w:rsidRPr="006C38A8">
        <w:rPr>
          <w:rFonts w:ascii="楷体" w:eastAsia="楷体" w:hAnsi="楷体" w:hint="eastAsia"/>
          <w:sz w:val="24"/>
          <w:szCs w:val="24"/>
        </w:rPr>
        <w:lastRenderedPageBreak/>
        <w:t>存维持中性偏低，随着节后油厂开机恢复，豆粕产出预计会有所回升，但在需求清淡下油厂豆粕库存高于去年同期值为68.45万吨，当前沿海主流油厂豆粕现货报价下调至4420-4550元/吨。大豆6-8月到港量仍较充裕，8月进口935万吨大豆，今年1-8个月大豆进口量达到7165万吨，同比增长17.9%，但9-10月进口到港预期减少，且对美豆新作买船偏慢，关注后续大豆到港情况。需求，下游生猪养殖利润不佳，但在能繁存栏高位下，下游维持刚需备货，提货情况尚可，关注节后终端备货情况。菜粕当前供需基本面有所改善，随着6月份后菜籽到港减少，油厂压榨也在逐步下滑，但供给整体较充裕。而需求方面，水产消费旺季即将结束，菜粕需求预计减少，主要关注替代需求。策略方面，预计节后维持偏弱震荡，建议短线操作，菜粕01建议逢高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7740894"/>
      <w:r>
        <w:rPr>
          <w:rFonts w:ascii="楷体" w:eastAsia="楷体" w:hAnsi="楷体" w:hint="eastAsia"/>
          <w:b/>
          <w:color w:val="000000" w:themeColor="text1"/>
          <w:sz w:val="24"/>
          <w:szCs w:val="24"/>
        </w:rPr>
        <w:t>油脂：</w:t>
      </w:r>
      <w:r w:rsidR="006C38A8" w:rsidRPr="006C38A8">
        <w:rPr>
          <w:rFonts w:ascii="楷体" w:eastAsia="楷体" w:hAnsi="楷体" w:hint="eastAsia"/>
          <w:b/>
          <w:sz w:val="24"/>
          <w:szCs w:val="24"/>
        </w:rPr>
        <w:t>或随外盘承压回调</w:t>
      </w:r>
      <w:bookmarkEnd w:id="46"/>
    </w:p>
    <w:p w:rsidR="003F56A5" w:rsidRDefault="006C38A8" w:rsidP="00792D31">
      <w:pPr>
        <w:ind w:leftChars="300" w:left="630"/>
        <w:rPr>
          <w:rFonts w:ascii="楷体" w:eastAsia="楷体" w:hAnsi="楷体"/>
          <w:sz w:val="24"/>
          <w:szCs w:val="24"/>
        </w:rPr>
      </w:pPr>
      <w:r w:rsidRPr="006C38A8">
        <w:rPr>
          <w:rFonts w:ascii="楷体" w:eastAsia="楷体" w:hAnsi="楷体" w:hint="eastAsia"/>
          <w:sz w:val="24"/>
          <w:szCs w:val="24"/>
        </w:rPr>
        <w:t>国庆期间，在国际原油大跌及利空因素主导下，外盘油脂价格承压回调，CBOT豆油主力合约收于55.27美分/磅，跌幅3%；BMD马棕油主力合约收于3601令吉/吨，跌幅4.4%。棕榈油，产地季节性增产周期下存继续累库预期，印尼棕榈油7月份因产量增幅不及需求增幅，库存继续下降。而马棕产量8月延续增产为175.3万吨，环比提高8.91%，关注产量持续修复情况；同时在8月出口降幅高于预期下，库存增至212.5万吨，环比增长22.54%，高于分析师平均预估189万吨；但因主要消费国国内油脂库存偏高，后续采购预计放缓，产地预计维持累库趋势。国内棕榈油7-8月份进口到港预计维持高位，在买船积极下，库存持续累积，最新商业库存为73.44万吨。需求端，豆棕价差有所收窄，四季度为棕榈油消费淡季，棕榈油10月份预计表现偏弱。豆油库存预计继续去化。国内7-8月进口大豆到港量仍不少，但受9-10月大豆到港减少及节日停机影响下，预计油厂整体压榨水平不高。需求端，节后终端或存在补库需求，且四季度为豆油消费旺季，掺混需求预计好于棕榈油。菜油短期供应压力减轻，但四季度存供应增加预期。当前主产地菜籽还未集中上市，全球菜籽新作产量不确定性仍存，但当前加籽收割基本结束，上市压力也抑制期价走势。虽8-9月份进口加籽到港量减少，菜籽开机及压榨水平也有所降低，但整体仍高于去年同期，8月菜籽进口39.6万吨，环比增167%。需求方面，当前去库速度缓慢，与豆油价差持续收窄，库存去化仍需看到替代需求出现。短期油脂维持偏弱走势，建议关注豆棕套利低多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7740895"/>
      <w:r>
        <w:rPr>
          <w:rFonts w:ascii="楷体" w:eastAsia="楷体" w:hAnsi="楷体" w:hint="eastAsia"/>
          <w:b/>
          <w:bCs/>
          <w:color w:val="000000" w:themeColor="text1"/>
        </w:rPr>
        <w:t>玉米与淀粉：</w:t>
      </w:r>
      <w:r w:rsidR="006C38A8" w:rsidRPr="006C38A8">
        <w:rPr>
          <w:rFonts w:ascii="楷体" w:eastAsia="楷体" w:hAnsi="楷体" w:hint="eastAsia"/>
          <w:b/>
        </w:rPr>
        <w:t>等待新作压力释放</w:t>
      </w:r>
      <w:bookmarkEnd w:id="47"/>
    </w:p>
    <w:p w:rsidR="006C38A8" w:rsidRPr="006C38A8" w:rsidRDefault="006C38A8" w:rsidP="006C38A8">
      <w:pPr>
        <w:pStyle w:val="paragraph"/>
        <w:spacing w:before="60" w:after="60"/>
        <w:ind w:leftChars="300" w:left="630"/>
        <w:rPr>
          <w:rFonts w:ascii="楷体" w:eastAsia="楷体" w:hAnsi="楷体" w:hint="eastAsia"/>
        </w:rPr>
      </w:pPr>
      <w:r w:rsidRPr="006C38A8">
        <w:rPr>
          <w:rFonts w:ascii="楷体" w:eastAsia="楷体" w:hAnsi="楷体" w:hint="eastAsia"/>
        </w:rPr>
        <w:t>对于玉米而言，9月期价震荡回落过程中，期现货结构转为现货升水11月，11月升水1月，但之后各合约转为远月小幅升水。这一期期现结构反映两个问题，其一是当前市场担心在于新作压力，其二是市场对于新作供需预期依然紧张，这意味着市场在等待新作压力释放后的低点再行入场，基于年度产需缺口进入补库存阶段。基于这样的理解，接下来需要关注三个层面，其一是期价下方的空间，其二是后期上涨驱动因素，其三是新作上市压力释放到主动补库存的转折时点。在我们看来，当前期价已经具备安全边际，且有市场渠道库存偏低和小麦现货上涨两个潜</w:t>
      </w:r>
      <w:r w:rsidRPr="006C38A8">
        <w:rPr>
          <w:rFonts w:ascii="楷体" w:eastAsia="楷体" w:hAnsi="楷体" w:hint="eastAsia"/>
        </w:rPr>
        <w:lastRenderedPageBreak/>
        <w:t>在上涨驱动因素，但目前尚不确定新作压力释放向主动补库存的转折时点，据此由前期中性再度转为谨慎看多，建议谨慎投资者观望，激进投资者择机做多，或持有前期多单。</w:t>
      </w:r>
    </w:p>
    <w:p w:rsidR="003F56A5" w:rsidRDefault="006C38A8" w:rsidP="006C38A8">
      <w:pPr>
        <w:pStyle w:val="paragraph"/>
        <w:spacing w:before="60" w:beforeAutospacing="0" w:after="60" w:afterAutospacing="0"/>
        <w:ind w:leftChars="300" w:left="630"/>
        <w:rPr>
          <w:rFonts w:ascii="楷体" w:eastAsia="楷体" w:hAnsi="楷体"/>
        </w:rPr>
      </w:pPr>
      <w:r w:rsidRPr="006C38A8">
        <w:rPr>
          <w:rFonts w:ascii="楷体" w:eastAsia="楷体" w:hAnsi="楷体" w:hint="eastAsia"/>
        </w:rPr>
        <w:t>对于淀粉而言，9月期间淀粉-玉米价差总体震荡收窄，主要源于成本端的担忧，因产区现货逐步转弱。但与此同时，行业供需端和副产品端均相对利多，特别是副产品价格持续下跌影响相对较大，主要逻辑有二，其一是通过现货生产利润影响行业开机率，即通过供应端影响行业供需；其二是通过现货生产利润影响现货价格，继而通过基差影响盘面期价，因当前基差处于历史同期高位。在这种情况下，我们倾向于认为淀粉-玉米价差继续收窄空间受限，结合前面对玉米原料端的分析，后期新作压力释放之后，淀粉-玉米价差有望走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7740896"/>
      <w:r>
        <w:rPr>
          <w:rFonts w:ascii="楷体" w:eastAsia="楷体" w:hAnsi="楷体" w:hint="eastAsia"/>
          <w:b/>
          <w:bCs/>
          <w:color w:val="000000" w:themeColor="text1"/>
        </w:rPr>
        <w:t>畜禽养殖：</w:t>
      </w:r>
      <w:r w:rsidR="006C38A8" w:rsidRPr="006C38A8">
        <w:rPr>
          <w:rFonts w:ascii="楷体" w:eastAsia="楷体" w:hAnsi="楷体" w:hint="eastAsia"/>
          <w:b/>
          <w:bCs/>
          <w:color w:val="000000" w:themeColor="text1"/>
        </w:rPr>
        <w:t>鸡蛋期价震荡偏强</w:t>
      </w:r>
      <w:bookmarkEnd w:id="48"/>
    </w:p>
    <w:p w:rsidR="006C38A8" w:rsidRPr="006C38A8" w:rsidRDefault="006C38A8" w:rsidP="006C38A8">
      <w:pPr>
        <w:pStyle w:val="paragraph"/>
        <w:spacing w:before="60" w:after="60"/>
        <w:ind w:leftChars="300" w:left="630"/>
        <w:rPr>
          <w:rFonts w:ascii="楷体" w:eastAsia="楷体" w:hAnsi="楷体" w:hint="eastAsia"/>
        </w:rPr>
      </w:pPr>
      <w:r w:rsidRPr="006C38A8">
        <w:rPr>
          <w:rFonts w:ascii="楷体" w:eastAsia="楷体" w:hAnsi="楷体" w:hint="eastAsia"/>
        </w:rPr>
        <w:t>对于生猪而言，在前期报告中我们指出，考虑到各方数据显示生猪产能去化缓慢，表明7月下旬以来的猪价上涨是供应去化带来的阶段性反弹，而非产能去化所带来的周期见底。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考虑到市场供需矛盾并不突出，且接下来现货波动的节奏存在分歧，不确定性较大，观点维持中性，建议投资者继续观望为宜。</w:t>
      </w:r>
    </w:p>
    <w:p w:rsidR="003F56A5" w:rsidRDefault="006C38A8" w:rsidP="006C38A8">
      <w:pPr>
        <w:pStyle w:val="paragraph"/>
        <w:spacing w:before="60" w:beforeAutospacing="0" w:after="60" w:afterAutospacing="0"/>
        <w:ind w:leftChars="300" w:left="630"/>
        <w:rPr>
          <w:rFonts w:ascii="楷体" w:eastAsia="楷体" w:hAnsi="楷体"/>
        </w:rPr>
      </w:pPr>
      <w:r w:rsidRPr="006C38A8">
        <w:rPr>
          <w:rFonts w:ascii="楷体" w:eastAsia="楷体" w:hAnsi="楷体" w:hint="eastAsia"/>
        </w:rPr>
        <w:t>对于鸡蛋而言，9月期间期价特别是近月表现强于市场之前预期，主要源于今年现货季节性高点出现时间晚于往年，这使得市场担心前期悲观预期可能落空，甚至出现类似于去年10月现货再创新高的情况。但在我们看来，9月上半月现货表现强于预期或更多源于两个方面的原因，其一是今年春节后现货相对高位，鸡蛋进入冷库形成库存量相对较低，其二是市场对后期价格悲观，渠道库存偏低。而从供需角度看，卓创资讯数据显示，在产蛋鸡存栏连续三个月环比增加，考虑到今年节后以来蛋鸡苗销量均同比增加，而蛋鸡淘汰量持续处于历史低位水平，蛋鸡淘汰日龄则持续位于历史同期高位，由此可以看出，后期鸡蛋供需有望趋于改善。考虑到现货已经趋于季节性回落，后期需要担心叠加春节后补栏带来的供应增量，现货表现或弱于预期，在这种情况下，我们观点维持中性，后期或转向看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7740897"/>
      <w:r>
        <w:rPr>
          <w:rFonts w:ascii="楷体" w:eastAsia="楷体" w:hAnsi="楷体" w:hint="eastAsia"/>
          <w:b/>
          <w:sz w:val="24"/>
          <w:szCs w:val="24"/>
        </w:rPr>
        <w:t>郑棉：</w:t>
      </w:r>
      <w:r w:rsidR="006C38A8" w:rsidRPr="006C38A8">
        <w:rPr>
          <w:rFonts w:ascii="楷体" w:eastAsia="楷体" w:hAnsi="楷体" w:hint="eastAsia"/>
          <w:b/>
          <w:sz w:val="24"/>
          <w:szCs w:val="24"/>
        </w:rPr>
        <w:t>看跌期权卖权持有</w:t>
      </w:r>
      <w:bookmarkEnd w:id="49"/>
    </w:p>
    <w:p w:rsidR="003F56A5" w:rsidRDefault="006C38A8" w:rsidP="007B3290">
      <w:pPr>
        <w:ind w:leftChars="300" w:left="630"/>
        <w:rPr>
          <w:rFonts w:ascii="楷体" w:eastAsia="楷体" w:hAnsi="楷体"/>
          <w:sz w:val="24"/>
          <w:szCs w:val="24"/>
        </w:rPr>
      </w:pPr>
      <w:r w:rsidRPr="006C38A8">
        <w:rPr>
          <w:rFonts w:ascii="楷体" w:eastAsia="楷体" w:hAnsi="楷体" w:hint="eastAsia"/>
          <w:sz w:val="24"/>
          <w:szCs w:val="24"/>
        </w:rPr>
        <w:t>国庆期间，ICE美棉主力12再次冲击90美分/磅关口失败。叠加原油价格暴跌，金融市场整体走弱等外围因素，期棉震荡偏弱，收于87.22美分/磅。美棉上行趋势未破，从库存消费比来看第四季度依然可维持在80美分</w:t>
      </w:r>
      <w:r w:rsidRPr="006C38A8">
        <w:rPr>
          <w:rFonts w:ascii="楷体" w:eastAsia="楷体" w:hAnsi="楷体" w:hint="eastAsia"/>
          <w:sz w:val="24"/>
          <w:szCs w:val="24"/>
        </w:rPr>
        <w:lastRenderedPageBreak/>
        <w:t>/磅之上。短期内偏低的优良率也给予一定支撑。但在宏观走弱的情况下同样难以向上突破，预计维持区间震荡，关注即将到来的10月USDA月度供需平衡表。国内新棉开始采收，最受市场关注的籽棉收购价走势非常稳定，手摘棉基本维持在9-9.3元/公斤附近。如果按过往手摘棉和机采棉的常态价差折算，机采棉的价格和当前现货价格也非常接近，因此节后郑棉有望平稳开盘。储备棉成交率在国庆尾声反弹回90%以上，市场对棉花的需求依然稳定。预计郑棉同样维持区间震荡走势，节前的看跌期权卖权可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7740898"/>
      <w:r>
        <w:rPr>
          <w:rFonts w:ascii="楷体" w:eastAsia="楷体" w:hAnsi="楷体" w:hint="eastAsia"/>
          <w:b/>
          <w:sz w:val="24"/>
          <w:szCs w:val="24"/>
        </w:rPr>
        <w:t>白糖：</w:t>
      </w:r>
      <w:r w:rsidR="006C38A8" w:rsidRPr="006C38A8">
        <w:rPr>
          <w:rFonts w:ascii="楷体" w:eastAsia="楷体" w:hAnsi="楷体" w:hint="eastAsia"/>
          <w:b/>
          <w:sz w:val="24"/>
          <w:szCs w:val="24"/>
        </w:rPr>
        <w:t>观望</w:t>
      </w:r>
      <w:bookmarkEnd w:id="50"/>
    </w:p>
    <w:p w:rsidR="00296325" w:rsidRDefault="006C38A8" w:rsidP="00296325">
      <w:pPr>
        <w:ind w:leftChars="300" w:left="630"/>
        <w:rPr>
          <w:rFonts w:ascii="楷体" w:eastAsia="楷体" w:hAnsi="楷体"/>
          <w:sz w:val="24"/>
          <w:szCs w:val="24"/>
        </w:rPr>
      </w:pPr>
      <w:r w:rsidRPr="006C38A8">
        <w:rPr>
          <w:rFonts w:ascii="楷体" w:eastAsia="楷体" w:hAnsi="楷体" w:hint="eastAsia"/>
          <w:sz w:val="24"/>
          <w:szCs w:val="24"/>
        </w:rPr>
        <w:t>国庆期间，外盘ICE原糖先跌后涨走出一个小V字。节日前半截原糖价格大幅走弱，主要原因一是10月原糖合约交割量达创纪绿的287万吨，实盘压力较为沉重；二是巴西白糖出口量依然高企，9月出口量达321万吨，同比增加6.2%；三是美元走强，原油价格大跌的宏观影响。但市场对新季白糖的供应依然感到担忧。主要产糖大国印度的乙醇燃料计划使其甘蔗使用量大增，新年度可能继续限制白糖出口。泰国的产糖前景也不乐观。节后后半阶段，原糖价格震荡上行，基本收复了此前的跌幅。对于国内糖价来说，传闻10月交割的原糖大部分将运往中国，新榨季也已开始，供应紧张局面短期内有所缓解。2401主力合约在20日均线处显著承压，节后或偏弱震荡，建议观望为主</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6B7" w:rsidRDefault="005926B7">
      <w:r>
        <w:separator/>
      </w:r>
    </w:p>
  </w:endnote>
  <w:endnote w:type="continuationSeparator" w:id="0">
    <w:p w:rsidR="005926B7" w:rsidRDefault="0059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69E050E" wp14:editId="0734C640">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02D65">
                            <w:rPr>
                              <w:rFonts w:ascii="Times New Roman" w:eastAsia="楷体" w:hAnsi="Times New Roman" w:cs="Times New Roman"/>
                              <w:b/>
                              <w:noProof/>
                              <w:color w:val="833C0B"/>
                              <w:sz w:val="21"/>
                              <w:lang w:bidi="ar"/>
                            </w:rPr>
                            <w:t>9</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02D65">
                      <w:rPr>
                        <w:rFonts w:ascii="Times New Roman" w:eastAsia="楷体" w:hAnsi="Times New Roman" w:cs="Times New Roman"/>
                        <w:b/>
                        <w:noProof/>
                        <w:color w:val="833C0B"/>
                        <w:sz w:val="21"/>
                        <w:lang w:bidi="ar"/>
                      </w:rPr>
                      <w:t>9</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6B7" w:rsidRDefault="005926B7">
      <w:r>
        <w:separator/>
      </w:r>
    </w:p>
  </w:footnote>
  <w:footnote w:type="continuationSeparator" w:id="0">
    <w:p w:rsidR="005926B7" w:rsidRDefault="005926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4904FDA6" wp14:editId="5F839954">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EA648C4" wp14:editId="1C422D92">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6C38A8">
      <w:rPr>
        <w:rFonts w:ascii="Times New Roman" w:eastAsia="楷体" w:hAnsi="Times New Roman" w:hint="eastAsia"/>
        <w:b/>
        <w:bCs/>
        <w:noProof/>
        <w:color w:val="833C0B"/>
        <w:sz w:val="21"/>
      </w:rPr>
      <w:t>2023</w:t>
    </w:r>
    <w:r w:rsidR="006C38A8">
      <w:rPr>
        <w:rFonts w:ascii="Times New Roman" w:eastAsia="楷体" w:hAnsi="Times New Roman" w:hint="eastAsia"/>
        <w:b/>
        <w:bCs/>
        <w:noProof/>
        <w:color w:val="833C0B"/>
        <w:sz w:val="21"/>
      </w:rPr>
      <w:t>年</w:t>
    </w:r>
    <w:r w:rsidR="006C38A8">
      <w:rPr>
        <w:rFonts w:ascii="Times New Roman" w:eastAsia="楷体" w:hAnsi="Times New Roman" w:hint="eastAsia"/>
        <w:b/>
        <w:bCs/>
        <w:noProof/>
        <w:color w:val="833C0B"/>
        <w:sz w:val="21"/>
      </w:rPr>
      <w:t>10</w:t>
    </w:r>
    <w:r w:rsidR="006C38A8">
      <w:rPr>
        <w:rFonts w:ascii="Times New Roman" w:eastAsia="楷体" w:hAnsi="Times New Roman" w:hint="eastAsia"/>
        <w:b/>
        <w:bCs/>
        <w:noProof/>
        <w:color w:val="833C0B"/>
        <w:sz w:val="21"/>
      </w:rPr>
      <w:t>月</w:t>
    </w:r>
    <w:r w:rsidR="006C38A8">
      <w:rPr>
        <w:rFonts w:ascii="Times New Roman" w:eastAsia="楷体" w:hAnsi="Times New Roman" w:hint="eastAsia"/>
        <w:b/>
        <w:bCs/>
        <w:noProof/>
        <w:color w:val="833C0B"/>
        <w:sz w:val="21"/>
      </w:rPr>
      <w:t>9</w:t>
    </w:r>
    <w:r w:rsidR="006C38A8">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2A7A"/>
    <w:rsid w:val="00035EB2"/>
    <w:rsid w:val="000417D7"/>
    <w:rsid w:val="00050B6C"/>
    <w:rsid w:val="0005286B"/>
    <w:rsid w:val="0005726F"/>
    <w:rsid w:val="00057E99"/>
    <w:rsid w:val="00060F08"/>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6FEB"/>
    <w:rsid w:val="001579F3"/>
    <w:rsid w:val="00163984"/>
    <w:rsid w:val="00170E7B"/>
    <w:rsid w:val="00170EDF"/>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D7FC5"/>
    <w:rsid w:val="002F075C"/>
    <w:rsid w:val="002F545E"/>
    <w:rsid w:val="002F6AD1"/>
    <w:rsid w:val="002F7810"/>
    <w:rsid w:val="0031065A"/>
    <w:rsid w:val="00320AB1"/>
    <w:rsid w:val="00321629"/>
    <w:rsid w:val="003230A0"/>
    <w:rsid w:val="00323550"/>
    <w:rsid w:val="003238A5"/>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5F3F"/>
    <w:rsid w:val="004D0484"/>
    <w:rsid w:val="004D6F74"/>
    <w:rsid w:val="004E269E"/>
    <w:rsid w:val="004E2959"/>
    <w:rsid w:val="004E3A10"/>
    <w:rsid w:val="004E58A5"/>
    <w:rsid w:val="004E6093"/>
    <w:rsid w:val="005145ED"/>
    <w:rsid w:val="00521683"/>
    <w:rsid w:val="005245A4"/>
    <w:rsid w:val="00526949"/>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A5EEB"/>
    <w:rsid w:val="005B5BDF"/>
    <w:rsid w:val="005B790A"/>
    <w:rsid w:val="005C05F7"/>
    <w:rsid w:val="005C05FA"/>
    <w:rsid w:val="005C49BA"/>
    <w:rsid w:val="005C5B1D"/>
    <w:rsid w:val="005E1CE0"/>
    <w:rsid w:val="005E6164"/>
    <w:rsid w:val="005F28F8"/>
    <w:rsid w:val="005F2CE6"/>
    <w:rsid w:val="005F45A8"/>
    <w:rsid w:val="005F5D8E"/>
    <w:rsid w:val="00606E2B"/>
    <w:rsid w:val="00610C41"/>
    <w:rsid w:val="00612D79"/>
    <w:rsid w:val="0061390B"/>
    <w:rsid w:val="00615F78"/>
    <w:rsid w:val="00622C65"/>
    <w:rsid w:val="006353D1"/>
    <w:rsid w:val="00637F19"/>
    <w:rsid w:val="00641752"/>
    <w:rsid w:val="00645DF5"/>
    <w:rsid w:val="00650F05"/>
    <w:rsid w:val="0065454E"/>
    <w:rsid w:val="00657B01"/>
    <w:rsid w:val="00661BB3"/>
    <w:rsid w:val="00666DE4"/>
    <w:rsid w:val="006811C5"/>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A713B"/>
    <w:rsid w:val="007B3290"/>
    <w:rsid w:val="007B42D0"/>
    <w:rsid w:val="007B4FCE"/>
    <w:rsid w:val="007C1DB9"/>
    <w:rsid w:val="007C2FD2"/>
    <w:rsid w:val="007C6F18"/>
    <w:rsid w:val="007C7B84"/>
    <w:rsid w:val="007D29EC"/>
    <w:rsid w:val="007D4BBD"/>
    <w:rsid w:val="007E1660"/>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5EF6"/>
    <w:rsid w:val="00816F85"/>
    <w:rsid w:val="00820D28"/>
    <w:rsid w:val="00822591"/>
    <w:rsid w:val="00827E8A"/>
    <w:rsid w:val="0083288D"/>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F1360"/>
    <w:rsid w:val="008F229B"/>
    <w:rsid w:val="008F2A6E"/>
    <w:rsid w:val="00903C18"/>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1EFD"/>
    <w:rsid w:val="00BE456E"/>
    <w:rsid w:val="00BF3137"/>
    <w:rsid w:val="00C02ECE"/>
    <w:rsid w:val="00C06AC7"/>
    <w:rsid w:val="00C13E0F"/>
    <w:rsid w:val="00C2031B"/>
    <w:rsid w:val="00C2080D"/>
    <w:rsid w:val="00C228D6"/>
    <w:rsid w:val="00C240C3"/>
    <w:rsid w:val="00C25562"/>
    <w:rsid w:val="00C265C5"/>
    <w:rsid w:val="00C27B89"/>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341CA"/>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6FBE"/>
    <w:rsid w:val="00DD145E"/>
    <w:rsid w:val="00DD29E1"/>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C24AF"/>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6FAA7-AD1C-4D0C-A09D-F0D28C26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3998</TotalTime>
  <Pages>10</Pages>
  <Words>1655</Words>
  <Characters>9439</Characters>
  <Application>Microsoft Office Word</Application>
  <DocSecurity>0</DocSecurity>
  <Lines>78</Lines>
  <Paragraphs>22</Paragraphs>
  <ScaleCrop>false</ScaleCrop>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100</cp:revision>
  <cp:lastPrinted>2023-06-08T02:23:00Z</cp:lastPrinted>
  <dcterms:created xsi:type="dcterms:W3CDTF">2022-11-15T10:06:00Z</dcterms:created>
  <dcterms:modified xsi:type="dcterms:W3CDTF">2023-10-09T02:47:00Z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