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648E2"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4648E2" w:rsidRPr="00FD338B">
            <w:rPr>
              <w:rStyle w:val="a9"/>
              <w:noProof/>
            </w:rPr>
            <w:fldChar w:fldCharType="begin"/>
          </w:r>
          <w:r w:rsidR="004648E2" w:rsidRPr="00FD338B">
            <w:rPr>
              <w:rStyle w:val="a9"/>
              <w:noProof/>
            </w:rPr>
            <w:instrText xml:space="preserve"> </w:instrText>
          </w:r>
          <w:r w:rsidR="004648E2">
            <w:rPr>
              <w:noProof/>
            </w:rPr>
            <w:instrText>HYPERLINK \l "_Toc145927152"</w:instrText>
          </w:r>
          <w:r w:rsidR="004648E2" w:rsidRPr="00FD338B">
            <w:rPr>
              <w:rStyle w:val="a9"/>
              <w:noProof/>
            </w:rPr>
            <w:instrText xml:space="preserve"> </w:instrText>
          </w:r>
          <w:r w:rsidR="004648E2" w:rsidRPr="00FD338B">
            <w:rPr>
              <w:rStyle w:val="a9"/>
              <w:noProof/>
            </w:rPr>
          </w:r>
          <w:r w:rsidR="004648E2" w:rsidRPr="00FD338B">
            <w:rPr>
              <w:rStyle w:val="a9"/>
              <w:noProof/>
            </w:rPr>
            <w:fldChar w:fldCharType="separate"/>
          </w:r>
          <w:r w:rsidR="004648E2" w:rsidRPr="00FD338B">
            <w:rPr>
              <w:rStyle w:val="a9"/>
              <w:rFonts w:ascii="Times New Roman" w:eastAsia="楷体" w:hAnsi="Times New Roman"/>
              <w:b/>
              <w:noProof/>
            </w:rPr>
            <w:t>[</w:t>
          </w:r>
          <w:r w:rsidR="004648E2" w:rsidRPr="00FD338B">
            <w:rPr>
              <w:rStyle w:val="a9"/>
              <w:rFonts w:ascii="Times New Roman" w:eastAsia="楷体" w:hAnsi="Times New Roman"/>
              <w:b/>
              <w:noProof/>
            </w:rPr>
            <w:t>金融</w:t>
          </w:r>
          <w:r w:rsidR="004648E2" w:rsidRPr="00FD338B">
            <w:rPr>
              <w:rStyle w:val="a9"/>
              <w:rFonts w:ascii="Times New Roman" w:eastAsia="楷体" w:hAnsi="Times New Roman"/>
              <w:b/>
              <w:noProof/>
            </w:rPr>
            <w:t>]</w:t>
          </w:r>
          <w:r w:rsidR="004648E2" w:rsidRPr="00FD338B">
            <w:rPr>
              <w:rStyle w:val="a9"/>
              <w:noProof/>
            </w:rPr>
            <w:fldChar w:fldCharType="end"/>
          </w:r>
        </w:p>
        <w:p w:rsidR="004648E2" w:rsidRDefault="004648E2">
          <w:pPr>
            <w:pStyle w:val="23"/>
            <w:tabs>
              <w:tab w:val="right" w:leader="dot" w:pos="8296"/>
            </w:tabs>
            <w:rPr>
              <w:rFonts w:eastAsiaTheme="minorEastAsia"/>
              <w:noProof/>
              <w:szCs w:val="22"/>
            </w:rPr>
          </w:pPr>
          <w:hyperlink w:anchor="_Toc145927153" w:history="1">
            <w:r w:rsidRPr="00FD338B">
              <w:rPr>
                <w:rStyle w:val="a9"/>
                <w:rFonts w:ascii="Times New Roman" w:eastAsia="楷体" w:hAnsi="Times New Roman"/>
                <w:b/>
                <w:noProof/>
              </w:rPr>
              <w:t>股指：</w:t>
            </w:r>
            <w:r w:rsidRPr="00FD338B">
              <w:rPr>
                <w:rStyle w:val="a9"/>
                <w:rFonts w:ascii="Times New Roman" w:eastAsia="楷体" w:hAnsi="Times New Roman"/>
                <w:b/>
                <w:noProof/>
              </w:rPr>
              <w:t>IM</w:t>
            </w:r>
            <w:r w:rsidRPr="00FD338B">
              <w:rPr>
                <w:rStyle w:val="a9"/>
                <w:rFonts w:ascii="Times New Roman" w:eastAsia="楷体" w:hAnsi="Times New Roman"/>
                <w:b/>
                <w:noProof/>
              </w:rPr>
              <w:t>多单轻仓持有</w:t>
            </w:r>
          </w:hyperlink>
        </w:p>
        <w:p w:rsidR="004648E2" w:rsidRDefault="004648E2">
          <w:pPr>
            <w:pStyle w:val="11"/>
            <w:tabs>
              <w:tab w:val="right" w:leader="dot" w:pos="8296"/>
            </w:tabs>
            <w:rPr>
              <w:rFonts w:eastAsiaTheme="minorEastAsia"/>
              <w:noProof/>
              <w:szCs w:val="22"/>
            </w:rPr>
          </w:pPr>
          <w:hyperlink w:anchor="_Toc145927154" w:history="1">
            <w:r w:rsidRPr="00FD338B">
              <w:rPr>
                <w:rStyle w:val="a9"/>
                <w:rFonts w:ascii="Times New Roman" w:eastAsia="楷体" w:hAnsi="Times New Roman"/>
                <w:b/>
                <w:noProof/>
              </w:rPr>
              <w:t>[</w:t>
            </w:r>
            <w:r w:rsidRPr="00FD338B">
              <w:rPr>
                <w:rStyle w:val="a9"/>
                <w:rFonts w:ascii="Times New Roman" w:eastAsia="楷体" w:hAnsi="Times New Roman"/>
                <w:b/>
                <w:noProof/>
              </w:rPr>
              <w:t>贵金属</w:t>
            </w:r>
            <w:r w:rsidRPr="00FD338B">
              <w:rPr>
                <w:rStyle w:val="a9"/>
                <w:rFonts w:ascii="Times New Roman" w:eastAsia="楷体" w:hAnsi="Times New Roman"/>
                <w:b/>
                <w:noProof/>
              </w:rPr>
              <w:t>]</w:t>
            </w:r>
          </w:hyperlink>
        </w:p>
        <w:p w:rsidR="004648E2" w:rsidRDefault="004648E2">
          <w:pPr>
            <w:pStyle w:val="23"/>
            <w:tabs>
              <w:tab w:val="right" w:leader="dot" w:pos="8296"/>
            </w:tabs>
            <w:rPr>
              <w:rFonts w:eastAsiaTheme="minorEastAsia"/>
              <w:noProof/>
              <w:szCs w:val="22"/>
            </w:rPr>
          </w:pPr>
          <w:hyperlink w:anchor="_Toc145927155" w:history="1">
            <w:r w:rsidRPr="00FD338B">
              <w:rPr>
                <w:rStyle w:val="a9"/>
                <w:rFonts w:ascii="Times New Roman" w:eastAsia="楷体" w:hAnsi="Times New Roman"/>
                <w:b/>
                <w:noProof/>
              </w:rPr>
              <w:t>贵金属：美国通胀同比回升，贵金属价格维持强劲</w:t>
            </w:r>
          </w:hyperlink>
        </w:p>
        <w:p w:rsidR="004648E2" w:rsidRDefault="004648E2">
          <w:pPr>
            <w:pStyle w:val="11"/>
            <w:tabs>
              <w:tab w:val="right" w:leader="dot" w:pos="8296"/>
            </w:tabs>
            <w:rPr>
              <w:rFonts w:eastAsiaTheme="minorEastAsia"/>
              <w:noProof/>
              <w:szCs w:val="22"/>
            </w:rPr>
          </w:pPr>
          <w:hyperlink w:anchor="_Toc145927156" w:history="1">
            <w:r w:rsidRPr="00FD338B">
              <w:rPr>
                <w:rStyle w:val="a9"/>
                <w:rFonts w:ascii="Times New Roman" w:eastAsia="楷体" w:hAnsi="Times New Roman"/>
                <w:b/>
                <w:noProof/>
              </w:rPr>
              <w:t>[</w:t>
            </w:r>
            <w:r w:rsidRPr="00FD338B">
              <w:rPr>
                <w:rStyle w:val="a9"/>
                <w:rFonts w:ascii="Times New Roman" w:eastAsia="楷体" w:hAnsi="Times New Roman"/>
                <w:b/>
                <w:noProof/>
              </w:rPr>
              <w:t>金属</w:t>
            </w:r>
            <w:r w:rsidRPr="00FD338B">
              <w:rPr>
                <w:rStyle w:val="a9"/>
                <w:rFonts w:ascii="Times New Roman" w:eastAsia="楷体" w:hAnsi="Times New Roman"/>
                <w:b/>
                <w:noProof/>
              </w:rPr>
              <w:t>]</w:t>
            </w:r>
          </w:hyperlink>
        </w:p>
        <w:p w:rsidR="004648E2" w:rsidRDefault="004648E2">
          <w:pPr>
            <w:pStyle w:val="23"/>
            <w:tabs>
              <w:tab w:val="right" w:leader="dot" w:pos="8296"/>
            </w:tabs>
            <w:rPr>
              <w:rFonts w:eastAsiaTheme="minorEastAsia"/>
              <w:noProof/>
              <w:szCs w:val="22"/>
            </w:rPr>
          </w:pPr>
          <w:hyperlink w:anchor="_Toc145927157" w:history="1">
            <w:r w:rsidRPr="00FD338B">
              <w:rPr>
                <w:rStyle w:val="a9"/>
                <w:rFonts w:ascii="楷体" w:eastAsia="楷体" w:hAnsi="楷体"/>
                <w:b/>
                <w:noProof/>
              </w:rPr>
              <w:t>碳酸锂：锂盐维持供过于求，期价进一步下行</w:t>
            </w:r>
          </w:hyperlink>
        </w:p>
        <w:p w:rsidR="004648E2" w:rsidRDefault="004648E2">
          <w:pPr>
            <w:pStyle w:val="23"/>
            <w:tabs>
              <w:tab w:val="right" w:leader="dot" w:pos="8296"/>
            </w:tabs>
            <w:rPr>
              <w:rFonts w:eastAsiaTheme="minorEastAsia"/>
              <w:noProof/>
              <w:szCs w:val="22"/>
            </w:rPr>
          </w:pPr>
          <w:hyperlink w:anchor="_Toc145927158" w:history="1">
            <w:r w:rsidRPr="00FD338B">
              <w:rPr>
                <w:rStyle w:val="a9"/>
                <w:rFonts w:ascii="楷体" w:eastAsia="楷体" w:hAnsi="楷体"/>
                <w:b/>
                <w:noProof/>
              </w:rPr>
              <w:t>螺纹钢：成本支撑，震荡上行，等待旺季需求改善</w:t>
            </w:r>
          </w:hyperlink>
        </w:p>
        <w:p w:rsidR="004648E2" w:rsidRDefault="004648E2">
          <w:pPr>
            <w:pStyle w:val="23"/>
            <w:tabs>
              <w:tab w:val="right" w:leader="dot" w:pos="8296"/>
            </w:tabs>
            <w:rPr>
              <w:rFonts w:eastAsiaTheme="minorEastAsia"/>
              <w:noProof/>
              <w:szCs w:val="22"/>
            </w:rPr>
          </w:pPr>
          <w:hyperlink w:anchor="_Toc145927159" w:history="1">
            <w:r w:rsidRPr="00FD338B">
              <w:rPr>
                <w:rStyle w:val="a9"/>
                <w:rFonts w:ascii="楷体" w:eastAsia="楷体" w:hAnsi="楷体"/>
                <w:b/>
                <w:noProof/>
              </w:rPr>
              <w:t>焦炭：港口焦炭价格偏稳，价格或高位继续偏强运行</w:t>
            </w:r>
          </w:hyperlink>
        </w:p>
        <w:p w:rsidR="004648E2" w:rsidRDefault="004648E2">
          <w:pPr>
            <w:pStyle w:val="23"/>
            <w:tabs>
              <w:tab w:val="right" w:leader="dot" w:pos="8296"/>
            </w:tabs>
            <w:rPr>
              <w:rFonts w:eastAsiaTheme="minorEastAsia"/>
              <w:noProof/>
              <w:szCs w:val="22"/>
            </w:rPr>
          </w:pPr>
          <w:hyperlink w:anchor="_Toc145927160" w:history="1">
            <w:r w:rsidRPr="00FD338B">
              <w:rPr>
                <w:rStyle w:val="a9"/>
                <w:rFonts w:ascii="楷体" w:eastAsia="楷体" w:hAnsi="楷体"/>
                <w:b/>
                <w:noProof/>
              </w:rPr>
              <w:t>焦煤：成材或打开空间，价格或高位继续偏强运行</w:t>
            </w:r>
          </w:hyperlink>
        </w:p>
        <w:p w:rsidR="004648E2" w:rsidRDefault="004648E2">
          <w:pPr>
            <w:pStyle w:val="23"/>
            <w:tabs>
              <w:tab w:val="right" w:leader="dot" w:pos="8296"/>
            </w:tabs>
            <w:rPr>
              <w:rFonts w:eastAsiaTheme="minorEastAsia"/>
              <w:noProof/>
              <w:szCs w:val="22"/>
            </w:rPr>
          </w:pPr>
          <w:hyperlink w:anchor="_Toc145927161" w:history="1">
            <w:r w:rsidRPr="00FD338B">
              <w:rPr>
                <w:rStyle w:val="a9"/>
                <w:rFonts w:ascii="楷体" w:eastAsia="楷体" w:hAnsi="楷体"/>
                <w:b/>
                <w:noProof/>
              </w:rPr>
              <w:t>铜：区间震荡运行</w:t>
            </w:r>
          </w:hyperlink>
        </w:p>
        <w:p w:rsidR="004648E2" w:rsidRDefault="004648E2">
          <w:pPr>
            <w:pStyle w:val="23"/>
            <w:tabs>
              <w:tab w:val="right" w:leader="dot" w:pos="8296"/>
            </w:tabs>
            <w:rPr>
              <w:rFonts w:eastAsiaTheme="minorEastAsia"/>
              <w:noProof/>
              <w:szCs w:val="22"/>
            </w:rPr>
          </w:pPr>
          <w:hyperlink w:anchor="_Toc145927162" w:history="1">
            <w:r w:rsidRPr="00FD338B">
              <w:rPr>
                <w:rStyle w:val="a9"/>
                <w:rFonts w:ascii="楷体" w:eastAsia="楷体" w:hAnsi="楷体"/>
                <w:b/>
                <w:noProof/>
              </w:rPr>
              <w:t>铝：低库存叠加节前补库效应，铝价维持高位震荡</w:t>
            </w:r>
          </w:hyperlink>
        </w:p>
        <w:p w:rsidR="004648E2" w:rsidRDefault="004648E2">
          <w:pPr>
            <w:pStyle w:val="23"/>
            <w:tabs>
              <w:tab w:val="right" w:leader="dot" w:pos="8296"/>
            </w:tabs>
            <w:rPr>
              <w:rFonts w:eastAsiaTheme="minorEastAsia"/>
              <w:noProof/>
              <w:szCs w:val="22"/>
            </w:rPr>
          </w:pPr>
          <w:hyperlink w:anchor="_Toc145927163" w:history="1">
            <w:r w:rsidRPr="00FD338B">
              <w:rPr>
                <w:rStyle w:val="a9"/>
                <w:rFonts w:ascii="楷体" w:eastAsia="楷体" w:hAnsi="楷体"/>
                <w:b/>
                <w:noProof/>
              </w:rPr>
              <w:t>锌：供应走紧叠加低库存支撑价格偏强运行</w:t>
            </w:r>
          </w:hyperlink>
        </w:p>
        <w:p w:rsidR="004648E2" w:rsidRDefault="004648E2">
          <w:pPr>
            <w:pStyle w:val="23"/>
            <w:tabs>
              <w:tab w:val="right" w:leader="dot" w:pos="8296"/>
            </w:tabs>
            <w:rPr>
              <w:rFonts w:eastAsiaTheme="minorEastAsia"/>
              <w:noProof/>
              <w:szCs w:val="22"/>
            </w:rPr>
          </w:pPr>
          <w:hyperlink w:anchor="_Toc145927164" w:history="1">
            <w:r w:rsidRPr="00FD338B">
              <w:rPr>
                <w:rStyle w:val="a9"/>
                <w:rFonts w:ascii="楷体" w:eastAsia="楷体" w:hAnsi="楷体"/>
                <w:b/>
                <w:noProof/>
              </w:rPr>
              <w:t>镍：宏观情绪提振与弱现实面交织，镍价承压运行</w:t>
            </w:r>
          </w:hyperlink>
        </w:p>
        <w:p w:rsidR="004648E2" w:rsidRDefault="004648E2">
          <w:pPr>
            <w:pStyle w:val="23"/>
            <w:tabs>
              <w:tab w:val="right" w:leader="dot" w:pos="8296"/>
            </w:tabs>
            <w:rPr>
              <w:rFonts w:eastAsiaTheme="minorEastAsia"/>
              <w:noProof/>
              <w:szCs w:val="22"/>
            </w:rPr>
          </w:pPr>
          <w:hyperlink w:anchor="_Toc145927165" w:history="1">
            <w:r w:rsidRPr="00FD338B">
              <w:rPr>
                <w:rStyle w:val="a9"/>
                <w:rFonts w:ascii="楷体" w:eastAsia="楷体" w:hAnsi="楷体"/>
                <w:b/>
                <w:noProof/>
              </w:rPr>
              <w:t>铅：铝市供需双修，观望价格上方压力位</w:t>
            </w:r>
          </w:hyperlink>
        </w:p>
        <w:p w:rsidR="004648E2" w:rsidRDefault="004648E2">
          <w:pPr>
            <w:pStyle w:val="23"/>
            <w:tabs>
              <w:tab w:val="right" w:leader="dot" w:pos="8296"/>
            </w:tabs>
            <w:rPr>
              <w:rFonts w:eastAsiaTheme="minorEastAsia"/>
              <w:noProof/>
              <w:szCs w:val="22"/>
            </w:rPr>
          </w:pPr>
          <w:hyperlink w:anchor="_Toc145927166" w:history="1">
            <w:r w:rsidRPr="00FD338B">
              <w:rPr>
                <w:rStyle w:val="a9"/>
                <w:rFonts w:ascii="楷体" w:eastAsia="楷体" w:hAnsi="楷体"/>
                <w:b/>
                <w:noProof/>
              </w:rPr>
              <w:t>不锈钢：成本与需求博弈之下，短期或窄幅震荡偏弱</w:t>
            </w:r>
          </w:hyperlink>
        </w:p>
        <w:p w:rsidR="004648E2" w:rsidRDefault="004648E2">
          <w:pPr>
            <w:pStyle w:val="23"/>
            <w:tabs>
              <w:tab w:val="right" w:leader="dot" w:pos="8296"/>
            </w:tabs>
            <w:rPr>
              <w:rFonts w:eastAsiaTheme="minorEastAsia"/>
              <w:noProof/>
              <w:szCs w:val="22"/>
            </w:rPr>
          </w:pPr>
          <w:hyperlink w:anchor="_Toc145927167" w:history="1">
            <w:r w:rsidRPr="00FD338B">
              <w:rPr>
                <w:rStyle w:val="a9"/>
                <w:rFonts w:ascii="楷体" w:eastAsia="楷体" w:hAnsi="楷体"/>
                <w:b/>
                <w:noProof/>
              </w:rPr>
              <w:t>工业硅：传统旺季来临，市场看涨氛围偏浓</w:t>
            </w:r>
          </w:hyperlink>
        </w:p>
        <w:p w:rsidR="004648E2" w:rsidRDefault="004648E2">
          <w:pPr>
            <w:pStyle w:val="11"/>
            <w:tabs>
              <w:tab w:val="right" w:leader="dot" w:pos="8296"/>
            </w:tabs>
            <w:rPr>
              <w:rFonts w:eastAsiaTheme="minorEastAsia"/>
              <w:noProof/>
              <w:szCs w:val="22"/>
            </w:rPr>
          </w:pPr>
          <w:hyperlink w:anchor="_Toc145927168" w:history="1">
            <w:r w:rsidRPr="00FD338B">
              <w:rPr>
                <w:rStyle w:val="a9"/>
                <w:rFonts w:ascii="Times New Roman" w:eastAsia="楷体" w:hAnsi="Times New Roman"/>
                <w:b/>
                <w:noProof/>
              </w:rPr>
              <w:t>[</w:t>
            </w:r>
            <w:r w:rsidRPr="00FD338B">
              <w:rPr>
                <w:rStyle w:val="a9"/>
                <w:rFonts w:ascii="Times New Roman" w:eastAsia="楷体" w:hAnsi="Times New Roman"/>
                <w:b/>
                <w:noProof/>
              </w:rPr>
              <w:t>化工</w:t>
            </w:r>
            <w:r w:rsidRPr="00FD338B">
              <w:rPr>
                <w:rStyle w:val="a9"/>
                <w:rFonts w:ascii="Times New Roman" w:eastAsia="楷体" w:hAnsi="Times New Roman"/>
                <w:b/>
                <w:noProof/>
              </w:rPr>
              <w:t>]</w:t>
            </w:r>
          </w:hyperlink>
        </w:p>
        <w:p w:rsidR="004648E2" w:rsidRDefault="004648E2">
          <w:pPr>
            <w:pStyle w:val="23"/>
            <w:tabs>
              <w:tab w:val="right" w:leader="dot" w:pos="8296"/>
            </w:tabs>
            <w:rPr>
              <w:rFonts w:eastAsiaTheme="minorEastAsia"/>
              <w:noProof/>
              <w:szCs w:val="22"/>
            </w:rPr>
          </w:pPr>
          <w:hyperlink w:anchor="_Toc145927169" w:history="1">
            <w:r w:rsidRPr="00FD338B">
              <w:rPr>
                <w:rStyle w:val="a9"/>
                <w:rFonts w:ascii="Times New Roman" w:eastAsia="楷体" w:hAnsi="Times New Roman"/>
                <w:b/>
                <w:noProof/>
              </w:rPr>
              <w:t>天然橡胶</w:t>
            </w:r>
            <w:r w:rsidRPr="00FD338B">
              <w:rPr>
                <w:rStyle w:val="a9"/>
                <w:rFonts w:ascii="Times New Roman" w:eastAsia="楷体" w:hAnsi="Times New Roman"/>
                <w:b/>
                <w:noProof/>
              </w:rPr>
              <w:t>:</w:t>
            </w:r>
            <w:r w:rsidRPr="00FD338B">
              <w:rPr>
                <w:rStyle w:val="a9"/>
                <w:rFonts w:ascii="楷体" w:eastAsia="楷体" w:hAnsi="楷体"/>
                <w:b/>
                <w:noProof/>
              </w:rPr>
              <w:t xml:space="preserve"> 深色胶去库趋势不改 RU偏强震荡</w:t>
            </w:r>
          </w:hyperlink>
        </w:p>
        <w:p w:rsidR="004648E2" w:rsidRDefault="004648E2">
          <w:pPr>
            <w:pStyle w:val="23"/>
            <w:tabs>
              <w:tab w:val="right" w:leader="dot" w:pos="8296"/>
            </w:tabs>
            <w:rPr>
              <w:rFonts w:eastAsiaTheme="minorEastAsia"/>
              <w:noProof/>
              <w:szCs w:val="22"/>
            </w:rPr>
          </w:pPr>
          <w:hyperlink w:anchor="_Toc145927170" w:history="1">
            <w:r w:rsidRPr="00FD338B">
              <w:rPr>
                <w:rStyle w:val="a9"/>
                <w:rFonts w:ascii="楷体" w:eastAsia="楷体" w:hAnsi="楷体"/>
                <w:b/>
                <w:noProof/>
              </w:rPr>
              <w:t>PTA：成本端支撑及低加工费趋势仍偏强</w:t>
            </w:r>
          </w:hyperlink>
        </w:p>
        <w:p w:rsidR="004648E2" w:rsidRDefault="004648E2">
          <w:pPr>
            <w:pStyle w:val="23"/>
            <w:tabs>
              <w:tab w:val="right" w:leader="dot" w:pos="8296"/>
            </w:tabs>
            <w:rPr>
              <w:rFonts w:eastAsiaTheme="minorEastAsia"/>
              <w:noProof/>
              <w:szCs w:val="22"/>
            </w:rPr>
          </w:pPr>
          <w:hyperlink w:anchor="_Toc145927171" w:history="1">
            <w:r w:rsidRPr="00FD338B">
              <w:rPr>
                <w:rStyle w:val="a9"/>
                <w:rFonts w:ascii="楷体" w:eastAsia="楷体" w:hAnsi="楷体"/>
                <w:b/>
                <w:noProof/>
              </w:rPr>
              <w:t>PVC：高库存+弱复苏 驱动不足</w:t>
            </w:r>
          </w:hyperlink>
        </w:p>
        <w:p w:rsidR="004648E2" w:rsidRDefault="004648E2">
          <w:pPr>
            <w:pStyle w:val="23"/>
            <w:tabs>
              <w:tab w:val="right" w:leader="dot" w:pos="8296"/>
            </w:tabs>
            <w:rPr>
              <w:rFonts w:eastAsiaTheme="minorEastAsia"/>
              <w:noProof/>
              <w:szCs w:val="22"/>
            </w:rPr>
          </w:pPr>
          <w:hyperlink w:anchor="_Toc145927172" w:history="1">
            <w:r w:rsidRPr="00FD338B">
              <w:rPr>
                <w:rStyle w:val="a9"/>
                <w:rFonts w:ascii="楷体" w:eastAsia="楷体" w:hAnsi="楷体"/>
                <w:b/>
                <w:noProof/>
              </w:rPr>
              <w:t>聚烯烃：缺乏持续性拉涨动力 聚烯烃进入震荡整理阶段</w:t>
            </w:r>
          </w:hyperlink>
        </w:p>
        <w:p w:rsidR="004648E2" w:rsidRDefault="004648E2">
          <w:pPr>
            <w:pStyle w:val="23"/>
            <w:tabs>
              <w:tab w:val="right" w:leader="dot" w:pos="8296"/>
            </w:tabs>
            <w:rPr>
              <w:rFonts w:eastAsiaTheme="minorEastAsia"/>
              <w:noProof/>
              <w:szCs w:val="22"/>
            </w:rPr>
          </w:pPr>
          <w:hyperlink w:anchor="_Toc145927173" w:history="1">
            <w:r w:rsidRPr="00FD338B">
              <w:rPr>
                <w:rStyle w:val="a9"/>
                <w:rFonts w:ascii="楷体" w:eastAsia="楷体" w:hAnsi="楷体"/>
                <w:b/>
                <w:noProof/>
              </w:rPr>
              <w:t>MEG：成本提振区间操作为主</w:t>
            </w:r>
          </w:hyperlink>
        </w:p>
        <w:p w:rsidR="004648E2" w:rsidRDefault="004648E2">
          <w:pPr>
            <w:pStyle w:val="23"/>
            <w:tabs>
              <w:tab w:val="right" w:leader="dot" w:pos="8296"/>
            </w:tabs>
            <w:rPr>
              <w:rFonts w:eastAsiaTheme="minorEastAsia"/>
              <w:noProof/>
              <w:szCs w:val="22"/>
            </w:rPr>
          </w:pPr>
          <w:hyperlink w:anchor="_Toc145927174" w:history="1">
            <w:r w:rsidRPr="00FD338B">
              <w:rPr>
                <w:rStyle w:val="a9"/>
                <w:rFonts w:ascii="楷体" w:eastAsia="楷体" w:hAnsi="楷体"/>
                <w:b/>
                <w:noProof/>
              </w:rPr>
              <w:t>玻璃：节前补库暂未开启，区间操作为主</w:t>
            </w:r>
          </w:hyperlink>
        </w:p>
        <w:p w:rsidR="004648E2" w:rsidRDefault="004648E2">
          <w:pPr>
            <w:pStyle w:val="23"/>
            <w:tabs>
              <w:tab w:val="right" w:leader="dot" w:pos="8296"/>
            </w:tabs>
            <w:rPr>
              <w:rFonts w:eastAsiaTheme="minorEastAsia"/>
              <w:noProof/>
              <w:szCs w:val="22"/>
            </w:rPr>
          </w:pPr>
          <w:hyperlink w:anchor="_Toc145927175" w:history="1">
            <w:r w:rsidRPr="00FD338B">
              <w:rPr>
                <w:rStyle w:val="a9"/>
                <w:rFonts w:ascii="楷体" w:eastAsia="楷体" w:hAnsi="楷体"/>
                <w:b/>
                <w:noProof/>
              </w:rPr>
              <w:t>纯碱：供给紧张逐步缓解，现货短期稳价为主</w:t>
            </w:r>
          </w:hyperlink>
        </w:p>
        <w:p w:rsidR="004648E2" w:rsidRDefault="004648E2">
          <w:pPr>
            <w:pStyle w:val="11"/>
            <w:tabs>
              <w:tab w:val="right" w:leader="dot" w:pos="8296"/>
            </w:tabs>
            <w:rPr>
              <w:rFonts w:eastAsiaTheme="minorEastAsia"/>
              <w:noProof/>
              <w:szCs w:val="22"/>
            </w:rPr>
          </w:pPr>
          <w:hyperlink w:anchor="_Toc145927176" w:history="1">
            <w:r w:rsidRPr="00FD338B">
              <w:rPr>
                <w:rStyle w:val="a9"/>
                <w:rFonts w:ascii="Times New Roman" w:eastAsia="楷体" w:hAnsi="Times New Roman"/>
                <w:b/>
                <w:noProof/>
              </w:rPr>
              <w:t>[</w:t>
            </w:r>
            <w:r w:rsidRPr="00FD338B">
              <w:rPr>
                <w:rStyle w:val="a9"/>
                <w:rFonts w:ascii="Times New Roman" w:eastAsia="楷体" w:hAnsi="Times New Roman"/>
                <w:b/>
                <w:noProof/>
              </w:rPr>
              <w:t>农产品</w:t>
            </w:r>
            <w:r w:rsidRPr="00FD338B">
              <w:rPr>
                <w:rStyle w:val="a9"/>
                <w:rFonts w:ascii="Times New Roman" w:eastAsia="楷体" w:hAnsi="Times New Roman"/>
                <w:b/>
                <w:noProof/>
              </w:rPr>
              <w:t>]</w:t>
            </w:r>
          </w:hyperlink>
        </w:p>
        <w:p w:rsidR="004648E2" w:rsidRDefault="004648E2">
          <w:pPr>
            <w:pStyle w:val="23"/>
            <w:tabs>
              <w:tab w:val="right" w:leader="dot" w:pos="8296"/>
            </w:tabs>
            <w:rPr>
              <w:rFonts w:eastAsiaTheme="minorEastAsia"/>
              <w:noProof/>
              <w:szCs w:val="22"/>
            </w:rPr>
          </w:pPr>
          <w:hyperlink w:anchor="_Toc145927177" w:history="1">
            <w:r w:rsidRPr="00FD338B">
              <w:rPr>
                <w:rStyle w:val="a9"/>
                <w:rFonts w:ascii="楷体" w:eastAsia="楷体" w:hAnsi="楷体"/>
                <w:b/>
                <w:noProof/>
              </w:rPr>
              <w:t>豆粕/菜粕：豆菜粕价差延续高位</w:t>
            </w:r>
          </w:hyperlink>
        </w:p>
        <w:p w:rsidR="004648E2" w:rsidRDefault="004648E2">
          <w:pPr>
            <w:pStyle w:val="23"/>
            <w:tabs>
              <w:tab w:val="right" w:leader="dot" w:pos="8296"/>
            </w:tabs>
            <w:rPr>
              <w:rFonts w:eastAsiaTheme="minorEastAsia"/>
              <w:noProof/>
              <w:szCs w:val="22"/>
            </w:rPr>
          </w:pPr>
          <w:hyperlink w:anchor="_Toc145927178" w:history="1">
            <w:r w:rsidRPr="00FD338B">
              <w:rPr>
                <w:rStyle w:val="a9"/>
                <w:rFonts w:ascii="楷体" w:eastAsia="楷体" w:hAnsi="楷体"/>
                <w:b/>
                <w:noProof/>
              </w:rPr>
              <w:t>油脂：预计维持区间宽幅震荡</w:t>
            </w:r>
          </w:hyperlink>
        </w:p>
        <w:p w:rsidR="004648E2" w:rsidRDefault="004648E2">
          <w:pPr>
            <w:pStyle w:val="23"/>
            <w:tabs>
              <w:tab w:val="right" w:leader="dot" w:pos="8296"/>
            </w:tabs>
            <w:rPr>
              <w:rFonts w:eastAsiaTheme="minorEastAsia"/>
              <w:noProof/>
              <w:szCs w:val="22"/>
            </w:rPr>
          </w:pPr>
          <w:hyperlink w:anchor="_Toc145927179" w:history="1">
            <w:r w:rsidRPr="00FD338B">
              <w:rPr>
                <w:rStyle w:val="a9"/>
                <w:rFonts w:ascii="楷体" w:eastAsia="楷体" w:hAnsi="楷体"/>
                <w:b/>
                <w:bCs/>
                <w:noProof/>
              </w:rPr>
              <w:t>玉米与淀粉：</w:t>
            </w:r>
            <w:r w:rsidRPr="00FD338B">
              <w:rPr>
                <w:rStyle w:val="a9"/>
                <w:rFonts w:ascii="楷体" w:eastAsia="楷体" w:hAnsi="楷体"/>
                <w:b/>
                <w:noProof/>
              </w:rPr>
              <w:t>等待新作压力释放</w:t>
            </w:r>
          </w:hyperlink>
        </w:p>
        <w:p w:rsidR="004648E2" w:rsidRDefault="004648E2">
          <w:pPr>
            <w:pStyle w:val="23"/>
            <w:tabs>
              <w:tab w:val="right" w:leader="dot" w:pos="8296"/>
            </w:tabs>
            <w:rPr>
              <w:rFonts w:eastAsiaTheme="minorEastAsia"/>
              <w:noProof/>
              <w:szCs w:val="22"/>
            </w:rPr>
          </w:pPr>
          <w:hyperlink w:anchor="_Toc145927180" w:history="1">
            <w:r w:rsidRPr="00FD338B">
              <w:rPr>
                <w:rStyle w:val="a9"/>
                <w:rFonts w:ascii="楷体" w:eastAsia="楷体" w:hAnsi="楷体"/>
                <w:b/>
                <w:bCs/>
                <w:noProof/>
              </w:rPr>
              <w:t>畜禽养殖：现货带动期价近强远弱</w:t>
            </w:r>
          </w:hyperlink>
        </w:p>
        <w:p w:rsidR="004648E2" w:rsidRDefault="004648E2">
          <w:pPr>
            <w:pStyle w:val="23"/>
            <w:tabs>
              <w:tab w:val="right" w:leader="dot" w:pos="8296"/>
            </w:tabs>
            <w:rPr>
              <w:rFonts w:eastAsiaTheme="minorEastAsia"/>
              <w:noProof/>
              <w:szCs w:val="22"/>
            </w:rPr>
          </w:pPr>
          <w:hyperlink w:anchor="_Toc145927181" w:history="1">
            <w:r w:rsidRPr="00FD338B">
              <w:rPr>
                <w:rStyle w:val="a9"/>
                <w:rFonts w:ascii="楷体" w:eastAsia="楷体" w:hAnsi="楷体"/>
                <w:b/>
                <w:noProof/>
              </w:rPr>
              <w:t>郑棉：低位多单或看跌期权卖权持有</w:t>
            </w:r>
          </w:hyperlink>
        </w:p>
        <w:p w:rsidR="004648E2" w:rsidRDefault="004648E2">
          <w:pPr>
            <w:pStyle w:val="23"/>
            <w:tabs>
              <w:tab w:val="right" w:leader="dot" w:pos="8296"/>
            </w:tabs>
            <w:rPr>
              <w:rFonts w:eastAsiaTheme="minorEastAsia"/>
              <w:noProof/>
              <w:szCs w:val="22"/>
            </w:rPr>
          </w:pPr>
          <w:hyperlink w:anchor="_Toc145927182" w:history="1">
            <w:r w:rsidRPr="00FD338B">
              <w:rPr>
                <w:rStyle w:val="a9"/>
                <w:rFonts w:ascii="楷体" w:eastAsia="楷体" w:hAnsi="楷体"/>
                <w:b/>
                <w:noProof/>
              </w:rPr>
              <w:t>白糖：看跌期权卖权持有，低多暂时离场观望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592715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5927153"/>
      <w:bookmarkEnd w:id="4"/>
      <w:r>
        <w:rPr>
          <w:rFonts w:ascii="Times New Roman" w:eastAsia="楷体" w:hAnsi="Times New Roman" w:hint="eastAsia"/>
          <w:b/>
          <w:color w:val="000000" w:themeColor="text1"/>
          <w:sz w:val="24"/>
          <w:szCs w:val="24"/>
        </w:rPr>
        <w:t>股指：</w:t>
      </w:r>
      <w:bookmarkEnd w:id="6"/>
      <w:bookmarkEnd w:id="7"/>
      <w:r w:rsidR="004648E2" w:rsidRPr="004648E2">
        <w:rPr>
          <w:rFonts w:ascii="Times New Roman" w:eastAsia="楷体" w:hAnsi="Times New Roman" w:hint="eastAsia"/>
          <w:b/>
          <w:color w:val="000000" w:themeColor="text1"/>
          <w:sz w:val="24"/>
          <w:szCs w:val="24"/>
        </w:rPr>
        <w:t>IM</w:t>
      </w:r>
      <w:r w:rsidR="004648E2" w:rsidRPr="004648E2">
        <w:rPr>
          <w:rFonts w:ascii="Times New Roman" w:eastAsia="楷体" w:hAnsi="Times New Roman" w:hint="eastAsia"/>
          <w:b/>
          <w:color w:val="000000" w:themeColor="text1"/>
          <w:sz w:val="24"/>
          <w:szCs w:val="24"/>
        </w:rPr>
        <w:t>多单轻仓持有</w:t>
      </w:r>
      <w:bookmarkEnd w:id="8"/>
    </w:p>
    <w:p w:rsidR="003F56A5" w:rsidRDefault="004648E2" w:rsidP="00D14B3E">
      <w:pPr>
        <w:ind w:leftChars="300" w:left="630"/>
        <w:rPr>
          <w:rFonts w:ascii="Times New Roman" w:eastAsia="楷体" w:hAnsi="Times New Roman"/>
          <w:color w:val="000000" w:themeColor="text1"/>
          <w:sz w:val="24"/>
          <w:szCs w:val="24"/>
        </w:rPr>
      </w:pPr>
      <w:r w:rsidRPr="004648E2">
        <w:rPr>
          <w:rFonts w:ascii="Times New Roman" w:eastAsia="楷体" w:hAnsi="Times New Roman" w:hint="eastAsia"/>
          <w:color w:val="000000" w:themeColor="text1"/>
          <w:sz w:val="24"/>
          <w:szCs w:val="24"/>
        </w:rPr>
        <w:t>国内基本面预期出现了一些好转信号，尽管总量层面的价格底得到确认，但经济数据改善力度尚不能扭转市场的悲观预期，结构层面依然存在问题。国债利率弱反弹，汇率在央行引导下暂未继续走弱，但美债利率及美元仍在走强，其影响甚至盖过国内预期的改善，中美利差、</w:t>
      </w:r>
      <w:r w:rsidRPr="004648E2">
        <w:rPr>
          <w:rFonts w:ascii="Times New Roman" w:eastAsia="楷体" w:hAnsi="Times New Roman" w:hint="eastAsia"/>
          <w:color w:val="000000" w:themeColor="text1"/>
          <w:sz w:val="24"/>
          <w:szCs w:val="24"/>
        </w:rPr>
        <w:t xml:space="preserve"> </w:t>
      </w:r>
      <w:r w:rsidRPr="004648E2">
        <w:rPr>
          <w:rFonts w:ascii="Times New Roman" w:eastAsia="楷体" w:hAnsi="Times New Roman" w:hint="eastAsia"/>
          <w:color w:val="000000" w:themeColor="text1"/>
          <w:sz w:val="24"/>
          <w:szCs w:val="24"/>
        </w:rPr>
        <w:t>内外黄金价差隐含汇率一度走弱，对市场风险偏好仍有一定压制。总的看，市场回归震荡市，下行风险可控，但反弹趋势的启动还需等待各层问题的逐步解决</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592715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5927155"/>
      <w:r>
        <w:rPr>
          <w:rFonts w:ascii="Times New Roman" w:eastAsia="楷体" w:hAnsi="Times New Roman" w:hint="eastAsia"/>
          <w:b/>
          <w:color w:val="000000" w:themeColor="text1"/>
          <w:sz w:val="24"/>
          <w:szCs w:val="24"/>
        </w:rPr>
        <w:t>贵金属：</w:t>
      </w:r>
      <w:r w:rsidR="004648E2" w:rsidRPr="004648E2">
        <w:rPr>
          <w:rFonts w:ascii="Times New Roman" w:eastAsia="楷体" w:hAnsi="Times New Roman" w:hint="eastAsia"/>
          <w:b/>
          <w:color w:val="000000" w:themeColor="text1"/>
          <w:sz w:val="24"/>
          <w:szCs w:val="24"/>
        </w:rPr>
        <w:t>美国通胀同比回升，贵金属价格维持强劲</w:t>
      </w:r>
      <w:bookmarkEnd w:id="10"/>
    </w:p>
    <w:p w:rsidR="003F56A5" w:rsidRDefault="004648E2">
      <w:pPr>
        <w:ind w:leftChars="300" w:left="630"/>
        <w:rPr>
          <w:rFonts w:ascii="Times New Roman" w:eastAsia="楷体" w:hAnsi="Times New Roman"/>
          <w:sz w:val="24"/>
          <w:szCs w:val="24"/>
        </w:rPr>
      </w:pPr>
      <w:r w:rsidRPr="004648E2">
        <w:rPr>
          <w:rFonts w:ascii="Times New Roman" w:eastAsia="楷体" w:hAnsi="Times New Roman" w:hint="eastAsia"/>
          <w:color w:val="000000" w:themeColor="text1"/>
          <w:sz w:val="24"/>
          <w:szCs w:val="24"/>
        </w:rPr>
        <w:t>美国</w:t>
      </w:r>
      <w:r w:rsidRPr="004648E2">
        <w:rPr>
          <w:rFonts w:ascii="Times New Roman" w:eastAsia="楷体" w:hAnsi="Times New Roman" w:hint="eastAsia"/>
          <w:color w:val="000000" w:themeColor="text1"/>
          <w:sz w:val="24"/>
          <w:szCs w:val="24"/>
        </w:rPr>
        <w:t>9</w:t>
      </w:r>
      <w:r w:rsidRPr="004648E2">
        <w:rPr>
          <w:rFonts w:ascii="Times New Roman" w:eastAsia="楷体" w:hAnsi="Times New Roman" w:hint="eastAsia"/>
          <w:color w:val="000000" w:themeColor="text1"/>
          <w:sz w:val="24"/>
          <w:szCs w:val="24"/>
        </w:rPr>
        <w:t>月密歇根大学消费者信心指数初值小幅下降至</w:t>
      </w:r>
      <w:r w:rsidRPr="004648E2">
        <w:rPr>
          <w:rFonts w:ascii="Times New Roman" w:eastAsia="楷体" w:hAnsi="Times New Roman" w:hint="eastAsia"/>
          <w:color w:val="000000" w:themeColor="text1"/>
          <w:sz w:val="24"/>
          <w:szCs w:val="24"/>
        </w:rPr>
        <w:t>67.7</w:t>
      </w:r>
      <w:r w:rsidRPr="004648E2">
        <w:rPr>
          <w:rFonts w:ascii="Times New Roman" w:eastAsia="楷体" w:hAnsi="Times New Roman" w:hint="eastAsia"/>
          <w:color w:val="000000" w:themeColor="text1"/>
          <w:sz w:val="24"/>
          <w:szCs w:val="24"/>
        </w:rPr>
        <w:t>，低于预期；美国一年期通胀预期降至</w:t>
      </w:r>
      <w:r w:rsidRPr="004648E2">
        <w:rPr>
          <w:rFonts w:ascii="Times New Roman" w:eastAsia="楷体" w:hAnsi="Times New Roman" w:hint="eastAsia"/>
          <w:color w:val="000000" w:themeColor="text1"/>
          <w:sz w:val="24"/>
          <w:szCs w:val="24"/>
        </w:rPr>
        <w:t>3.1%</w:t>
      </w:r>
      <w:r w:rsidRPr="004648E2">
        <w:rPr>
          <w:rFonts w:ascii="Times New Roman" w:eastAsia="楷体" w:hAnsi="Times New Roman" w:hint="eastAsia"/>
          <w:color w:val="000000" w:themeColor="text1"/>
          <w:sz w:val="24"/>
          <w:szCs w:val="24"/>
        </w:rPr>
        <w:t>，五至十年通胀预期下降至</w:t>
      </w:r>
      <w:r w:rsidRPr="004648E2">
        <w:rPr>
          <w:rFonts w:ascii="Times New Roman" w:eastAsia="楷体" w:hAnsi="Times New Roman" w:hint="eastAsia"/>
          <w:color w:val="000000" w:themeColor="text1"/>
          <w:sz w:val="24"/>
          <w:szCs w:val="24"/>
        </w:rPr>
        <w:t>2.7%</w:t>
      </w:r>
      <w:r w:rsidRPr="004648E2">
        <w:rPr>
          <w:rFonts w:ascii="Times New Roman" w:eastAsia="楷体" w:hAnsi="Times New Roman" w:hint="eastAsia"/>
          <w:color w:val="000000" w:themeColor="text1"/>
          <w:sz w:val="24"/>
          <w:szCs w:val="24"/>
        </w:rPr>
        <w:t>。上周美国</w:t>
      </w:r>
      <w:r w:rsidRPr="004648E2">
        <w:rPr>
          <w:rFonts w:ascii="Times New Roman" w:eastAsia="楷体" w:hAnsi="Times New Roman" w:hint="eastAsia"/>
          <w:color w:val="000000" w:themeColor="text1"/>
          <w:sz w:val="24"/>
          <w:szCs w:val="24"/>
        </w:rPr>
        <w:t>CPI</w:t>
      </w:r>
      <w:r w:rsidRPr="004648E2">
        <w:rPr>
          <w:rFonts w:ascii="Times New Roman" w:eastAsia="楷体" w:hAnsi="Times New Roman" w:hint="eastAsia"/>
          <w:color w:val="000000" w:themeColor="text1"/>
          <w:sz w:val="24"/>
          <w:szCs w:val="24"/>
        </w:rPr>
        <w:t>通胀同比、环比小幅回升，整体较为符合市场预期，油价上行为本月拉动</w:t>
      </w:r>
      <w:r w:rsidRPr="004648E2">
        <w:rPr>
          <w:rFonts w:ascii="Times New Roman" w:eastAsia="楷体" w:hAnsi="Times New Roman" w:hint="eastAsia"/>
          <w:color w:val="000000" w:themeColor="text1"/>
          <w:sz w:val="24"/>
          <w:szCs w:val="24"/>
        </w:rPr>
        <w:t>CPI</w:t>
      </w:r>
      <w:r w:rsidRPr="004648E2">
        <w:rPr>
          <w:rFonts w:ascii="Times New Roman" w:eastAsia="楷体" w:hAnsi="Times New Roman" w:hint="eastAsia"/>
          <w:color w:val="000000" w:themeColor="text1"/>
          <w:sz w:val="24"/>
          <w:szCs w:val="24"/>
        </w:rPr>
        <w:t>环比增长的首要因素。美国生产端通胀超预期上行，主要受油价等能源成本上升所推动，服务通胀增速则有所放缓。当前较为顽固的通胀使得美联储未来的货币政策抉择面临更多的不确定性，不排除年内美联储仍将进一步加息。此前美联储鲍威尔主席曾在杰克逊霍尔央行年会上表示，经济活动强于预期，但存在再次收紧货币政策的可能性。本周美联储将公布</w:t>
      </w:r>
      <w:r w:rsidRPr="004648E2">
        <w:rPr>
          <w:rFonts w:ascii="Times New Roman" w:eastAsia="楷体" w:hAnsi="Times New Roman" w:hint="eastAsia"/>
          <w:color w:val="000000" w:themeColor="text1"/>
          <w:sz w:val="24"/>
          <w:szCs w:val="24"/>
        </w:rPr>
        <w:t>9</w:t>
      </w:r>
      <w:r w:rsidRPr="004648E2">
        <w:rPr>
          <w:rFonts w:ascii="Times New Roman" w:eastAsia="楷体" w:hAnsi="Times New Roman" w:hint="eastAsia"/>
          <w:color w:val="000000" w:themeColor="text1"/>
          <w:sz w:val="24"/>
          <w:szCs w:val="24"/>
        </w:rPr>
        <w:t>月议息决议，上周沪金、沪银大幅反弹，市场预期美国利率水平将长期维持高位，</w:t>
      </w:r>
      <w:r w:rsidRPr="004648E2">
        <w:rPr>
          <w:rFonts w:ascii="Times New Roman" w:eastAsia="楷体" w:hAnsi="Times New Roman" w:hint="eastAsia"/>
          <w:color w:val="000000" w:themeColor="text1"/>
          <w:sz w:val="24"/>
          <w:szCs w:val="24"/>
        </w:rPr>
        <w:t>9</w:t>
      </w:r>
      <w:r w:rsidRPr="004648E2">
        <w:rPr>
          <w:rFonts w:ascii="Times New Roman" w:eastAsia="楷体" w:hAnsi="Times New Roman" w:hint="eastAsia"/>
          <w:color w:val="000000" w:themeColor="text1"/>
          <w:sz w:val="24"/>
          <w:szCs w:val="24"/>
        </w:rPr>
        <w:t>月或暂缓加息，建议内盘贵金属以逢低做多思路为主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592715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5927157"/>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4648E2" w:rsidRPr="004648E2">
        <w:rPr>
          <w:rFonts w:ascii="楷体" w:eastAsia="楷体" w:hAnsi="楷体" w:hint="eastAsia"/>
          <w:b/>
          <w:color w:val="000000" w:themeColor="text1"/>
          <w:sz w:val="24"/>
          <w:szCs w:val="24"/>
        </w:rPr>
        <w:t>锂盐维持供过于求，期价进一步下行</w:t>
      </w:r>
      <w:bookmarkEnd w:id="18"/>
    </w:p>
    <w:p w:rsidR="00F50569" w:rsidRDefault="004648E2" w:rsidP="00F50569">
      <w:pPr>
        <w:ind w:leftChars="300" w:left="630"/>
        <w:rPr>
          <w:rFonts w:ascii="楷体" w:eastAsia="楷体" w:hAnsi="楷体"/>
          <w:color w:val="000000" w:themeColor="text1"/>
          <w:sz w:val="24"/>
          <w:szCs w:val="24"/>
        </w:rPr>
      </w:pPr>
      <w:r w:rsidRPr="004648E2">
        <w:rPr>
          <w:rFonts w:ascii="楷体" w:eastAsia="楷体" w:hAnsi="楷体" w:hint="eastAsia"/>
          <w:color w:val="000000" w:themeColor="text1"/>
          <w:sz w:val="24"/>
          <w:szCs w:val="24"/>
        </w:rPr>
        <w:t>锂价持续承压，周内现货价格下行，期价向下跌至17万元/吨一线。上周碳酸锂库存约35880吨，周环比增7.55%。下游备货量减少，锂盐厂降价出货意愿较低。磷酸铁锂、三元材料制造成本随原材料价格下行而回落，因需求疲软，下游多数维持刚需生产，消耗此前原材料库存，市场活跃度偏低。终端需求未见改善，下游暂未启动批量采购，压价情绪浓厚，锂价或维持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5927158"/>
      <w:r>
        <w:rPr>
          <w:rFonts w:ascii="楷体" w:eastAsia="楷体" w:hAnsi="楷体" w:hint="eastAsia"/>
          <w:b/>
          <w:color w:val="000000" w:themeColor="text1"/>
          <w:sz w:val="24"/>
          <w:szCs w:val="24"/>
        </w:rPr>
        <w:t>螺纹钢：</w:t>
      </w:r>
      <w:bookmarkEnd w:id="16"/>
      <w:bookmarkEnd w:id="17"/>
      <w:r w:rsidR="001579F3" w:rsidRPr="001579F3">
        <w:rPr>
          <w:rFonts w:ascii="楷体" w:eastAsia="楷体" w:hAnsi="楷体" w:hint="eastAsia"/>
          <w:b/>
          <w:color w:val="000000" w:themeColor="text1"/>
          <w:sz w:val="24"/>
          <w:szCs w:val="24"/>
        </w:rPr>
        <w:t>成本支撑，震荡上行，等待旺季需求改善</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1579F3" w:rsidP="00201944">
      <w:pPr>
        <w:ind w:leftChars="300" w:left="630"/>
        <w:rPr>
          <w:rFonts w:ascii="楷体" w:eastAsia="楷体" w:hAnsi="楷体"/>
          <w:color w:val="000000" w:themeColor="text1"/>
          <w:sz w:val="24"/>
          <w:szCs w:val="24"/>
        </w:rPr>
      </w:pPr>
      <w:r w:rsidRPr="001579F3">
        <w:rPr>
          <w:rFonts w:ascii="楷体" w:eastAsia="楷体" w:hAnsi="楷体" w:hint="eastAsia"/>
          <w:color w:val="000000" w:themeColor="text1"/>
          <w:sz w:val="24"/>
          <w:szCs w:val="24"/>
        </w:rPr>
        <w:t>需求尚未有明显改善，但钢厂厂库、社库继续去化，转产导致螺纹钢基本面改善。当前需求未大幅度好转，价格上行弹性不大，但目前钢厂去库、亏损压力不大，铁水高位下成本支撑较强，预计价格震荡上行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5927159"/>
      <w:r>
        <w:rPr>
          <w:rFonts w:ascii="楷体" w:eastAsia="楷体" w:hAnsi="楷体" w:hint="eastAsia"/>
          <w:b/>
          <w:color w:val="000000" w:themeColor="text1"/>
          <w:sz w:val="24"/>
          <w:szCs w:val="24"/>
        </w:rPr>
        <w:t>焦炭：</w:t>
      </w:r>
      <w:bookmarkEnd w:id="20"/>
      <w:bookmarkEnd w:id="21"/>
      <w:r w:rsidR="001579F3" w:rsidRPr="001579F3">
        <w:rPr>
          <w:rFonts w:ascii="楷体" w:eastAsia="楷体" w:hAnsi="楷体" w:hint="eastAsia"/>
          <w:b/>
          <w:color w:val="000000" w:themeColor="text1"/>
          <w:sz w:val="24"/>
          <w:szCs w:val="24"/>
        </w:rPr>
        <w:t>港口焦炭价格偏稳，价格或高位继续偏强运行</w:t>
      </w:r>
      <w:bookmarkEnd w:id="22"/>
    </w:p>
    <w:p w:rsidR="003F56A5" w:rsidRDefault="001579F3" w:rsidP="00572E35">
      <w:pPr>
        <w:ind w:leftChars="300" w:left="630"/>
        <w:rPr>
          <w:rFonts w:ascii="楷体" w:eastAsia="楷体" w:hAnsi="楷体"/>
          <w:color w:val="000000" w:themeColor="text1"/>
          <w:sz w:val="24"/>
          <w:szCs w:val="24"/>
        </w:rPr>
      </w:pPr>
      <w:r w:rsidRPr="001579F3">
        <w:rPr>
          <w:rFonts w:ascii="楷体" w:eastAsia="楷体" w:hAnsi="楷体" w:hint="eastAsia"/>
          <w:color w:val="000000" w:themeColor="text1"/>
          <w:sz w:val="24"/>
          <w:szCs w:val="24"/>
        </w:rPr>
        <w:t>港口现货价格保持平稳，各类配煤补涨下成本驱动较强，但部分成材处于</w:t>
      </w:r>
      <w:r w:rsidRPr="001579F3">
        <w:rPr>
          <w:rFonts w:ascii="楷体" w:eastAsia="楷体" w:hAnsi="楷体" w:hint="eastAsia"/>
          <w:color w:val="000000" w:themeColor="text1"/>
          <w:sz w:val="24"/>
          <w:szCs w:val="24"/>
        </w:rPr>
        <w:lastRenderedPageBreak/>
        <w:t>亏损，提涨或需博弈较长时间。短期盘面升水幅度较大，等待现货提涨落地，整体或震荡偏强运行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5927160"/>
      <w:r>
        <w:rPr>
          <w:rFonts w:ascii="楷体" w:eastAsia="楷体" w:hAnsi="楷体" w:hint="eastAsia"/>
          <w:b/>
          <w:color w:val="000000" w:themeColor="text1"/>
          <w:sz w:val="24"/>
          <w:szCs w:val="24"/>
        </w:rPr>
        <w:t>焦煤：</w:t>
      </w:r>
      <w:r w:rsidR="001579F3" w:rsidRPr="001579F3">
        <w:rPr>
          <w:rFonts w:ascii="楷体" w:eastAsia="楷体" w:hAnsi="楷体" w:hint="eastAsia"/>
          <w:b/>
          <w:sz w:val="24"/>
          <w:szCs w:val="24"/>
        </w:rPr>
        <w:t>成材或打开空间，价格或高位继续偏强运行</w:t>
      </w:r>
      <w:bookmarkEnd w:id="23"/>
    </w:p>
    <w:p w:rsidR="003F56A5" w:rsidRDefault="001579F3">
      <w:pPr>
        <w:ind w:leftChars="300" w:left="630"/>
        <w:rPr>
          <w:rFonts w:ascii="楷体" w:eastAsia="楷体" w:hAnsi="楷体"/>
          <w:bCs/>
          <w:sz w:val="24"/>
          <w:szCs w:val="24"/>
        </w:rPr>
      </w:pPr>
      <w:r w:rsidRPr="001579F3">
        <w:rPr>
          <w:rFonts w:ascii="楷体" w:eastAsia="楷体" w:hAnsi="楷体" w:hint="eastAsia"/>
          <w:sz w:val="24"/>
          <w:szCs w:val="24"/>
        </w:rPr>
        <w:t>焦煤现货价格偏稳，短期焦煤独立驱动或接近边际状态，短期等待成材继续继续上行打开空间，国庆前下游补库或成为价格主要驱动。当前海外价格煤价仍继续上行，短期价格高位偏强震荡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5927161"/>
      <w:r>
        <w:rPr>
          <w:rFonts w:ascii="楷体" w:eastAsia="楷体" w:hAnsi="楷体" w:hint="eastAsia"/>
          <w:b/>
          <w:color w:val="000000" w:themeColor="text1"/>
          <w:sz w:val="24"/>
          <w:szCs w:val="24"/>
        </w:rPr>
        <w:t>铜：</w:t>
      </w:r>
      <w:bookmarkEnd w:id="24"/>
      <w:bookmarkEnd w:id="25"/>
      <w:r w:rsidR="00992BCC" w:rsidRPr="00992BCC">
        <w:rPr>
          <w:rFonts w:ascii="楷体" w:eastAsia="楷体" w:hAnsi="楷体" w:hint="eastAsia"/>
          <w:b/>
          <w:color w:val="000000" w:themeColor="text1"/>
          <w:sz w:val="24"/>
          <w:szCs w:val="24"/>
        </w:rPr>
        <w:t>区间震荡运行</w:t>
      </w:r>
      <w:bookmarkEnd w:id="26"/>
    </w:p>
    <w:p w:rsidR="00992BCC" w:rsidRPr="00992BCC" w:rsidRDefault="00992BCC" w:rsidP="00992BCC">
      <w:pPr>
        <w:ind w:leftChars="300" w:left="630"/>
        <w:rPr>
          <w:rFonts w:ascii="楷体" w:eastAsia="楷体" w:hAnsi="楷体" w:hint="eastAsia"/>
          <w:color w:val="000000" w:themeColor="text1"/>
          <w:sz w:val="24"/>
          <w:szCs w:val="24"/>
        </w:rPr>
      </w:pPr>
      <w:r w:rsidRPr="00992BCC">
        <w:rPr>
          <w:rFonts w:ascii="楷体" w:eastAsia="楷体" w:hAnsi="楷体" w:hint="eastAsia"/>
          <w:color w:val="000000" w:themeColor="text1"/>
          <w:sz w:val="24"/>
          <w:szCs w:val="24"/>
        </w:rPr>
        <w:t>(1)库存：9月15日，SHFE周库存65146吨，较上周五增10191吨；LME仓单库存143375吨，较上周五增9250吨。</w:t>
      </w:r>
    </w:p>
    <w:p w:rsidR="00992BCC" w:rsidRPr="00992BCC" w:rsidRDefault="00992BCC" w:rsidP="00992BCC">
      <w:pPr>
        <w:ind w:leftChars="300" w:left="630"/>
        <w:rPr>
          <w:rFonts w:ascii="楷体" w:eastAsia="楷体" w:hAnsi="楷体" w:hint="eastAsia"/>
          <w:color w:val="000000" w:themeColor="text1"/>
          <w:sz w:val="24"/>
          <w:szCs w:val="24"/>
        </w:rPr>
      </w:pPr>
      <w:r w:rsidRPr="00992BCC">
        <w:rPr>
          <w:rFonts w:ascii="楷体" w:eastAsia="楷体" w:hAnsi="楷体" w:hint="eastAsia"/>
          <w:color w:val="000000" w:themeColor="text1"/>
          <w:sz w:val="24"/>
          <w:szCs w:val="24"/>
        </w:rPr>
        <w:t>(2)精废价差：9月15日，Mysteel精废价差1561，扩张263。目前价差在合理价差1398之上。</w:t>
      </w:r>
    </w:p>
    <w:p w:rsidR="00992BCC" w:rsidRPr="00992BCC" w:rsidRDefault="00992BCC" w:rsidP="00992BCC">
      <w:pPr>
        <w:ind w:leftChars="300" w:left="630"/>
        <w:rPr>
          <w:rFonts w:ascii="楷体" w:eastAsia="楷体" w:hAnsi="楷体"/>
          <w:color w:val="000000" w:themeColor="text1"/>
          <w:sz w:val="24"/>
          <w:szCs w:val="24"/>
        </w:rPr>
      </w:pPr>
    </w:p>
    <w:p w:rsidR="00127803" w:rsidRPr="00127803" w:rsidRDefault="00992BCC" w:rsidP="00992BCC">
      <w:pPr>
        <w:ind w:leftChars="300" w:left="630"/>
        <w:rPr>
          <w:rFonts w:ascii="楷体" w:eastAsia="楷体" w:hAnsi="楷体"/>
          <w:color w:val="000000" w:themeColor="text1"/>
          <w:sz w:val="24"/>
          <w:szCs w:val="24"/>
        </w:rPr>
      </w:pPr>
      <w:r w:rsidRPr="00992BCC">
        <w:rPr>
          <w:rFonts w:ascii="楷体" w:eastAsia="楷体" w:hAnsi="楷体" w:hint="eastAsia"/>
          <w:color w:val="000000" w:themeColor="text1"/>
          <w:sz w:val="24"/>
          <w:szCs w:val="24"/>
        </w:rPr>
        <w:t>综述：当前而言，美联储利率终点的交易并不充分，美国通胀反复所引发的货币紧缩预期仍将为压制铜价的主要利空因素。基本面上精铜产量维持高位， 如后期需求没有明显增量下，库存或有持续累积风险，前期低库存对价格的支撑将减弱。政策面，国内稳增长持续发力，对价格有支撑，但持续的向上驱动还需要现实消费好转的助力。短期仍维持区间震荡观点，参考68000-70000元/吨。操作上，待波动率走升后，卖出行权价为71000或 72000的虚值看涨期权仍可尝试。关注本周四美联储9月利率决议</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5927162"/>
      <w:r>
        <w:rPr>
          <w:rFonts w:ascii="楷体" w:eastAsia="楷体" w:hAnsi="楷体" w:hint="eastAsia"/>
          <w:b/>
          <w:color w:val="000000" w:themeColor="text1"/>
          <w:sz w:val="24"/>
          <w:szCs w:val="24"/>
        </w:rPr>
        <w:t>铝：</w:t>
      </w:r>
      <w:bookmarkEnd w:id="27"/>
      <w:bookmarkEnd w:id="28"/>
      <w:r w:rsidR="004648E2" w:rsidRPr="004648E2">
        <w:rPr>
          <w:rFonts w:ascii="楷体" w:eastAsia="楷体" w:hAnsi="楷体" w:hint="eastAsia"/>
          <w:b/>
          <w:color w:val="000000" w:themeColor="text1"/>
          <w:sz w:val="24"/>
          <w:szCs w:val="24"/>
        </w:rPr>
        <w:t>低库存叠加节前补库效应，铝价维持高位震荡</w:t>
      </w:r>
      <w:bookmarkEnd w:id="29"/>
    </w:p>
    <w:p w:rsidR="003F56A5" w:rsidRDefault="004648E2" w:rsidP="00127803">
      <w:pPr>
        <w:ind w:leftChars="300" w:left="630"/>
        <w:rPr>
          <w:rFonts w:ascii="楷体" w:eastAsia="楷体" w:hAnsi="楷体"/>
          <w:color w:val="000000" w:themeColor="text1"/>
          <w:sz w:val="24"/>
          <w:szCs w:val="24"/>
        </w:rPr>
      </w:pPr>
      <w:r w:rsidRPr="004648E2">
        <w:rPr>
          <w:rFonts w:ascii="楷体" w:eastAsia="楷体" w:hAnsi="楷体" w:hint="eastAsia"/>
          <w:color w:val="000000" w:themeColor="text1"/>
          <w:sz w:val="24"/>
          <w:szCs w:val="24"/>
        </w:rPr>
        <w:t>美国经济表现仍有韧性，美元接连强势，联储加息仍有空间，欧洲经济表现偏弱，海外经济风险仍存，对有色价格形成压制，国内社融数据走强，年内降息降准释放市场流动性，多项政策落地修复市场交投情绪。国内电解铝产量推高，进口利润刺激原铝进口持续补充国内市场，供应增量持续投放，国内交易所库存及社库出现累库信号，但低库存现状仍未明显脱离，叠加即将进入中秋国庆假期，假期前厂家主动补库行为挺立价格。进入金九银十传统消费旺季，但下游加工企业开工表现不及预期，部分铝棒厂因利润亏损及需求较弱有减产，整体需求面未出现明显改善。国庆前因补库需求及低库存因素铝价或保持相对高位，市场现货流通紧张，但目前现货升水情况改善，未来在供应走强的背景之下，铝价有较大概率回落至18500附近区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5927163"/>
      <w:r>
        <w:rPr>
          <w:rFonts w:ascii="楷体" w:eastAsia="楷体" w:hAnsi="楷体" w:hint="eastAsia"/>
          <w:b/>
          <w:color w:val="000000" w:themeColor="text1"/>
          <w:sz w:val="24"/>
          <w:szCs w:val="24"/>
        </w:rPr>
        <w:t>锌：</w:t>
      </w:r>
      <w:r w:rsidR="004648E2" w:rsidRPr="004648E2">
        <w:rPr>
          <w:rFonts w:ascii="楷体" w:eastAsia="楷体" w:hAnsi="楷体" w:hint="eastAsia"/>
          <w:b/>
          <w:color w:val="000000" w:themeColor="text1"/>
          <w:sz w:val="24"/>
          <w:szCs w:val="24"/>
        </w:rPr>
        <w:t>供应走紧叠加低库存支撑价格偏强运行</w:t>
      </w:r>
      <w:bookmarkEnd w:id="30"/>
    </w:p>
    <w:p w:rsidR="003F56A5" w:rsidRDefault="004648E2" w:rsidP="000B0648">
      <w:pPr>
        <w:ind w:leftChars="300" w:left="630"/>
        <w:rPr>
          <w:rFonts w:ascii="楷体" w:eastAsia="楷体" w:hAnsi="楷体"/>
          <w:color w:val="000000" w:themeColor="text1"/>
          <w:sz w:val="24"/>
          <w:szCs w:val="24"/>
        </w:rPr>
      </w:pPr>
      <w:r w:rsidRPr="004648E2">
        <w:rPr>
          <w:rFonts w:ascii="楷体" w:eastAsia="楷体" w:hAnsi="楷体" w:hint="eastAsia"/>
          <w:color w:val="000000" w:themeColor="text1"/>
          <w:sz w:val="24"/>
          <w:szCs w:val="24"/>
        </w:rPr>
        <w:t>锌市维持内强外弱格局，进入9月传统消费旺季，矿端有走紧预期，部分产能检修恢复，矿端供应不足影响加工企业开产，锌价近期高位，下游企业畏高慎采，现货成交平淡，需求消费仍未有明显提振，低库存现状维持，临近长假厂家有主动补库需求，锌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5927164"/>
      <w:r>
        <w:rPr>
          <w:rFonts w:ascii="楷体" w:eastAsia="楷体" w:hAnsi="楷体" w:hint="eastAsia"/>
          <w:b/>
          <w:color w:val="000000" w:themeColor="text1"/>
          <w:sz w:val="24"/>
          <w:szCs w:val="24"/>
        </w:rPr>
        <w:t>镍：</w:t>
      </w:r>
      <w:r w:rsidR="001579F3" w:rsidRPr="001579F3">
        <w:rPr>
          <w:rFonts w:ascii="楷体" w:eastAsia="楷体" w:hAnsi="楷体" w:hint="eastAsia"/>
          <w:b/>
          <w:color w:val="000000" w:themeColor="text1"/>
          <w:sz w:val="24"/>
          <w:szCs w:val="24"/>
        </w:rPr>
        <w:t>宏观情绪提振与弱现实面交织，镍价承压运行</w:t>
      </w:r>
      <w:bookmarkEnd w:id="31"/>
    </w:p>
    <w:p w:rsidR="003F56A5" w:rsidRDefault="001579F3">
      <w:pPr>
        <w:ind w:leftChars="300" w:left="630"/>
        <w:rPr>
          <w:rFonts w:ascii="楷体" w:eastAsia="楷体" w:hAnsi="楷体"/>
          <w:color w:val="000000" w:themeColor="text1"/>
          <w:sz w:val="24"/>
          <w:szCs w:val="24"/>
        </w:rPr>
      </w:pPr>
      <w:r w:rsidRPr="001579F3">
        <w:rPr>
          <w:rFonts w:ascii="楷体" w:eastAsia="楷体" w:hAnsi="楷体" w:hint="eastAsia"/>
          <w:color w:val="000000" w:themeColor="text1"/>
          <w:sz w:val="24"/>
          <w:szCs w:val="24"/>
        </w:rPr>
        <w:t>上周央行全面降准0.25个百分点，助力经济恢复向好，8月经济数据转暖，提振市场情绪；美国8月CPI同比反弹至3.7%，通胀表现顽固，美联储货</w:t>
      </w:r>
      <w:r w:rsidRPr="001579F3">
        <w:rPr>
          <w:rFonts w:ascii="楷体" w:eastAsia="楷体" w:hAnsi="楷体" w:hint="eastAsia"/>
          <w:color w:val="000000" w:themeColor="text1"/>
          <w:sz w:val="24"/>
          <w:szCs w:val="24"/>
        </w:rPr>
        <w:lastRenderedPageBreak/>
        <w:t>币紧缩政策预期仍存，关注美联储本周将召开的利率决议。基本面来看，镍价最主要的利空因素在于产能逐步兑现，镍的存量项目和新投产项目产量持续释放，而需求在步入9月传统旺季后未有明显起色。现货市场货源充足，贸易商降价以促进出货，俄镍和镍豆贴水持稳。精炼镍社会库存和SHFE库存明显累积，LME库存也缓慢上升，但历史低位库存对镍价支撑仍存。此外，印尼镍矿RKAB事件仍在持续，且工厂季节性备库需求强烈，镍矿和镍铁价格坚挺，支撑镍产业链成本。此外，印尼镍矿RKAB事件仍在持续，且工厂季节性备库需求强烈，镍矿和镍铁价格坚挺，支撑镍产业链成本。短期宏观利好情绪或拉动镍价，但镍的供应端日趋宽松，需求端维持疲弱，镍价承压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592716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5927166"/>
      <w:r>
        <w:rPr>
          <w:rFonts w:ascii="楷体" w:eastAsia="楷体" w:hAnsi="楷体" w:hint="eastAsia"/>
          <w:b/>
          <w:color w:val="000000" w:themeColor="text1"/>
          <w:sz w:val="24"/>
          <w:szCs w:val="24"/>
        </w:rPr>
        <w:t>不锈钢：</w:t>
      </w:r>
      <w:r w:rsidR="001579F3" w:rsidRPr="001579F3">
        <w:rPr>
          <w:rFonts w:ascii="楷体" w:eastAsia="楷体" w:hAnsi="楷体" w:hint="eastAsia"/>
          <w:b/>
          <w:color w:val="000000" w:themeColor="text1"/>
          <w:sz w:val="24"/>
          <w:szCs w:val="24"/>
        </w:rPr>
        <w:t>成本与需求博弈之下，短期或窄幅震荡偏弱</w:t>
      </w:r>
      <w:bookmarkEnd w:id="33"/>
    </w:p>
    <w:p w:rsidR="003F56A5" w:rsidRDefault="001579F3">
      <w:pPr>
        <w:ind w:leftChars="300" w:left="630"/>
        <w:rPr>
          <w:rFonts w:ascii="楷体" w:eastAsia="楷体" w:hAnsi="楷体"/>
          <w:color w:val="000000" w:themeColor="text1"/>
          <w:sz w:val="24"/>
          <w:szCs w:val="24"/>
        </w:rPr>
      </w:pPr>
      <w:r w:rsidRPr="001579F3">
        <w:rPr>
          <w:rFonts w:ascii="楷体" w:eastAsia="楷体" w:hAnsi="楷体" w:hint="eastAsia"/>
          <w:color w:val="000000" w:themeColor="text1"/>
          <w:sz w:val="24"/>
          <w:szCs w:val="24"/>
        </w:rPr>
        <w:t>成本端，印尼矿端RKAB事件造成的镍矿供应紧缺局面仍在持续，印尼RKAB审批的简化程序将被取消，目前已换回旧审批程序，镍矿配额签发继续推迟，加上目前处于雨季前的备库期，镍矿价格坚挺，高镍铁价格预计维持高位。叠加铬铁近期供应偏紧，高碳铬铁价格也居高不下，成本端为不锈钢价提供强有力支撑。供需端，不锈钢排产处于历史高位，但由于原料成本高企，300系不锈钢小幅亏损，部分钢厂减产检修，短期内对供应影响内预计有限。下游成交氛围边际好转，需求暂未有明显改善。库存方面，周内社库小幅去库，但300系呈缓慢垒库，临近交割，SHFE库存大幅累增。综合而言，在成本与需求博弈之下，短期不锈钢价或窄幅震荡偏弱</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5927167"/>
      <w:r>
        <w:rPr>
          <w:rFonts w:ascii="楷体" w:eastAsia="楷体" w:hAnsi="楷体" w:hint="eastAsia"/>
          <w:b/>
          <w:color w:val="000000" w:themeColor="text1"/>
          <w:sz w:val="24"/>
          <w:szCs w:val="24"/>
        </w:rPr>
        <w:t>工业硅：</w:t>
      </w:r>
      <w:r w:rsidR="00992BCC" w:rsidRPr="00992BCC">
        <w:rPr>
          <w:rFonts w:ascii="楷体" w:eastAsia="楷体" w:hAnsi="楷体" w:hint="eastAsia"/>
          <w:b/>
          <w:sz w:val="24"/>
          <w:szCs w:val="24"/>
        </w:rPr>
        <w:t>传统旺季来临，市场看涨氛围偏浓</w:t>
      </w:r>
      <w:bookmarkEnd w:id="34"/>
    </w:p>
    <w:p w:rsidR="003F56A5" w:rsidRDefault="00992BCC" w:rsidP="00827E8A">
      <w:pPr>
        <w:ind w:leftChars="300" w:left="630"/>
        <w:rPr>
          <w:rFonts w:ascii="楷体" w:eastAsia="楷体" w:hAnsi="楷体"/>
          <w:sz w:val="24"/>
          <w:szCs w:val="24"/>
        </w:rPr>
      </w:pPr>
      <w:r w:rsidRPr="00992BCC">
        <w:rPr>
          <w:rFonts w:ascii="楷体" w:eastAsia="楷体" w:hAnsi="楷体" w:hint="eastAsia"/>
          <w:sz w:val="24"/>
          <w:szCs w:val="24"/>
        </w:rPr>
        <w:t>9月15日，Si2311主力合约呈反弹走势，收盘价14825元/吨，较上一收盘价涨跌幅＋1.61%。传统旺季来临，有机硅强势推涨，以及多晶硅投产预期较好。有机硅方面，单体厂在长期亏损压力下，近期市场预期有 所好转叠加成本抬升，下游询盘拿货较为积极，龙头企业大幅上调DMC价格，同时多家工厂封盘不报，市场有望迎来改善;多 晶硅方面，市场延续反弹走势，部分新增产能投产，后续仍有较多项目即将投产，市场对于需求增量预期较强。整体来看，需求改善预期依旧是支撑市场核心因素，叠加现货流通偏紧暂无变化，预计市场仍将偏强运行。策略上，前期多单可以继续持有，维持逢低做多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59271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592716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1579F3" w:rsidRPr="001579F3">
        <w:rPr>
          <w:rFonts w:ascii="楷体" w:eastAsia="楷体" w:hAnsi="楷体" w:hint="eastAsia"/>
          <w:b/>
          <w:sz w:val="24"/>
          <w:szCs w:val="24"/>
        </w:rPr>
        <w:t>深色胶去库趋势不改 RU偏强震荡</w:t>
      </w:r>
      <w:bookmarkEnd w:id="37"/>
    </w:p>
    <w:p w:rsidR="003F56A5" w:rsidRDefault="001579F3">
      <w:pPr>
        <w:ind w:leftChars="300" w:left="630"/>
        <w:rPr>
          <w:rFonts w:ascii="楷体" w:eastAsia="楷体" w:hAnsi="楷体"/>
          <w:sz w:val="24"/>
          <w:szCs w:val="24"/>
        </w:rPr>
      </w:pPr>
      <w:r w:rsidRPr="001579F3">
        <w:rPr>
          <w:rFonts w:ascii="楷体" w:eastAsia="楷体" w:hAnsi="楷体" w:hint="eastAsia"/>
          <w:sz w:val="24"/>
          <w:szCs w:val="24"/>
        </w:rPr>
        <w:t>点评：近期天胶市场上行空间有限，偏强震荡为主。目前看，供给端，全球天胶产出不及预期，原料价格维持高位，成品涨幅快于原料端，上游加工利润得以修复，提振市场看多信心。8-9月份天胶到港量偏少，近五周港口库存延续小幅去库态势，提振市场信心。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8月数据同环比走强，呈现“淡季不淡”，九月汽车消费旺季来临下汽车市场景气度高。此外，十一长假来临，下游工厂存备货行为。整体看，橡胶供应压力小幅缓解，下游轮胎排产顺畅，国内深色胶库存延续去库。供需支撑天胶市场回归现货价值后企稳运行。同时近期市场有轮储消息面炒作，但虚实仍待进一步落实。短期橡胶偏强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592717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4648E2" w:rsidRPr="004648E2">
        <w:rPr>
          <w:rFonts w:ascii="楷体" w:eastAsia="楷体" w:hAnsi="楷体" w:hint="eastAsia"/>
          <w:b/>
          <w:color w:val="000000" w:themeColor="text1"/>
          <w:sz w:val="24"/>
          <w:szCs w:val="24"/>
        </w:rPr>
        <w:t>成本端支撑及低加工费趋势仍偏强</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4648E2" w:rsidP="002C73FE">
      <w:pPr>
        <w:ind w:leftChars="300" w:left="630"/>
        <w:rPr>
          <w:rFonts w:ascii="楷体" w:eastAsia="楷体" w:hAnsi="楷体"/>
          <w:color w:val="000000" w:themeColor="text1"/>
          <w:sz w:val="24"/>
          <w:szCs w:val="24"/>
        </w:rPr>
      </w:pPr>
      <w:r w:rsidRPr="004648E2">
        <w:rPr>
          <w:rFonts w:ascii="楷体" w:eastAsia="楷体" w:hAnsi="楷体" w:hint="eastAsia"/>
          <w:color w:val="000000" w:themeColor="text1"/>
          <w:sz w:val="24"/>
          <w:szCs w:val="24"/>
        </w:rPr>
        <w:t>受供应端持续收紧促使油价冲高，聚酯原料端整体延续偏强走势。PX方面，浙石化PX900万吨歧化装置近日进行为期2周的计划内检修，预计PX降幅10-15%左右，PX供应收紧预期驱动价格走高。PTA供应方面本周装置变动增多，逸盛海南200万吨，虹港250万吨、蓬威90万吨PTA装置停车，嘉通1线250万吨降负运行，逸盛宁波220万吨短暂降负，至9.14PTA负荷降至75.1%（-6.1%）。近期PTA加工费压缩至100元/吨，如果考虑醋酸成本，PTA加工差已到0值以下，低加工费下PTA装置计划外检修增多。需求方面，本周聚酯装置负荷基本持稳，综合负荷整体浮动不大，截至9.14，初步核算国内大陆地区聚酯负荷在92.3%。市场对9-10月份旺季有预期，低库存下预计近期聚酯不会轻易减停产。终端方面，本周织造、印染开机有继续提升，内需转好订单增多，坯布出货增加，需求边际季节性改善。展望后市，低加工费下PTA装置检修增多，成本端支撑仍存+聚酯因库存低位高开工维持需求韧性尚可，旺季逐步兑现PTA期价易涨难跌。关注PTA低多及卖看跌期权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592717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w:t>
      </w:r>
      <w:r w:rsidRPr="00E34EAB">
        <w:rPr>
          <w:rFonts w:ascii="楷体" w:eastAsia="楷体" w:hAnsi="楷体" w:hint="eastAsia"/>
          <w:color w:val="000000" w:themeColor="text1"/>
          <w:sz w:val="24"/>
          <w:szCs w:val="24"/>
        </w:rPr>
        <w:lastRenderedPageBreak/>
        <w:t>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5927172"/>
      <w:r>
        <w:rPr>
          <w:rFonts w:ascii="楷体" w:eastAsia="楷体" w:hAnsi="楷体" w:hint="eastAsia"/>
          <w:b/>
          <w:color w:val="000000" w:themeColor="text1"/>
          <w:sz w:val="24"/>
          <w:szCs w:val="24"/>
        </w:rPr>
        <w:t>聚烯烃：</w:t>
      </w:r>
      <w:r w:rsidR="004648E2" w:rsidRPr="004648E2">
        <w:rPr>
          <w:rFonts w:ascii="楷体" w:eastAsia="楷体" w:hAnsi="楷体" w:hint="eastAsia"/>
          <w:b/>
          <w:color w:val="000000" w:themeColor="text1"/>
          <w:sz w:val="24"/>
          <w:szCs w:val="24"/>
        </w:rPr>
        <w:t>缺乏持续性拉涨动力 聚烯烃进入震荡整理阶段</w:t>
      </w:r>
      <w:bookmarkEnd w:id="40"/>
    </w:p>
    <w:p w:rsidR="003F56A5" w:rsidRDefault="004648E2">
      <w:pPr>
        <w:ind w:leftChars="300" w:left="630"/>
        <w:rPr>
          <w:rFonts w:ascii="楷体" w:eastAsia="楷体" w:hAnsi="楷体"/>
          <w:bCs/>
          <w:sz w:val="24"/>
          <w:szCs w:val="24"/>
        </w:rPr>
      </w:pPr>
      <w:r w:rsidRPr="004648E2">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对供应紧张的担忧持续支撑石油市场，加之中国原油需求增长，欧美原油期货收盘继续收高，实现连续三周上涨。需求方面，PE下游方面，农膜整体需求平平，工厂生产清淡。棚膜工厂多停机检修；PP下游方面，BOPP市场成交刚需有量，整体量较上一交易日增加，BOPP企业未交付订单多数在一周以内，个别可至八月中。综合来看，PE方面，成本端，预计原油价格持续支撑，聚乙烯现货价格或受成本端影响持续高位；需求端，膜企整体开工预计环比提升幅度1%左右，节假日对日化包装支撑提前表现；结合供应预测，临近十一假期，下游工厂有备货预期，需求有望增加。 综上所述，预计今日PE价格维持坚挺为主。PP方面，当前市场利好利空相互博弈，利好是来自成本的底部支撑叠加处于金九终端需求恢复中；利空是来自新投产的供应压力叠加价格偏高终端抵触情绪增加。故今日PP大概率进入回调阶段</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5927173"/>
      <w:r>
        <w:rPr>
          <w:rFonts w:ascii="楷体" w:eastAsia="楷体" w:hAnsi="楷体" w:hint="eastAsia"/>
          <w:b/>
          <w:color w:val="000000" w:themeColor="text1"/>
          <w:sz w:val="24"/>
          <w:szCs w:val="24"/>
        </w:rPr>
        <w:t>MEG：</w:t>
      </w:r>
      <w:r w:rsidR="004648E2" w:rsidRPr="004648E2">
        <w:rPr>
          <w:rFonts w:ascii="楷体" w:eastAsia="楷体" w:hAnsi="楷体" w:hint="eastAsia"/>
          <w:b/>
          <w:color w:val="000000" w:themeColor="text1"/>
          <w:sz w:val="24"/>
          <w:szCs w:val="24"/>
        </w:rPr>
        <w:t>成本提振区间操作为主</w:t>
      </w:r>
      <w:bookmarkEnd w:id="41"/>
    </w:p>
    <w:p w:rsidR="003F56A5" w:rsidRDefault="004648E2" w:rsidP="00115EEA">
      <w:pPr>
        <w:ind w:leftChars="300" w:left="630"/>
        <w:rPr>
          <w:rFonts w:ascii="楷体" w:eastAsia="楷体" w:hAnsi="楷体"/>
          <w:color w:val="000000" w:themeColor="text1"/>
          <w:sz w:val="24"/>
          <w:szCs w:val="24"/>
        </w:rPr>
      </w:pPr>
      <w:r w:rsidRPr="004648E2">
        <w:rPr>
          <w:rFonts w:ascii="楷体" w:eastAsia="楷体" w:hAnsi="楷体" w:hint="eastAsia"/>
          <w:color w:val="000000" w:themeColor="text1"/>
          <w:sz w:val="24"/>
          <w:szCs w:val="24"/>
        </w:rPr>
        <w:t>商品氛围依旧向好加上成本端提振下乙二醇走势表现坚挺。供需情况，9.11华东主港地区MEG港口库存约117.8万吨附近，环比上期减少1.8万吨，乙二醇目前的累库情况有所缓解。截至9月14日，中国大陆地区乙二醇整体开工负荷在61.69%（-2.44%），其中煤制乙二醇开工负荷在63.42%（较-3.39%）。 目前盛虹炼化1#仍在提负中，榆林化学单线小幅超负荷运行，陕煤渭化停车中，国内开工仍有上行空间，整体供应表现宽松。聚酯下游方面，截至9.14，初步核算国内大陆地区聚酯负荷在92.7%附近。终端开工大幅提升，内销市场应季品采购带动坯布订单改善。江浙加弹综合开工率84%（+1%），江浙织机综合开工率80%（+3%），江浙印染综合开工率83%（+2%）。展望后市，原油及煤炭价格高位，乙二醇成本支撑力度仍强。目前乙二醇存量装置停车较多情况开工率总体收缩明显，提振乙二醇估值修复。聚酯开工高位，乙二醇宽幅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592717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579F3" w:rsidRPr="001579F3">
        <w:rPr>
          <w:rFonts w:ascii="楷体" w:eastAsia="楷体" w:hAnsi="楷体" w:hint="eastAsia"/>
          <w:b/>
          <w:color w:val="000000" w:themeColor="text1"/>
          <w:sz w:val="24"/>
          <w:szCs w:val="24"/>
        </w:rPr>
        <w:t>节前补库暂未开启，区间操作为主</w:t>
      </w:r>
      <w:bookmarkEnd w:id="42"/>
    </w:p>
    <w:p w:rsidR="00A71A7E" w:rsidRDefault="001579F3" w:rsidP="001F79C6">
      <w:pPr>
        <w:ind w:leftChars="300" w:left="630"/>
        <w:rPr>
          <w:rFonts w:ascii="楷体" w:eastAsia="楷体" w:hAnsi="楷体"/>
          <w:color w:val="000000" w:themeColor="text1"/>
          <w:sz w:val="24"/>
          <w:szCs w:val="24"/>
        </w:rPr>
      </w:pPr>
      <w:r w:rsidRPr="001579F3">
        <w:rPr>
          <w:rFonts w:ascii="楷体" w:eastAsia="楷体" w:hAnsi="楷体" w:hint="eastAsia"/>
          <w:color w:val="000000" w:themeColor="text1"/>
          <w:sz w:val="24"/>
          <w:szCs w:val="24"/>
        </w:rPr>
        <w:t>玻璃前期预期的旺季补库暂未启动，供需矛盾并不突出，9月初贸易商库存较低，旺季预期和政策刺激下小幅补库，但仅持续了一周。供给上，冷修与点火并存，互相对冲后周产量维持在16.9-17万吨/日；需求上，各地区表现不温不火，原片厂挺价为主，下游加工厂刚需采购，保持观望。宏观上近期房地产支持政策进入落地阶段，周内再度出降准政策，但效果一般。盘面上，近月随着产销回落而回落，情绪偏空，短期矛盾并不突出。远月估值处于中性偏高水平，供给相对稳定，需求回落，盘面延续震荡整</w:t>
      </w:r>
      <w:r w:rsidRPr="001579F3">
        <w:rPr>
          <w:rFonts w:ascii="楷体" w:eastAsia="楷体" w:hAnsi="楷体" w:hint="eastAsia"/>
          <w:color w:val="000000" w:themeColor="text1"/>
          <w:sz w:val="24"/>
          <w:szCs w:val="24"/>
        </w:rPr>
        <w:lastRenderedPageBreak/>
        <w:t>理，整体仍处于（1650，1850）区间震荡，建议区间操作为主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592717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579F3" w:rsidRPr="001579F3">
        <w:rPr>
          <w:rFonts w:ascii="楷体" w:eastAsia="楷体" w:hAnsi="楷体" w:hint="eastAsia"/>
          <w:b/>
          <w:color w:val="000000" w:themeColor="text1"/>
          <w:sz w:val="24"/>
          <w:szCs w:val="24"/>
        </w:rPr>
        <w:t>供给紧张逐步缓解，现货短期稳价为主</w:t>
      </w:r>
      <w:bookmarkEnd w:id="43"/>
    </w:p>
    <w:p w:rsidR="00A71A7E" w:rsidRDefault="001579F3" w:rsidP="00A71A7E">
      <w:pPr>
        <w:ind w:leftChars="300" w:left="630"/>
        <w:rPr>
          <w:rFonts w:ascii="楷体" w:eastAsia="楷体" w:hAnsi="楷体"/>
          <w:bCs/>
          <w:sz w:val="24"/>
          <w:szCs w:val="24"/>
        </w:rPr>
      </w:pPr>
      <w:r w:rsidRPr="001579F3">
        <w:rPr>
          <w:rFonts w:ascii="楷体" w:eastAsia="楷体" w:hAnsi="楷体" w:hint="eastAsia"/>
          <w:color w:val="000000" w:themeColor="text1"/>
          <w:sz w:val="24"/>
          <w:szCs w:val="24"/>
        </w:rPr>
        <w:t>当前纯碱现货价格高位震荡，产量开始抬升，库存转向累库。9月后，供给上，新增投产增量开始上量，到月中前期检修产线除青海地区外基本恢复，产量抬升。需求上，下游终端玻璃厂安全库存低叠加节前备货补库，需求上行，现货价格短期稳定在3200元-3300元/吨左右。按当前产量计算，到十一节前库存虽然进入累库，但供需仍然偏紧，预计在十一之前现货稳价为主，短期难以大跌。盘面上已经提前交易库存拐点的预期，在深度贴水下高基差下，盘面有反弹情绪。下一阶段关注i现货价格拐点，主力合约参考区间（1750，1950），建议反弹沿区间上沿布局空单</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59271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592717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579F3" w:rsidRPr="001579F3">
        <w:rPr>
          <w:rFonts w:ascii="楷体" w:eastAsia="楷体" w:hAnsi="楷体" w:hint="eastAsia"/>
          <w:b/>
          <w:sz w:val="24"/>
          <w:szCs w:val="24"/>
        </w:rPr>
        <w:t>豆菜粕价差延续高位</w:t>
      </w:r>
      <w:bookmarkEnd w:id="45"/>
    </w:p>
    <w:p w:rsidR="003F56A5" w:rsidRDefault="001579F3">
      <w:pPr>
        <w:ind w:leftChars="300" w:left="630"/>
        <w:rPr>
          <w:rFonts w:ascii="楷体" w:eastAsia="楷体" w:hAnsi="楷体"/>
          <w:sz w:val="24"/>
          <w:szCs w:val="24"/>
        </w:rPr>
      </w:pPr>
      <w:r w:rsidRPr="001579F3">
        <w:rPr>
          <w:rFonts w:ascii="楷体" w:eastAsia="楷体" w:hAnsi="楷体" w:hint="eastAsia"/>
          <w:sz w:val="24"/>
          <w:szCs w:val="24"/>
        </w:rPr>
        <w:t>国际方面，美豆进入收获阶段，收割压力逐步显现，但仍需警惕密西西比水位情况，CBOT大豆预计在1300上方震荡。美豆平衡表延续偏紧，23/24年度美豆产量预估为41.46亿蒲式耳，平均单产预计为50.1蒲式英亩。美国2023/24年度大豆期末库存预估下修至2.2亿浦式耳，较去年同比下滑了12%。当前美豆优良率延续低位，截至9月12日当周，美国大豆优良率为52%，前一周为53%，上年同期为56%。后续关注收获及水位情况。国内现货基差小幅承压，但整体延续高位，海关的严格政策还在进行，同时在9-10月份大豆阶段性到港减少下，当前油厂大豆库存有所下降，叠加部分油厂存停机计划，后续开机预计下滑，在刚需备货下油厂豆粕周度库存回落至70.76万吨，当前沿海主流油厂豆粕现货报价下调至4710-4850元/吨。大豆6-8月到港量仍较充裕，8月进口935万吨大豆，今年1-8个月大豆进口量达到7165万吨，同比增长17.9%，但9-10月进口到港预期减少，远月供应担忧支撑11-1基差报价坚挺。需求，下游生猪养殖利润有所下滑，叠加存栏高位，下游维持刚需备货，但近一周市场买货积极性不高，成交清淡。菜粕当前供需基本面有所改善，随着6月份后菜籽到港减少，油厂压榨也在逐步下滑，近一周库存有所回落。而需求方面，水产消费旺季即将结束，菜粕需求预计减少，但随着豆菜粕价差拉大或提振替代需求。策略方面，当前仍未完全转势，豆粕3960支撑较强，建议短线操作，菜粕01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5927178"/>
      <w:r>
        <w:rPr>
          <w:rFonts w:ascii="楷体" w:eastAsia="楷体" w:hAnsi="楷体" w:hint="eastAsia"/>
          <w:b/>
          <w:color w:val="000000" w:themeColor="text1"/>
          <w:sz w:val="24"/>
          <w:szCs w:val="24"/>
        </w:rPr>
        <w:t>油脂：</w:t>
      </w:r>
      <w:r w:rsidR="001579F3" w:rsidRPr="001579F3">
        <w:rPr>
          <w:rFonts w:ascii="楷体" w:eastAsia="楷体" w:hAnsi="楷体" w:hint="eastAsia"/>
          <w:b/>
          <w:sz w:val="24"/>
          <w:szCs w:val="24"/>
        </w:rPr>
        <w:t>预计维持区间宽幅震荡</w:t>
      </w:r>
      <w:bookmarkEnd w:id="46"/>
    </w:p>
    <w:p w:rsidR="003F56A5" w:rsidRDefault="001579F3" w:rsidP="00792D31">
      <w:pPr>
        <w:ind w:leftChars="300" w:left="630"/>
        <w:rPr>
          <w:rFonts w:ascii="楷体" w:eastAsia="楷体" w:hAnsi="楷体"/>
          <w:sz w:val="24"/>
          <w:szCs w:val="24"/>
        </w:rPr>
      </w:pPr>
      <w:r w:rsidRPr="001579F3">
        <w:rPr>
          <w:rFonts w:ascii="楷体" w:eastAsia="楷体" w:hAnsi="楷体" w:hint="eastAsia"/>
          <w:sz w:val="24"/>
          <w:szCs w:val="24"/>
        </w:rPr>
        <w:t>油脂近期在供需多重因素共振下，震荡回调，但在国际原油强劲及需求支撑下，整体仍在震荡区间中。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且机构数据显示9月上旬马来西亚棕榈油出口量环比降低11.2%，预计9月马棕仍将延续累库。国内</w:t>
      </w:r>
      <w:r w:rsidRPr="001579F3">
        <w:rPr>
          <w:rFonts w:ascii="楷体" w:eastAsia="楷体" w:hAnsi="楷体" w:hint="eastAsia"/>
          <w:sz w:val="24"/>
          <w:szCs w:val="24"/>
        </w:rPr>
        <w:lastRenderedPageBreak/>
        <w:t>棕榈油7-8月份进口到港预计维持高位，库存维持同期高位，最新商业库存为68.64万吨，较前一周增加。需求端，当前在豆棕价差拉大下，利好棕榈油下游消费需求，但四季度为棕榈油消费淡季，棕榈油9-10月份预计表现偏弱。豆油存去库预期。国内7-8月进口大豆到港量仍不少，但受海关检验政策及后续停机计划下，预计油厂整体压榨水平不高，在消费改善下，将逐步去库。需求端，当前双节前备货临近尾声，但油脂将进入消费旺季，需求存好转预期。菜油在进口菜籽减少下，供应压力减轻。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关注油脂间套利，空配菜油及逢低多豆棕01</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5927179"/>
      <w:r>
        <w:rPr>
          <w:rFonts w:ascii="楷体" w:eastAsia="楷体" w:hAnsi="楷体" w:hint="eastAsia"/>
          <w:b/>
          <w:bCs/>
          <w:color w:val="000000" w:themeColor="text1"/>
        </w:rPr>
        <w:t>玉米与淀粉：</w:t>
      </w:r>
      <w:r w:rsidR="001579F3" w:rsidRPr="001579F3">
        <w:rPr>
          <w:rFonts w:ascii="楷体" w:eastAsia="楷体" w:hAnsi="楷体" w:hint="eastAsia"/>
          <w:b/>
        </w:rPr>
        <w:t>等待新作压力释放</w:t>
      </w:r>
      <w:bookmarkEnd w:id="47"/>
    </w:p>
    <w:p w:rsidR="001579F3" w:rsidRPr="001579F3" w:rsidRDefault="001579F3" w:rsidP="001579F3">
      <w:pPr>
        <w:pStyle w:val="paragraph"/>
        <w:spacing w:before="60" w:after="60"/>
        <w:ind w:leftChars="300" w:left="630"/>
        <w:rPr>
          <w:rFonts w:ascii="楷体" w:eastAsia="楷体" w:hAnsi="楷体" w:hint="eastAsia"/>
        </w:rPr>
      </w:pPr>
      <w:r w:rsidRPr="001579F3">
        <w:rPr>
          <w:rFonts w:ascii="楷体" w:eastAsia="楷体" w:hAnsi="楷体" w:hint="eastAsia"/>
        </w:rPr>
        <w:t>对于玉米而言，目前期现货结构显示，现货、近月即11月合约和次近月即1月合约大幅升水，而1月及其之后的远月合约大致平水，前者表明市场担心新作上市压力有望带动现货价格逐步趋于下跌，后者则意味着新作上市压力释放之后，市场或基于新作年度产需缺口而再度进入补库存阶段。在这种情况下，时间上尚需要等待，而从空间角度看，基于期价贴水和陈化水稻底价来看，新作合约有望得到支撑，变数更多在于11月合约，因其更多受到现货的影响。在这种情况下，维持中性观点，建议谨慎投资者观望，激进投资者可考虑背靠7月持续区间震荡后的起涨点继续持有前期多单。</w:t>
      </w:r>
    </w:p>
    <w:p w:rsidR="003F56A5" w:rsidRDefault="001579F3" w:rsidP="001579F3">
      <w:pPr>
        <w:pStyle w:val="paragraph"/>
        <w:spacing w:before="60" w:beforeAutospacing="0" w:after="60" w:afterAutospacing="0"/>
        <w:ind w:leftChars="300" w:left="630"/>
        <w:rPr>
          <w:rFonts w:ascii="楷体" w:eastAsia="楷体" w:hAnsi="楷体"/>
        </w:rPr>
      </w:pPr>
      <w:r w:rsidRPr="001579F3">
        <w:rPr>
          <w:rFonts w:ascii="楷体" w:eastAsia="楷体" w:hAnsi="楷体" w:hint="eastAsia"/>
        </w:rPr>
        <w:t>对于淀粉而言，近期淀粉-玉米价差影响因素相对偏利多，一方面淀粉副产品价格随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5927180"/>
      <w:r>
        <w:rPr>
          <w:rFonts w:ascii="楷体" w:eastAsia="楷体" w:hAnsi="楷体" w:hint="eastAsia"/>
          <w:b/>
          <w:bCs/>
          <w:color w:val="000000" w:themeColor="text1"/>
        </w:rPr>
        <w:t>畜禽养殖：</w:t>
      </w:r>
      <w:r w:rsidR="00992BCC" w:rsidRPr="00992BCC">
        <w:rPr>
          <w:rFonts w:ascii="楷体" w:eastAsia="楷体" w:hAnsi="楷体" w:hint="eastAsia"/>
          <w:b/>
          <w:bCs/>
          <w:color w:val="000000" w:themeColor="text1"/>
        </w:rPr>
        <w:t>现货带动期价近强远弱</w:t>
      </w:r>
      <w:bookmarkEnd w:id="48"/>
    </w:p>
    <w:p w:rsidR="001579F3" w:rsidRPr="001579F3" w:rsidRDefault="001579F3" w:rsidP="001579F3">
      <w:pPr>
        <w:pStyle w:val="paragraph"/>
        <w:spacing w:before="60" w:after="60"/>
        <w:ind w:leftChars="300" w:left="630"/>
        <w:rPr>
          <w:rFonts w:ascii="楷体" w:eastAsia="楷体" w:hAnsi="楷体" w:hint="eastAsia"/>
        </w:rPr>
      </w:pPr>
      <w:r w:rsidRPr="001579F3">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w:t>
      </w:r>
      <w:r w:rsidRPr="001579F3">
        <w:rPr>
          <w:rFonts w:ascii="楷体" w:eastAsia="楷体" w:hAnsi="楷体" w:hint="eastAsia"/>
        </w:rPr>
        <w:lastRenderedPageBreak/>
        <w:t>供应变化，再结合需求的季节性变动，来影响期现货的波动节奏。近期现货横盘震荡，而期价整体反弹，带动基差走弱，近月合约转为升水，表明市场预期有所改善，但这可能源于中秋和国庆双节需求的需求预期，双节过后则可能存在变数。考虑到接下来现货波动的节奏存在分歧，不确定性较大，观点转为中性，建议投资者观望为宜。</w:t>
      </w:r>
    </w:p>
    <w:p w:rsidR="003F56A5" w:rsidRDefault="001579F3" w:rsidP="001579F3">
      <w:pPr>
        <w:pStyle w:val="paragraph"/>
        <w:spacing w:before="60" w:beforeAutospacing="0" w:after="60" w:afterAutospacing="0"/>
        <w:ind w:leftChars="300" w:left="630"/>
        <w:rPr>
          <w:rFonts w:ascii="楷体" w:eastAsia="楷体" w:hAnsi="楷体"/>
        </w:rPr>
      </w:pPr>
      <w:r w:rsidRPr="001579F3">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观点由前期谨慎看多转为中性，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5927181"/>
      <w:r>
        <w:rPr>
          <w:rFonts w:ascii="楷体" w:eastAsia="楷体" w:hAnsi="楷体" w:hint="eastAsia"/>
          <w:b/>
          <w:sz w:val="24"/>
          <w:szCs w:val="24"/>
        </w:rPr>
        <w:t>郑棉：</w:t>
      </w:r>
      <w:r w:rsidR="004648E2" w:rsidRPr="004648E2">
        <w:rPr>
          <w:rFonts w:ascii="楷体" w:eastAsia="楷体" w:hAnsi="楷体" w:hint="eastAsia"/>
          <w:b/>
          <w:sz w:val="24"/>
          <w:szCs w:val="24"/>
        </w:rPr>
        <w:t>低位多单或看跌期权卖权持有</w:t>
      </w:r>
      <w:bookmarkEnd w:id="49"/>
    </w:p>
    <w:p w:rsidR="003F56A5" w:rsidRDefault="004648E2" w:rsidP="007B3290">
      <w:pPr>
        <w:ind w:leftChars="300" w:left="630"/>
        <w:rPr>
          <w:rFonts w:ascii="楷体" w:eastAsia="楷体" w:hAnsi="楷体"/>
          <w:sz w:val="24"/>
          <w:szCs w:val="24"/>
        </w:rPr>
      </w:pPr>
      <w:r w:rsidRPr="004648E2">
        <w:rPr>
          <w:rFonts w:ascii="楷体" w:eastAsia="楷体" w:hAnsi="楷体" w:hint="eastAsia"/>
          <w:sz w:val="24"/>
          <w:szCs w:val="24"/>
        </w:rPr>
        <w:t>8月下旬后，棉花迎来多个政策以及声明的调控。在日度抛储量增加后，上周由于底价较高和纺织企业不景气等原因，抛储成交率逐日下滑，市场成交更趋理性。供需格局改善，市场对新棉、新疆天气等影响因素关注度降低。叠加郑商所调增郑棉保证金以及相关部门调控后棉价高点预期下调，多头资金大量离场，郑棉反复试探1.7万关口。但新棉上市仍需时日，上市的价格也待定，下方存在支撑，本周抛储成交率有望回升并在1.7万以上企稳，预计短期内高位宽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5927182"/>
      <w:r>
        <w:rPr>
          <w:rFonts w:ascii="楷体" w:eastAsia="楷体" w:hAnsi="楷体" w:hint="eastAsia"/>
          <w:b/>
          <w:sz w:val="24"/>
          <w:szCs w:val="24"/>
        </w:rPr>
        <w:t>白糖：</w:t>
      </w:r>
      <w:r w:rsidR="004648E2" w:rsidRPr="004648E2">
        <w:rPr>
          <w:rFonts w:ascii="楷体" w:eastAsia="楷体" w:hAnsi="楷体" w:hint="eastAsia"/>
          <w:b/>
          <w:sz w:val="24"/>
          <w:szCs w:val="24"/>
        </w:rPr>
        <w:t>看跌期权卖权持有，低多暂时离场观望</w:t>
      </w:r>
      <w:bookmarkEnd w:id="50"/>
    </w:p>
    <w:p w:rsidR="00296325" w:rsidRDefault="004648E2" w:rsidP="00296325">
      <w:pPr>
        <w:ind w:leftChars="300" w:left="630"/>
        <w:rPr>
          <w:rFonts w:ascii="楷体" w:eastAsia="楷体" w:hAnsi="楷体"/>
          <w:sz w:val="24"/>
          <w:szCs w:val="24"/>
        </w:rPr>
      </w:pPr>
      <w:r w:rsidRPr="004648E2">
        <w:rPr>
          <w:rFonts w:ascii="楷体" w:eastAsia="楷体" w:hAnsi="楷体" w:hint="eastAsia"/>
          <w:sz w:val="24"/>
          <w:szCs w:val="24"/>
        </w:rPr>
        <w:t>担忧印度和泰国新季白糖产量，原糖价格再创新高。巴西9月前两周白糖出口70.81万吨，同比小幅下降。但8月中下旬的巴西中南部白糖产量同比大增近10%。国内白糖进口增加的预期强化，市场传闻年底将有大量进口白糖到港，但尚无官方消息证实。当前白糖库存极低，供需面极为紧张。多头资金大量离场，暂谨慎观望</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BA" w:rsidRDefault="004A78BA">
      <w:r>
        <w:separator/>
      </w:r>
    </w:p>
  </w:endnote>
  <w:endnote w:type="continuationSeparator" w:id="0">
    <w:p w:rsidR="004A78BA" w:rsidRDefault="004A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BBA3706" wp14:editId="11DDCEB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648E2">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648E2">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BA" w:rsidRDefault="004A78BA">
      <w:r>
        <w:separator/>
      </w:r>
    </w:p>
  </w:footnote>
  <w:footnote w:type="continuationSeparator" w:id="0">
    <w:p w:rsidR="004A78BA" w:rsidRDefault="004A78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6D16F05" wp14:editId="4B9CDC3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5507E7B" wp14:editId="7C10DE0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992BCC">
      <w:rPr>
        <w:rFonts w:ascii="Times New Roman" w:eastAsia="楷体" w:hAnsi="Times New Roman" w:hint="eastAsia"/>
        <w:b/>
        <w:bCs/>
        <w:noProof/>
        <w:color w:val="833C0B"/>
        <w:sz w:val="21"/>
      </w:rPr>
      <w:t>2023</w:t>
    </w:r>
    <w:r w:rsidR="00992BCC">
      <w:rPr>
        <w:rFonts w:ascii="Times New Roman" w:eastAsia="楷体" w:hAnsi="Times New Roman" w:hint="eastAsia"/>
        <w:b/>
        <w:bCs/>
        <w:noProof/>
        <w:color w:val="833C0B"/>
        <w:sz w:val="21"/>
      </w:rPr>
      <w:t>年</w:t>
    </w:r>
    <w:r w:rsidR="00992BCC">
      <w:rPr>
        <w:rFonts w:ascii="Times New Roman" w:eastAsia="楷体" w:hAnsi="Times New Roman" w:hint="eastAsia"/>
        <w:b/>
        <w:bCs/>
        <w:noProof/>
        <w:color w:val="833C0B"/>
        <w:sz w:val="21"/>
      </w:rPr>
      <w:t>9</w:t>
    </w:r>
    <w:r w:rsidR="00992BCC">
      <w:rPr>
        <w:rFonts w:ascii="Times New Roman" w:eastAsia="楷体" w:hAnsi="Times New Roman" w:hint="eastAsia"/>
        <w:b/>
        <w:bCs/>
        <w:noProof/>
        <w:color w:val="833C0B"/>
        <w:sz w:val="21"/>
      </w:rPr>
      <w:t>月</w:t>
    </w:r>
    <w:r w:rsidR="00992BCC">
      <w:rPr>
        <w:rFonts w:ascii="Times New Roman" w:eastAsia="楷体" w:hAnsi="Times New Roman" w:hint="eastAsia"/>
        <w:b/>
        <w:bCs/>
        <w:noProof/>
        <w:color w:val="833C0B"/>
        <w:sz w:val="21"/>
      </w:rPr>
      <w:t>18</w:t>
    </w:r>
    <w:r w:rsidR="00992BCC">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803"/>
    <w:rsid w:val="00127FF1"/>
    <w:rsid w:val="00147668"/>
    <w:rsid w:val="00147B03"/>
    <w:rsid w:val="0015047B"/>
    <w:rsid w:val="00156FEB"/>
    <w:rsid w:val="001579F3"/>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92BCC"/>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5451A-ED59-422F-BE62-F467DE27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10</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91</cp:revision>
  <cp:lastPrinted>2023-06-08T02:23:00Z</cp:lastPrinted>
  <dcterms:created xsi:type="dcterms:W3CDTF">2022-11-15T10:06:00Z</dcterms:created>
  <dcterms:modified xsi:type="dcterms:W3CDTF">2023-09-18T02:58:00Z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