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E423B5"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E423B5" w:rsidRPr="00473BE9">
            <w:rPr>
              <w:rStyle w:val="a9"/>
              <w:noProof/>
            </w:rPr>
            <w:fldChar w:fldCharType="begin"/>
          </w:r>
          <w:r w:rsidR="00E423B5" w:rsidRPr="00473BE9">
            <w:rPr>
              <w:rStyle w:val="a9"/>
              <w:noProof/>
            </w:rPr>
            <w:instrText xml:space="preserve"> </w:instrText>
          </w:r>
          <w:r w:rsidR="00E423B5">
            <w:rPr>
              <w:noProof/>
            </w:rPr>
            <w:instrText>HYPERLINK \l "_Toc145676653"</w:instrText>
          </w:r>
          <w:r w:rsidR="00E423B5" w:rsidRPr="00473BE9">
            <w:rPr>
              <w:rStyle w:val="a9"/>
              <w:noProof/>
            </w:rPr>
            <w:instrText xml:space="preserve"> </w:instrText>
          </w:r>
          <w:r w:rsidR="00E423B5" w:rsidRPr="00473BE9">
            <w:rPr>
              <w:rStyle w:val="a9"/>
              <w:noProof/>
            </w:rPr>
          </w:r>
          <w:r w:rsidR="00E423B5" w:rsidRPr="00473BE9">
            <w:rPr>
              <w:rStyle w:val="a9"/>
              <w:noProof/>
            </w:rPr>
            <w:fldChar w:fldCharType="separate"/>
          </w:r>
          <w:r w:rsidR="00E423B5" w:rsidRPr="00473BE9">
            <w:rPr>
              <w:rStyle w:val="a9"/>
              <w:rFonts w:ascii="Times New Roman" w:eastAsia="楷体" w:hAnsi="Times New Roman"/>
              <w:b/>
              <w:noProof/>
            </w:rPr>
            <w:t>[</w:t>
          </w:r>
          <w:r w:rsidR="00E423B5" w:rsidRPr="00473BE9">
            <w:rPr>
              <w:rStyle w:val="a9"/>
              <w:rFonts w:ascii="Times New Roman" w:eastAsia="楷体" w:hAnsi="Times New Roman"/>
              <w:b/>
              <w:noProof/>
            </w:rPr>
            <w:t>金融</w:t>
          </w:r>
          <w:r w:rsidR="00E423B5" w:rsidRPr="00473BE9">
            <w:rPr>
              <w:rStyle w:val="a9"/>
              <w:rFonts w:ascii="Times New Roman" w:eastAsia="楷体" w:hAnsi="Times New Roman"/>
              <w:b/>
              <w:noProof/>
            </w:rPr>
            <w:t>]</w:t>
          </w:r>
          <w:r w:rsidR="00E423B5" w:rsidRPr="00473BE9">
            <w:rPr>
              <w:rStyle w:val="a9"/>
              <w:noProof/>
            </w:rPr>
            <w:fldChar w:fldCharType="end"/>
          </w:r>
        </w:p>
        <w:p w:rsidR="00E423B5" w:rsidRDefault="00E423B5">
          <w:pPr>
            <w:pStyle w:val="23"/>
            <w:tabs>
              <w:tab w:val="right" w:leader="dot" w:pos="8296"/>
            </w:tabs>
            <w:rPr>
              <w:rFonts w:eastAsiaTheme="minorEastAsia"/>
              <w:noProof/>
              <w:szCs w:val="22"/>
            </w:rPr>
          </w:pPr>
          <w:hyperlink w:anchor="_Toc145676654" w:history="1">
            <w:r w:rsidRPr="00473BE9">
              <w:rPr>
                <w:rStyle w:val="a9"/>
                <w:rFonts w:ascii="Times New Roman" w:eastAsia="楷体" w:hAnsi="Times New Roman"/>
                <w:b/>
                <w:noProof/>
              </w:rPr>
              <w:t>股指：</w:t>
            </w:r>
            <w:r w:rsidRPr="00473BE9">
              <w:rPr>
                <w:rStyle w:val="a9"/>
                <w:rFonts w:ascii="Times New Roman" w:eastAsia="楷体" w:hAnsi="Times New Roman"/>
                <w:b/>
                <w:noProof/>
              </w:rPr>
              <w:t>IM</w:t>
            </w:r>
            <w:r w:rsidRPr="00473BE9">
              <w:rPr>
                <w:rStyle w:val="a9"/>
                <w:rFonts w:ascii="Times New Roman" w:eastAsia="楷体" w:hAnsi="Times New Roman"/>
                <w:b/>
                <w:noProof/>
              </w:rPr>
              <w:t>多单轻仓持有</w:t>
            </w:r>
          </w:hyperlink>
        </w:p>
        <w:p w:rsidR="00E423B5" w:rsidRDefault="00E423B5">
          <w:pPr>
            <w:pStyle w:val="11"/>
            <w:tabs>
              <w:tab w:val="right" w:leader="dot" w:pos="8296"/>
            </w:tabs>
            <w:rPr>
              <w:rFonts w:eastAsiaTheme="minorEastAsia"/>
              <w:noProof/>
              <w:szCs w:val="22"/>
            </w:rPr>
          </w:pPr>
          <w:hyperlink w:anchor="_Toc145676655" w:history="1">
            <w:r w:rsidRPr="00473BE9">
              <w:rPr>
                <w:rStyle w:val="a9"/>
                <w:rFonts w:ascii="Times New Roman" w:eastAsia="楷体" w:hAnsi="Times New Roman"/>
                <w:b/>
                <w:noProof/>
              </w:rPr>
              <w:t>[</w:t>
            </w:r>
            <w:r w:rsidRPr="00473BE9">
              <w:rPr>
                <w:rStyle w:val="a9"/>
                <w:rFonts w:ascii="Times New Roman" w:eastAsia="楷体" w:hAnsi="Times New Roman"/>
                <w:b/>
                <w:noProof/>
              </w:rPr>
              <w:t>贵金属</w:t>
            </w:r>
            <w:r w:rsidRPr="00473BE9">
              <w:rPr>
                <w:rStyle w:val="a9"/>
                <w:rFonts w:ascii="Times New Roman" w:eastAsia="楷体" w:hAnsi="Times New Roman"/>
                <w:b/>
                <w:noProof/>
              </w:rPr>
              <w:t>]</w:t>
            </w:r>
          </w:hyperlink>
        </w:p>
        <w:p w:rsidR="00E423B5" w:rsidRDefault="00E423B5">
          <w:pPr>
            <w:pStyle w:val="23"/>
            <w:tabs>
              <w:tab w:val="right" w:leader="dot" w:pos="8296"/>
            </w:tabs>
            <w:rPr>
              <w:rFonts w:eastAsiaTheme="minorEastAsia"/>
              <w:noProof/>
              <w:szCs w:val="22"/>
            </w:rPr>
          </w:pPr>
          <w:hyperlink w:anchor="_Toc145676656" w:history="1">
            <w:r w:rsidRPr="00473BE9">
              <w:rPr>
                <w:rStyle w:val="a9"/>
                <w:rFonts w:ascii="Times New Roman" w:eastAsia="楷体" w:hAnsi="Times New Roman"/>
                <w:b/>
                <w:noProof/>
              </w:rPr>
              <w:t>贵金属：美国生产端通胀超预期上行，贵金属价格大幅反弹</w:t>
            </w:r>
          </w:hyperlink>
        </w:p>
        <w:p w:rsidR="00E423B5" w:rsidRDefault="00E423B5">
          <w:pPr>
            <w:pStyle w:val="11"/>
            <w:tabs>
              <w:tab w:val="right" w:leader="dot" w:pos="8296"/>
            </w:tabs>
            <w:rPr>
              <w:rFonts w:eastAsiaTheme="minorEastAsia"/>
              <w:noProof/>
              <w:szCs w:val="22"/>
            </w:rPr>
          </w:pPr>
          <w:hyperlink w:anchor="_Toc145676657" w:history="1">
            <w:r w:rsidRPr="00473BE9">
              <w:rPr>
                <w:rStyle w:val="a9"/>
                <w:rFonts w:ascii="Times New Roman" w:eastAsia="楷体" w:hAnsi="Times New Roman"/>
                <w:b/>
                <w:noProof/>
              </w:rPr>
              <w:t>[</w:t>
            </w:r>
            <w:r w:rsidRPr="00473BE9">
              <w:rPr>
                <w:rStyle w:val="a9"/>
                <w:rFonts w:ascii="Times New Roman" w:eastAsia="楷体" w:hAnsi="Times New Roman"/>
                <w:b/>
                <w:noProof/>
              </w:rPr>
              <w:t>金属</w:t>
            </w:r>
            <w:r w:rsidRPr="00473BE9">
              <w:rPr>
                <w:rStyle w:val="a9"/>
                <w:rFonts w:ascii="Times New Roman" w:eastAsia="楷体" w:hAnsi="Times New Roman"/>
                <w:b/>
                <w:noProof/>
              </w:rPr>
              <w:t>]</w:t>
            </w:r>
          </w:hyperlink>
        </w:p>
        <w:p w:rsidR="00E423B5" w:rsidRDefault="00E423B5">
          <w:pPr>
            <w:pStyle w:val="23"/>
            <w:tabs>
              <w:tab w:val="right" w:leader="dot" w:pos="8296"/>
            </w:tabs>
            <w:rPr>
              <w:rFonts w:eastAsiaTheme="minorEastAsia"/>
              <w:noProof/>
              <w:szCs w:val="22"/>
            </w:rPr>
          </w:pPr>
          <w:hyperlink w:anchor="_Toc145676658" w:history="1">
            <w:r w:rsidRPr="00473BE9">
              <w:rPr>
                <w:rStyle w:val="a9"/>
                <w:rFonts w:ascii="楷体" w:eastAsia="楷体" w:hAnsi="楷体"/>
                <w:b/>
                <w:noProof/>
              </w:rPr>
              <w:t>碳酸锂：上游供应增量预期释放，锂盐现货维持弱势</w:t>
            </w:r>
          </w:hyperlink>
        </w:p>
        <w:p w:rsidR="00E423B5" w:rsidRDefault="00E423B5">
          <w:pPr>
            <w:pStyle w:val="23"/>
            <w:tabs>
              <w:tab w:val="right" w:leader="dot" w:pos="8296"/>
            </w:tabs>
            <w:rPr>
              <w:rFonts w:eastAsiaTheme="minorEastAsia"/>
              <w:noProof/>
              <w:szCs w:val="22"/>
            </w:rPr>
          </w:pPr>
          <w:hyperlink w:anchor="_Toc145676659" w:history="1">
            <w:r w:rsidRPr="00473BE9">
              <w:rPr>
                <w:rStyle w:val="a9"/>
                <w:rFonts w:ascii="楷体" w:eastAsia="楷体" w:hAnsi="楷体"/>
                <w:b/>
                <w:noProof/>
              </w:rPr>
              <w:t>螺纹钢：供需结构好转，短期继续震荡上行</w:t>
            </w:r>
          </w:hyperlink>
        </w:p>
        <w:p w:rsidR="00E423B5" w:rsidRDefault="00E423B5">
          <w:pPr>
            <w:pStyle w:val="23"/>
            <w:tabs>
              <w:tab w:val="right" w:leader="dot" w:pos="8296"/>
            </w:tabs>
            <w:rPr>
              <w:rFonts w:eastAsiaTheme="minorEastAsia"/>
              <w:noProof/>
              <w:szCs w:val="22"/>
            </w:rPr>
          </w:pPr>
          <w:hyperlink w:anchor="_Toc145676660" w:history="1">
            <w:r w:rsidRPr="00473BE9">
              <w:rPr>
                <w:rStyle w:val="a9"/>
                <w:rFonts w:ascii="楷体" w:eastAsia="楷体" w:hAnsi="楷体"/>
                <w:b/>
                <w:noProof/>
              </w:rPr>
              <w:t>焦炭：港口焦炭价格偏稳，价格或高位继续偏强运行</w:t>
            </w:r>
          </w:hyperlink>
        </w:p>
        <w:p w:rsidR="00E423B5" w:rsidRDefault="00E423B5">
          <w:pPr>
            <w:pStyle w:val="23"/>
            <w:tabs>
              <w:tab w:val="right" w:leader="dot" w:pos="8296"/>
            </w:tabs>
            <w:rPr>
              <w:rFonts w:eastAsiaTheme="minorEastAsia"/>
              <w:noProof/>
              <w:szCs w:val="22"/>
            </w:rPr>
          </w:pPr>
          <w:hyperlink w:anchor="_Toc145676661" w:history="1">
            <w:r w:rsidRPr="00473BE9">
              <w:rPr>
                <w:rStyle w:val="a9"/>
                <w:rFonts w:ascii="楷体" w:eastAsia="楷体" w:hAnsi="楷体"/>
                <w:b/>
                <w:noProof/>
              </w:rPr>
              <w:t>焦煤：成材或打开空间，价格或高位继续偏强运行</w:t>
            </w:r>
          </w:hyperlink>
        </w:p>
        <w:p w:rsidR="00E423B5" w:rsidRDefault="00E423B5">
          <w:pPr>
            <w:pStyle w:val="23"/>
            <w:tabs>
              <w:tab w:val="right" w:leader="dot" w:pos="8296"/>
            </w:tabs>
            <w:rPr>
              <w:rFonts w:eastAsiaTheme="minorEastAsia"/>
              <w:noProof/>
              <w:szCs w:val="22"/>
            </w:rPr>
          </w:pPr>
          <w:hyperlink w:anchor="_Toc145676662" w:history="1">
            <w:r w:rsidRPr="00473BE9">
              <w:rPr>
                <w:rStyle w:val="a9"/>
                <w:rFonts w:ascii="楷体" w:eastAsia="楷体" w:hAnsi="楷体"/>
                <w:b/>
                <w:noProof/>
              </w:rPr>
              <w:t>铜：区间震荡运行</w:t>
            </w:r>
          </w:hyperlink>
        </w:p>
        <w:p w:rsidR="00E423B5" w:rsidRDefault="00E423B5">
          <w:pPr>
            <w:pStyle w:val="23"/>
            <w:tabs>
              <w:tab w:val="right" w:leader="dot" w:pos="8296"/>
            </w:tabs>
            <w:rPr>
              <w:rFonts w:eastAsiaTheme="minorEastAsia"/>
              <w:noProof/>
              <w:szCs w:val="22"/>
            </w:rPr>
          </w:pPr>
          <w:hyperlink w:anchor="_Toc145676663" w:history="1">
            <w:r w:rsidRPr="00473BE9">
              <w:rPr>
                <w:rStyle w:val="a9"/>
                <w:rFonts w:ascii="楷体" w:eastAsia="楷体" w:hAnsi="楷体"/>
                <w:b/>
                <w:noProof/>
              </w:rPr>
              <w:t>铝：国内宏观情绪走涨，指引价格向上运行</w:t>
            </w:r>
          </w:hyperlink>
        </w:p>
        <w:p w:rsidR="00E423B5" w:rsidRDefault="00E423B5">
          <w:pPr>
            <w:pStyle w:val="23"/>
            <w:tabs>
              <w:tab w:val="right" w:leader="dot" w:pos="8296"/>
            </w:tabs>
            <w:rPr>
              <w:rFonts w:eastAsiaTheme="minorEastAsia"/>
              <w:noProof/>
              <w:szCs w:val="22"/>
            </w:rPr>
          </w:pPr>
          <w:hyperlink w:anchor="_Toc145676664" w:history="1">
            <w:r w:rsidRPr="00473BE9">
              <w:rPr>
                <w:rStyle w:val="a9"/>
                <w:rFonts w:ascii="楷体" w:eastAsia="楷体" w:hAnsi="楷体"/>
                <w:b/>
                <w:noProof/>
              </w:rPr>
              <w:t>锌：锌价震荡走升，警惕回落风险</w:t>
            </w:r>
          </w:hyperlink>
        </w:p>
        <w:p w:rsidR="00E423B5" w:rsidRDefault="00E423B5">
          <w:pPr>
            <w:pStyle w:val="23"/>
            <w:tabs>
              <w:tab w:val="right" w:leader="dot" w:pos="8296"/>
            </w:tabs>
            <w:rPr>
              <w:rFonts w:eastAsiaTheme="minorEastAsia"/>
              <w:noProof/>
              <w:szCs w:val="22"/>
            </w:rPr>
          </w:pPr>
          <w:hyperlink w:anchor="_Toc145676665" w:history="1">
            <w:r w:rsidRPr="00473BE9">
              <w:rPr>
                <w:rStyle w:val="a9"/>
                <w:rFonts w:ascii="楷体" w:eastAsia="楷体" w:hAnsi="楷体"/>
                <w:b/>
                <w:noProof/>
              </w:rPr>
              <w:t>镍：宏观情绪提振与弱现实面交织</w:t>
            </w:r>
          </w:hyperlink>
        </w:p>
        <w:p w:rsidR="00E423B5" w:rsidRDefault="00E423B5">
          <w:pPr>
            <w:pStyle w:val="23"/>
            <w:tabs>
              <w:tab w:val="right" w:leader="dot" w:pos="8296"/>
            </w:tabs>
            <w:rPr>
              <w:rFonts w:eastAsiaTheme="minorEastAsia"/>
              <w:noProof/>
              <w:szCs w:val="22"/>
            </w:rPr>
          </w:pPr>
          <w:hyperlink w:anchor="_Toc145676666" w:history="1">
            <w:r w:rsidRPr="00473BE9">
              <w:rPr>
                <w:rStyle w:val="a9"/>
                <w:rFonts w:ascii="楷体" w:eastAsia="楷体" w:hAnsi="楷体"/>
                <w:b/>
                <w:noProof/>
              </w:rPr>
              <w:t>铅：铝市供需双修，观望价格上方压力位</w:t>
            </w:r>
          </w:hyperlink>
        </w:p>
        <w:p w:rsidR="00E423B5" w:rsidRDefault="00E423B5">
          <w:pPr>
            <w:pStyle w:val="23"/>
            <w:tabs>
              <w:tab w:val="right" w:leader="dot" w:pos="8296"/>
            </w:tabs>
            <w:rPr>
              <w:rFonts w:eastAsiaTheme="minorEastAsia"/>
              <w:noProof/>
              <w:szCs w:val="22"/>
            </w:rPr>
          </w:pPr>
          <w:hyperlink w:anchor="_Toc145676667" w:history="1">
            <w:r w:rsidRPr="00473BE9">
              <w:rPr>
                <w:rStyle w:val="a9"/>
                <w:rFonts w:ascii="楷体" w:eastAsia="楷体" w:hAnsi="楷体"/>
                <w:b/>
                <w:noProof/>
              </w:rPr>
              <w:t>不锈钢：弱基本面与成本端博弈，下跌空间或有限</w:t>
            </w:r>
          </w:hyperlink>
        </w:p>
        <w:p w:rsidR="00E423B5" w:rsidRDefault="00E423B5">
          <w:pPr>
            <w:pStyle w:val="23"/>
            <w:tabs>
              <w:tab w:val="right" w:leader="dot" w:pos="8296"/>
            </w:tabs>
            <w:rPr>
              <w:rFonts w:eastAsiaTheme="minorEastAsia"/>
              <w:noProof/>
              <w:szCs w:val="22"/>
            </w:rPr>
          </w:pPr>
          <w:hyperlink w:anchor="_Toc145676668" w:history="1">
            <w:r w:rsidRPr="00473BE9">
              <w:rPr>
                <w:rStyle w:val="a9"/>
                <w:rFonts w:ascii="楷体" w:eastAsia="楷体" w:hAnsi="楷体"/>
                <w:b/>
                <w:noProof/>
              </w:rPr>
              <w:t>工业硅：多晶硅有望陆续投产，市场看涨心态偏浓</w:t>
            </w:r>
          </w:hyperlink>
        </w:p>
        <w:p w:rsidR="00E423B5" w:rsidRDefault="00E423B5">
          <w:pPr>
            <w:pStyle w:val="11"/>
            <w:tabs>
              <w:tab w:val="right" w:leader="dot" w:pos="8296"/>
            </w:tabs>
            <w:rPr>
              <w:rFonts w:eastAsiaTheme="minorEastAsia"/>
              <w:noProof/>
              <w:szCs w:val="22"/>
            </w:rPr>
          </w:pPr>
          <w:hyperlink w:anchor="_Toc145676669" w:history="1">
            <w:r w:rsidRPr="00473BE9">
              <w:rPr>
                <w:rStyle w:val="a9"/>
                <w:rFonts w:ascii="Times New Roman" w:eastAsia="楷体" w:hAnsi="Times New Roman"/>
                <w:b/>
                <w:noProof/>
              </w:rPr>
              <w:t>[</w:t>
            </w:r>
            <w:r w:rsidRPr="00473BE9">
              <w:rPr>
                <w:rStyle w:val="a9"/>
                <w:rFonts w:ascii="Times New Roman" w:eastAsia="楷体" w:hAnsi="Times New Roman"/>
                <w:b/>
                <w:noProof/>
              </w:rPr>
              <w:t>化工</w:t>
            </w:r>
            <w:r w:rsidRPr="00473BE9">
              <w:rPr>
                <w:rStyle w:val="a9"/>
                <w:rFonts w:ascii="Times New Roman" w:eastAsia="楷体" w:hAnsi="Times New Roman"/>
                <w:b/>
                <w:noProof/>
              </w:rPr>
              <w:t>]</w:t>
            </w:r>
          </w:hyperlink>
        </w:p>
        <w:p w:rsidR="00E423B5" w:rsidRDefault="00E423B5">
          <w:pPr>
            <w:pStyle w:val="23"/>
            <w:tabs>
              <w:tab w:val="right" w:leader="dot" w:pos="8296"/>
            </w:tabs>
            <w:rPr>
              <w:rFonts w:eastAsiaTheme="minorEastAsia"/>
              <w:noProof/>
              <w:szCs w:val="22"/>
            </w:rPr>
          </w:pPr>
          <w:hyperlink w:anchor="_Toc145676670" w:history="1">
            <w:r w:rsidRPr="00473BE9">
              <w:rPr>
                <w:rStyle w:val="a9"/>
                <w:rFonts w:ascii="Times New Roman" w:eastAsia="楷体" w:hAnsi="Times New Roman"/>
                <w:b/>
                <w:noProof/>
              </w:rPr>
              <w:t>天然橡胶</w:t>
            </w:r>
            <w:r w:rsidRPr="00473BE9">
              <w:rPr>
                <w:rStyle w:val="a9"/>
                <w:rFonts w:ascii="Times New Roman" w:eastAsia="楷体" w:hAnsi="Times New Roman"/>
                <w:b/>
                <w:noProof/>
              </w:rPr>
              <w:t>:</w:t>
            </w:r>
            <w:r w:rsidRPr="00473BE9">
              <w:rPr>
                <w:rStyle w:val="a9"/>
                <w:rFonts w:ascii="楷体" w:eastAsia="楷体" w:hAnsi="楷体"/>
                <w:b/>
                <w:noProof/>
              </w:rPr>
              <w:t xml:space="preserve"> 市场继续炒作产区减产 RU偏强震荡</w:t>
            </w:r>
          </w:hyperlink>
        </w:p>
        <w:p w:rsidR="00E423B5" w:rsidRDefault="00E423B5">
          <w:pPr>
            <w:pStyle w:val="23"/>
            <w:tabs>
              <w:tab w:val="right" w:leader="dot" w:pos="8296"/>
            </w:tabs>
            <w:rPr>
              <w:rFonts w:eastAsiaTheme="minorEastAsia"/>
              <w:noProof/>
              <w:szCs w:val="22"/>
            </w:rPr>
          </w:pPr>
          <w:hyperlink w:anchor="_Toc145676671" w:history="1">
            <w:r w:rsidRPr="00473BE9">
              <w:rPr>
                <w:rStyle w:val="a9"/>
                <w:rFonts w:ascii="楷体" w:eastAsia="楷体" w:hAnsi="楷体"/>
                <w:b/>
                <w:noProof/>
              </w:rPr>
              <w:t>PTA：成本端支撑及低加工费趋势仍偏强</w:t>
            </w:r>
          </w:hyperlink>
        </w:p>
        <w:p w:rsidR="00E423B5" w:rsidRDefault="00E423B5">
          <w:pPr>
            <w:pStyle w:val="23"/>
            <w:tabs>
              <w:tab w:val="right" w:leader="dot" w:pos="8296"/>
            </w:tabs>
            <w:rPr>
              <w:rFonts w:eastAsiaTheme="minorEastAsia"/>
              <w:noProof/>
              <w:szCs w:val="22"/>
            </w:rPr>
          </w:pPr>
          <w:hyperlink w:anchor="_Toc145676672" w:history="1">
            <w:r w:rsidRPr="00473BE9">
              <w:rPr>
                <w:rStyle w:val="a9"/>
                <w:rFonts w:ascii="楷体" w:eastAsia="楷体" w:hAnsi="楷体"/>
                <w:b/>
                <w:noProof/>
              </w:rPr>
              <w:t>PVC：高库存+弱复苏 驱动不足</w:t>
            </w:r>
          </w:hyperlink>
        </w:p>
        <w:p w:rsidR="00E423B5" w:rsidRDefault="00E423B5">
          <w:pPr>
            <w:pStyle w:val="23"/>
            <w:tabs>
              <w:tab w:val="right" w:leader="dot" w:pos="8296"/>
            </w:tabs>
            <w:rPr>
              <w:rFonts w:eastAsiaTheme="minorEastAsia"/>
              <w:noProof/>
              <w:szCs w:val="22"/>
            </w:rPr>
          </w:pPr>
          <w:hyperlink w:anchor="_Toc145676673" w:history="1">
            <w:r w:rsidRPr="00473BE9">
              <w:rPr>
                <w:rStyle w:val="a9"/>
                <w:rFonts w:ascii="楷体" w:eastAsia="楷体" w:hAnsi="楷体"/>
                <w:b/>
                <w:noProof/>
              </w:rPr>
              <w:t>聚烯烃：下游刚需补库 聚烯烃维持震荡为主</w:t>
            </w:r>
          </w:hyperlink>
        </w:p>
        <w:p w:rsidR="00E423B5" w:rsidRDefault="00E423B5">
          <w:pPr>
            <w:pStyle w:val="23"/>
            <w:tabs>
              <w:tab w:val="right" w:leader="dot" w:pos="8296"/>
            </w:tabs>
            <w:rPr>
              <w:rFonts w:eastAsiaTheme="minorEastAsia"/>
              <w:noProof/>
              <w:szCs w:val="22"/>
            </w:rPr>
          </w:pPr>
          <w:hyperlink w:anchor="_Toc145676674" w:history="1">
            <w:r w:rsidRPr="00473BE9">
              <w:rPr>
                <w:rStyle w:val="a9"/>
                <w:rFonts w:ascii="楷体" w:eastAsia="楷体" w:hAnsi="楷体"/>
                <w:b/>
                <w:noProof/>
              </w:rPr>
              <w:t>MEG：成本提振但后续到港增多压制反弹空间</w:t>
            </w:r>
          </w:hyperlink>
        </w:p>
        <w:p w:rsidR="00E423B5" w:rsidRDefault="00E423B5">
          <w:pPr>
            <w:pStyle w:val="23"/>
            <w:tabs>
              <w:tab w:val="right" w:leader="dot" w:pos="8296"/>
            </w:tabs>
            <w:rPr>
              <w:rFonts w:eastAsiaTheme="minorEastAsia"/>
              <w:noProof/>
              <w:szCs w:val="22"/>
            </w:rPr>
          </w:pPr>
          <w:hyperlink w:anchor="_Toc145676675" w:history="1">
            <w:r w:rsidRPr="00473BE9">
              <w:rPr>
                <w:rStyle w:val="a9"/>
                <w:rFonts w:ascii="楷体" w:eastAsia="楷体" w:hAnsi="楷体"/>
                <w:b/>
                <w:noProof/>
              </w:rPr>
              <w:t>玻璃：周度累库，区间震荡</w:t>
            </w:r>
          </w:hyperlink>
        </w:p>
        <w:p w:rsidR="00E423B5" w:rsidRDefault="00E423B5">
          <w:pPr>
            <w:pStyle w:val="23"/>
            <w:tabs>
              <w:tab w:val="right" w:leader="dot" w:pos="8296"/>
            </w:tabs>
            <w:rPr>
              <w:rFonts w:eastAsiaTheme="minorEastAsia"/>
              <w:noProof/>
              <w:szCs w:val="22"/>
            </w:rPr>
          </w:pPr>
          <w:hyperlink w:anchor="_Toc145676676" w:history="1">
            <w:r w:rsidRPr="00473BE9">
              <w:rPr>
                <w:rStyle w:val="a9"/>
                <w:rFonts w:ascii="楷体" w:eastAsia="楷体" w:hAnsi="楷体"/>
                <w:b/>
                <w:noProof/>
              </w:rPr>
              <w:t>纯碱：周内小幅累库，反弹后高空为主</w:t>
            </w:r>
          </w:hyperlink>
        </w:p>
        <w:p w:rsidR="00E423B5" w:rsidRDefault="00E423B5">
          <w:pPr>
            <w:pStyle w:val="11"/>
            <w:tabs>
              <w:tab w:val="right" w:leader="dot" w:pos="8296"/>
            </w:tabs>
            <w:rPr>
              <w:rFonts w:eastAsiaTheme="minorEastAsia"/>
              <w:noProof/>
              <w:szCs w:val="22"/>
            </w:rPr>
          </w:pPr>
          <w:hyperlink w:anchor="_Toc145676677" w:history="1">
            <w:r w:rsidRPr="00473BE9">
              <w:rPr>
                <w:rStyle w:val="a9"/>
                <w:rFonts w:ascii="Times New Roman" w:eastAsia="楷体" w:hAnsi="Times New Roman"/>
                <w:b/>
                <w:noProof/>
              </w:rPr>
              <w:t>[</w:t>
            </w:r>
            <w:r w:rsidRPr="00473BE9">
              <w:rPr>
                <w:rStyle w:val="a9"/>
                <w:rFonts w:ascii="Times New Roman" w:eastAsia="楷体" w:hAnsi="Times New Roman"/>
                <w:b/>
                <w:noProof/>
              </w:rPr>
              <w:t>农产品</w:t>
            </w:r>
            <w:r w:rsidRPr="00473BE9">
              <w:rPr>
                <w:rStyle w:val="a9"/>
                <w:rFonts w:ascii="Times New Roman" w:eastAsia="楷体" w:hAnsi="Times New Roman"/>
                <w:b/>
                <w:noProof/>
              </w:rPr>
              <w:t>]</w:t>
            </w:r>
          </w:hyperlink>
        </w:p>
        <w:p w:rsidR="00E423B5" w:rsidRDefault="00E423B5">
          <w:pPr>
            <w:pStyle w:val="23"/>
            <w:tabs>
              <w:tab w:val="right" w:leader="dot" w:pos="8296"/>
            </w:tabs>
            <w:rPr>
              <w:rFonts w:eastAsiaTheme="minorEastAsia"/>
              <w:noProof/>
              <w:szCs w:val="22"/>
            </w:rPr>
          </w:pPr>
          <w:hyperlink w:anchor="_Toc145676678" w:history="1">
            <w:r w:rsidRPr="00473BE9">
              <w:rPr>
                <w:rStyle w:val="a9"/>
                <w:rFonts w:ascii="楷体" w:eastAsia="楷体" w:hAnsi="楷体"/>
                <w:b/>
                <w:noProof/>
              </w:rPr>
              <w:t>豆粕/菜粕：现货基差高位支撑期价</w:t>
            </w:r>
          </w:hyperlink>
        </w:p>
        <w:p w:rsidR="00E423B5" w:rsidRDefault="00E423B5">
          <w:pPr>
            <w:pStyle w:val="23"/>
            <w:tabs>
              <w:tab w:val="right" w:leader="dot" w:pos="8296"/>
            </w:tabs>
            <w:rPr>
              <w:rFonts w:eastAsiaTheme="minorEastAsia"/>
              <w:noProof/>
              <w:szCs w:val="22"/>
            </w:rPr>
          </w:pPr>
          <w:hyperlink w:anchor="_Toc145676679" w:history="1">
            <w:r w:rsidRPr="00473BE9">
              <w:rPr>
                <w:rStyle w:val="a9"/>
                <w:rFonts w:ascii="楷体" w:eastAsia="楷体" w:hAnsi="楷体"/>
                <w:b/>
                <w:noProof/>
              </w:rPr>
              <w:t>油脂：预计维持区间宽幅震荡</w:t>
            </w:r>
          </w:hyperlink>
        </w:p>
        <w:p w:rsidR="00E423B5" w:rsidRDefault="00E423B5">
          <w:pPr>
            <w:pStyle w:val="23"/>
            <w:tabs>
              <w:tab w:val="right" w:leader="dot" w:pos="8296"/>
            </w:tabs>
            <w:rPr>
              <w:rFonts w:eastAsiaTheme="minorEastAsia"/>
              <w:noProof/>
              <w:szCs w:val="22"/>
            </w:rPr>
          </w:pPr>
          <w:hyperlink w:anchor="_Toc145676680" w:history="1">
            <w:r w:rsidRPr="00473BE9">
              <w:rPr>
                <w:rStyle w:val="a9"/>
                <w:rFonts w:ascii="楷体" w:eastAsia="楷体" w:hAnsi="楷体"/>
                <w:b/>
                <w:bCs/>
                <w:noProof/>
              </w:rPr>
              <w:t>玉米与淀粉：</w:t>
            </w:r>
            <w:r w:rsidRPr="00473BE9">
              <w:rPr>
                <w:rStyle w:val="a9"/>
                <w:rFonts w:ascii="楷体" w:eastAsia="楷体" w:hAnsi="楷体"/>
                <w:b/>
                <w:noProof/>
              </w:rPr>
              <w:t>华北产区现货带动期价低位反弹</w:t>
            </w:r>
          </w:hyperlink>
        </w:p>
        <w:p w:rsidR="00E423B5" w:rsidRDefault="00E423B5">
          <w:pPr>
            <w:pStyle w:val="23"/>
            <w:tabs>
              <w:tab w:val="right" w:leader="dot" w:pos="8296"/>
            </w:tabs>
            <w:rPr>
              <w:rFonts w:eastAsiaTheme="minorEastAsia"/>
              <w:noProof/>
              <w:szCs w:val="22"/>
            </w:rPr>
          </w:pPr>
          <w:hyperlink w:anchor="_Toc145676681" w:history="1">
            <w:r w:rsidRPr="00473BE9">
              <w:rPr>
                <w:rStyle w:val="a9"/>
                <w:rFonts w:ascii="楷体" w:eastAsia="楷体" w:hAnsi="楷体"/>
                <w:b/>
                <w:bCs/>
                <w:noProof/>
              </w:rPr>
              <w:t>畜禽养殖：期价窄幅震荡</w:t>
            </w:r>
          </w:hyperlink>
        </w:p>
        <w:p w:rsidR="00E423B5" w:rsidRDefault="00E423B5">
          <w:pPr>
            <w:pStyle w:val="23"/>
            <w:tabs>
              <w:tab w:val="right" w:leader="dot" w:pos="8296"/>
            </w:tabs>
            <w:rPr>
              <w:rFonts w:eastAsiaTheme="minorEastAsia"/>
              <w:noProof/>
              <w:szCs w:val="22"/>
            </w:rPr>
          </w:pPr>
          <w:hyperlink w:anchor="_Toc145676682" w:history="1">
            <w:r w:rsidRPr="00473BE9">
              <w:rPr>
                <w:rStyle w:val="a9"/>
                <w:rFonts w:ascii="楷体" w:eastAsia="楷体" w:hAnsi="楷体"/>
                <w:b/>
                <w:noProof/>
              </w:rPr>
              <w:t>郑棉：低位多单或看跌期权卖权持有</w:t>
            </w:r>
          </w:hyperlink>
        </w:p>
        <w:p w:rsidR="00E423B5" w:rsidRDefault="00E423B5">
          <w:pPr>
            <w:pStyle w:val="23"/>
            <w:tabs>
              <w:tab w:val="right" w:leader="dot" w:pos="8296"/>
            </w:tabs>
            <w:rPr>
              <w:rFonts w:eastAsiaTheme="minorEastAsia"/>
              <w:noProof/>
              <w:szCs w:val="22"/>
            </w:rPr>
          </w:pPr>
          <w:hyperlink w:anchor="_Toc145676683" w:history="1">
            <w:r w:rsidRPr="00473BE9">
              <w:rPr>
                <w:rStyle w:val="a9"/>
                <w:rFonts w:ascii="楷体" w:eastAsia="楷体" w:hAnsi="楷体"/>
                <w:b/>
                <w:noProof/>
              </w:rPr>
              <w:t>白糖：看跌期权卖权持有，低多暂时离场观望</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567665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5676654"/>
      <w:bookmarkEnd w:id="4"/>
      <w:r>
        <w:rPr>
          <w:rFonts w:ascii="Times New Roman" w:eastAsia="楷体" w:hAnsi="Times New Roman" w:hint="eastAsia"/>
          <w:b/>
          <w:color w:val="000000" w:themeColor="text1"/>
          <w:sz w:val="24"/>
          <w:szCs w:val="24"/>
        </w:rPr>
        <w:t>股指：</w:t>
      </w:r>
      <w:bookmarkEnd w:id="6"/>
      <w:bookmarkEnd w:id="7"/>
      <w:r w:rsidR="00E423B5" w:rsidRPr="00E423B5">
        <w:rPr>
          <w:rFonts w:ascii="Times New Roman" w:eastAsia="楷体" w:hAnsi="Times New Roman" w:hint="eastAsia"/>
          <w:b/>
          <w:color w:val="000000" w:themeColor="text1"/>
          <w:sz w:val="24"/>
          <w:szCs w:val="24"/>
        </w:rPr>
        <w:t>IM</w:t>
      </w:r>
      <w:r w:rsidR="00E423B5" w:rsidRPr="00E423B5">
        <w:rPr>
          <w:rFonts w:ascii="Times New Roman" w:eastAsia="楷体" w:hAnsi="Times New Roman" w:hint="eastAsia"/>
          <w:b/>
          <w:color w:val="000000" w:themeColor="text1"/>
          <w:sz w:val="24"/>
          <w:szCs w:val="24"/>
        </w:rPr>
        <w:t>多单轻仓持有</w:t>
      </w:r>
      <w:bookmarkEnd w:id="8"/>
    </w:p>
    <w:p w:rsidR="003F56A5" w:rsidRDefault="00E423B5" w:rsidP="00D14B3E">
      <w:pPr>
        <w:ind w:leftChars="300" w:left="630"/>
        <w:rPr>
          <w:rFonts w:ascii="Times New Roman" w:eastAsia="楷体" w:hAnsi="Times New Roman"/>
          <w:color w:val="000000" w:themeColor="text1"/>
          <w:sz w:val="24"/>
          <w:szCs w:val="24"/>
        </w:rPr>
      </w:pPr>
      <w:r w:rsidRPr="00E423B5">
        <w:rPr>
          <w:rFonts w:ascii="Times New Roman" w:eastAsia="楷体" w:hAnsi="Times New Roman" w:hint="eastAsia"/>
          <w:color w:val="000000" w:themeColor="text1"/>
          <w:sz w:val="24"/>
          <w:szCs w:val="24"/>
        </w:rPr>
        <w:t>昨日盘后央行降准释放流动性，约</w:t>
      </w:r>
      <w:r w:rsidRPr="00E423B5">
        <w:rPr>
          <w:rFonts w:ascii="Times New Roman" w:eastAsia="楷体" w:hAnsi="Times New Roman" w:hint="eastAsia"/>
          <w:color w:val="000000" w:themeColor="text1"/>
          <w:sz w:val="24"/>
          <w:szCs w:val="24"/>
        </w:rPr>
        <w:t>5000</w:t>
      </w:r>
      <w:r w:rsidRPr="00E423B5">
        <w:rPr>
          <w:rFonts w:ascii="Times New Roman" w:eastAsia="楷体" w:hAnsi="Times New Roman" w:hint="eastAsia"/>
          <w:color w:val="000000" w:themeColor="text1"/>
          <w:sz w:val="24"/>
          <w:szCs w:val="24"/>
        </w:rPr>
        <w:t>亿资金，预计资金或在债市博弈，对股市边际利好不宜高估。当前市场矛盾仍主要集中在外围环境及国内政策效果存量博弈下，市场交投情绪较低，仍是震荡磨底行情</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567665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5676656"/>
      <w:r>
        <w:rPr>
          <w:rFonts w:ascii="Times New Roman" w:eastAsia="楷体" w:hAnsi="Times New Roman" w:hint="eastAsia"/>
          <w:b/>
          <w:color w:val="000000" w:themeColor="text1"/>
          <w:sz w:val="24"/>
          <w:szCs w:val="24"/>
        </w:rPr>
        <w:t>贵金属：</w:t>
      </w:r>
      <w:r w:rsidR="00E423B5" w:rsidRPr="00E423B5">
        <w:rPr>
          <w:rFonts w:ascii="Times New Roman" w:eastAsia="楷体" w:hAnsi="Times New Roman" w:hint="eastAsia"/>
          <w:b/>
          <w:color w:val="000000" w:themeColor="text1"/>
          <w:sz w:val="24"/>
          <w:szCs w:val="24"/>
        </w:rPr>
        <w:t>美国生产端通胀超预期上行，贵金属价格大幅反弹</w:t>
      </w:r>
      <w:bookmarkEnd w:id="10"/>
    </w:p>
    <w:p w:rsidR="003F56A5" w:rsidRDefault="00E423B5">
      <w:pPr>
        <w:ind w:leftChars="300" w:left="630"/>
        <w:rPr>
          <w:rFonts w:ascii="Times New Roman" w:eastAsia="楷体" w:hAnsi="Times New Roman"/>
          <w:sz w:val="24"/>
          <w:szCs w:val="24"/>
        </w:rPr>
      </w:pPr>
      <w:r w:rsidRPr="00E423B5">
        <w:rPr>
          <w:rFonts w:ascii="Times New Roman" w:eastAsia="楷体" w:hAnsi="Times New Roman" w:hint="eastAsia"/>
          <w:color w:val="000000" w:themeColor="text1"/>
          <w:sz w:val="24"/>
          <w:szCs w:val="24"/>
        </w:rPr>
        <w:t>美国生产端通胀超预期上行，主要受油价等能源成本上升所推动，服务通胀增速则有所放缓。美国</w:t>
      </w:r>
      <w:r w:rsidRPr="00E423B5">
        <w:rPr>
          <w:rFonts w:ascii="Times New Roman" w:eastAsia="楷体" w:hAnsi="Times New Roman" w:hint="eastAsia"/>
          <w:color w:val="000000" w:themeColor="text1"/>
          <w:sz w:val="24"/>
          <w:szCs w:val="24"/>
        </w:rPr>
        <w:t>8</w:t>
      </w:r>
      <w:r w:rsidRPr="00E423B5">
        <w:rPr>
          <w:rFonts w:ascii="Times New Roman" w:eastAsia="楷体" w:hAnsi="Times New Roman" w:hint="eastAsia"/>
          <w:color w:val="000000" w:themeColor="text1"/>
          <w:sz w:val="24"/>
          <w:szCs w:val="24"/>
        </w:rPr>
        <w:t>月</w:t>
      </w:r>
      <w:r w:rsidRPr="00E423B5">
        <w:rPr>
          <w:rFonts w:ascii="Times New Roman" w:eastAsia="楷体" w:hAnsi="Times New Roman" w:hint="eastAsia"/>
          <w:color w:val="000000" w:themeColor="text1"/>
          <w:sz w:val="24"/>
          <w:szCs w:val="24"/>
        </w:rPr>
        <w:t>PPI</w:t>
      </w:r>
      <w:r w:rsidRPr="00E423B5">
        <w:rPr>
          <w:rFonts w:ascii="Times New Roman" w:eastAsia="楷体" w:hAnsi="Times New Roman" w:hint="eastAsia"/>
          <w:color w:val="000000" w:themeColor="text1"/>
          <w:sz w:val="24"/>
          <w:szCs w:val="24"/>
        </w:rPr>
        <w:t>同比增</w:t>
      </w:r>
      <w:r w:rsidRPr="00E423B5">
        <w:rPr>
          <w:rFonts w:ascii="Times New Roman" w:eastAsia="楷体" w:hAnsi="Times New Roman" w:hint="eastAsia"/>
          <w:color w:val="000000" w:themeColor="text1"/>
          <w:sz w:val="24"/>
          <w:szCs w:val="24"/>
        </w:rPr>
        <w:t>1.6%</w:t>
      </w:r>
      <w:r w:rsidRPr="00E423B5">
        <w:rPr>
          <w:rFonts w:ascii="Times New Roman" w:eastAsia="楷体" w:hAnsi="Times New Roman" w:hint="eastAsia"/>
          <w:color w:val="000000" w:themeColor="text1"/>
          <w:sz w:val="24"/>
          <w:szCs w:val="24"/>
        </w:rPr>
        <w:t>，较上月而言上行</w:t>
      </w:r>
      <w:r w:rsidRPr="00E423B5">
        <w:rPr>
          <w:rFonts w:ascii="Times New Roman" w:eastAsia="楷体" w:hAnsi="Times New Roman" w:hint="eastAsia"/>
          <w:color w:val="000000" w:themeColor="text1"/>
          <w:sz w:val="24"/>
          <w:szCs w:val="24"/>
        </w:rPr>
        <w:t>0.7</w:t>
      </w:r>
      <w:r w:rsidRPr="00E423B5">
        <w:rPr>
          <w:rFonts w:ascii="Times New Roman" w:eastAsia="楷体" w:hAnsi="Times New Roman" w:hint="eastAsia"/>
          <w:color w:val="000000" w:themeColor="text1"/>
          <w:sz w:val="24"/>
          <w:szCs w:val="24"/>
        </w:rPr>
        <w:t>个百分点，高于此前预期。美国</w:t>
      </w:r>
      <w:r w:rsidRPr="00E423B5">
        <w:rPr>
          <w:rFonts w:ascii="Times New Roman" w:eastAsia="楷体" w:hAnsi="Times New Roman" w:hint="eastAsia"/>
          <w:color w:val="000000" w:themeColor="text1"/>
          <w:sz w:val="24"/>
          <w:szCs w:val="24"/>
        </w:rPr>
        <w:t>8</w:t>
      </w:r>
      <w:r w:rsidRPr="00E423B5">
        <w:rPr>
          <w:rFonts w:ascii="Times New Roman" w:eastAsia="楷体" w:hAnsi="Times New Roman" w:hint="eastAsia"/>
          <w:color w:val="000000" w:themeColor="text1"/>
          <w:sz w:val="24"/>
          <w:szCs w:val="24"/>
        </w:rPr>
        <w:t>月</w:t>
      </w:r>
      <w:r w:rsidRPr="00E423B5">
        <w:rPr>
          <w:rFonts w:ascii="Times New Roman" w:eastAsia="楷体" w:hAnsi="Times New Roman" w:hint="eastAsia"/>
          <w:color w:val="000000" w:themeColor="text1"/>
          <w:sz w:val="24"/>
          <w:szCs w:val="24"/>
        </w:rPr>
        <w:t>PPI</w:t>
      </w:r>
      <w:r w:rsidRPr="00E423B5">
        <w:rPr>
          <w:rFonts w:ascii="Times New Roman" w:eastAsia="楷体" w:hAnsi="Times New Roman" w:hint="eastAsia"/>
          <w:color w:val="000000" w:themeColor="text1"/>
          <w:sz w:val="24"/>
          <w:szCs w:val="24"/>
        </w:rPr>
        <w:t>环比增</w:t>
      </w:r>
      <w:r w:rsidRPr="00E423B5">
        <w:rPr>
          <w:rFonts w:ascii="Times New Roman" w:eastAsia="楷体" w:hAnsi="Times New Roman" w:hint="eastAsia"/>
          <w:color w:val="000000" w:themeColor="text1"/>
          <w:sz w:val="24"/>
          <w:szCs w:val="24"/>
        </w:rPr>
        <w:t>0.7%</w:t>
      </w:r>
      <w:r w:rsidRPr="00E423B5">
        <w:rPr>
          <w:rFonts w:ascii="Times New Roman" w:eastAsia="楷体" w:hAnsi="Times New Roman" w:hint="eastAsia"/>
          <w:color w:val="000000" w:themeColor="text1"/>
          <w:sz w:val="24"/>
          <w:szCs w:val="24"/>
        </w:rPr>
        <w:t>，较上月而言上行</w:t>
      </w:r>
      <w:r w:rsidRPr="00E423B5">
        <w:rPr>
          <w:rFonts w:ascii="Times New Roman" w:eastAsia="楷体" w:hAnsi="Times New Roman" w:hint="eastAsia"/>
          <w:color w:val="000000" w:themeColor="text1"/>
          <w:sz w:val="24"/>
          <w:szCs w:val="24"/>
        </w:rPr>
        <w:t>0.3</w:t>
      </w:r>
      <w:r w:rsidRPr="00E423B5">
        <w:rPr>
          <w:rFonts w:ascii="Times New Roman" w:eastAsia="楷体" w:hAnsi="Times New Roman" w:hint="eastAsia"/>
          <w:color w:val="000000" w:themeColor="text1"/>
          <w:sz w:val="24"/>
          <w:szCs w:val="24"/>
        </w:rPr>
        <w:t>个百分点。当前较为顽固的通胀使得美联储未来的货币政策抉择面临更多的不确定性，不排除年内美联储仍将进一步加息。此前美联储鲍威尔主席曾在杰克逊霍尔央行年会上表示，经济活动强于预期，但存在再次收紧货币政策的可能性。沪金、沪银大幅反弹，市场预期美国利率水平将长期维持高位，</w:t>
      </w:r>
      <w:r w:rsidRPr="00E423B5">
        <w:rPr>
          <w:rFonts w:ascii="Times New Roman" w:eastAsia="楷体" w:hAnsi="Times New Roman" w:hint="eastAsia"/>
          <w:color w:val="000000" w:themeColor="text1"/>
          <w:sz w:val="24"/>
          <w:szCs w:val="24"/>
        </w:rPr>
        <w:t>9</w:t>
      </w:r>
      <w:r w:rsidRPr="00E423B5">
        <w:rPr>
          <w:rFonts w:ascii="Times New Roman" w:eastAsia="楷体" w:hAnsi="Times New Roman" w:hint="eastAsia"/>
          <w:color w:val="000000" w:themeColor="text1"/>
          <w:sz w:val="24"/>
          <w:szCs w:val="24"/>
        </w:rPr>
        <w:t>月或暂缓加息，建议内盘贵金属以逢低做多思路为主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56766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5676658"/>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E423B5" w:rsidRPr="00E423B5">
        <w:rPr>
          <w:rFonts w:ascii="楷体" w:eastAsia="楷体" w:hAnsi="楷体" w:hint="eastAsia"/>
          <w:b/>
          <w:color w:val="000000" w:themeColor="text1"/>
          <w:sz w:val="24"/>
          <w:szCs w:val="24"/>
        </w:rPr>
        <w:t>上游供应增量预期释放，锂盐现货维持弱势</w:t>
      </w:r>
      <w:bookmarkEnd w:id="18"/>
    </w:p>
    <w:p w:rsidR="00F50569" w:rsidRDefault="00E423B5" w:rsidP="00F50569">
      <w:pPr>
        <w:ind w:leftChars="300" w:left="630"/>
        <w:rPr>
          <w:rFonts w:ascii="楷体" w:eastAsia="楷体" w:hAnsi="楷体"/>
          <w:color w:val="000000" w:themeColor="text1"/>
          <w:sz w:val="24"/>
          <w:szCs w:val="24"/>
        </w:rPr>
      </w:pPr>
      <w:r w:rsidRPr="00E423B5">
        <w:rPr>
          <w:rFonts w:ascii="楷体" w:eastAsia="楷体" w:hAnsi="楷体" w:hint="eastAsia"/>
          <w:color w:val="000000" w:themeColor="text1"/>
          <w:sz w:val="24"/>
          <w:szCs w:val="24"/>
        </w:rPr>
        <w:t>部分厂商成本倒挂，锂盐维持供过于求。因青海部分企业近期宣布出货计划，以及部分大型生产企业陆续去库，锂盐供应增量预期释放，锂价持续承压，周内现货价格下行，期价向下跌破17万元/吨一线。磷酸铁锂、三元材料制造成本随原材料价格下行而回落，因需求疲软，下游多数维持刚需生产，消耗此前原材料库存，市场活跃度偏低。终端需求未见明显改善，下游暂未启动批量采购，压价情绪浓厚，锂价或维持偏弱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5676659"/>
      <w:r>
        <w:rPr>
          <w:rFonts w:ascii="楷体" w:eastAsia="楷体" w:hAnsi="楷体" w:hint="eastAsia"/>
          <w:b/>
          <w:color w:val="000000" w:themeColor="text1"/>
          <w:sz w:val="24"/>
          <w:szCs w:val="24"/>
        </w:rPr>
        <w:t>螺纹钢：</w:t>
      </w:r>
      <w:bookmarkEnd w:id="16"/>
      <w:bookmarkEnd w:id="17"/>
      <w:r w:rsidR="00BE1EFD" w:rsidRPr="00BE1EFD">
        <w:rPr>
          <w:rFonts w:ascii="楷体" w:eastAsia="楷体" w:hAnsi="楷体" w:hint="eastAsia"/>
          <w:b/>
          <w:color w:val="000000" w:themeColor="text1"/>
          <w:sz w:val="24"/>
          <w:szCs w:val="24"/>
        </w:rPr>
        <w:t>供需结构好转，短期继续震荡上行</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BE1EFD" w:rsidP="00201944">
      <w:pPr>
        <w:ind w:leftChars="300" w:left="630"/>
        <w:rPr>
          <w:rFonts w:ascii="楷体" w:eastAsia="楷体" w:hAnsi="楷体"/>
          <w:color w:val="000000" w:themeColor="text1"/>
          <w:sz w:val="24"/>
          <w:szCs w:val="24"/>
        </w:rPr>
      </w:pPr>
      <w:r w:rsidRPr="00BE1EFD">
        <w:rPr>
          <w:rFonts w:ascii="楷体" w:eastAsia="楷体" w:hAnsi="楷体" w:hint="eastAsia"/>
          <w:color w:val="000000" w:themeColor="text1"/>
          <w:sz w:val="24"/>
          <w:szCs w:val="24"/>
        </w:rPr>
        <w:t>减产去库下，螺纹钢供需结构有所好转，现货温和上涨。短期粗钢产量高企下，成本端驱动仍偏强，价格或继续震荡上行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5676660"/>
      <w:r>
        <w:rPr>
          <w:rFonts w:ascii="楷体" w:eastAsia="楷体" w:hAnsi="楷体" w:hint="eastAsia"/>
          <w:b/>
          <w:color w:val="000000" w:themeColor="text1"/>
          <w:sz w:val="24"/>
          <w:szCs w:val="24"/>
        </w:rPr>
        <w:t>焦炭：</w:t>
      </w:r>
      <w:bookmarkEnd w:id="20"/>
      <w:bookmarkEnd w:id="21"/>
      <w:r w:rsidR="00BE1EFD" w:rsidRPr="00BE1EFD">
        <w:rPr>
          <w:rFonts w:ascii="楷体" w:eastAsia="楷体" w:hAnsi="楷体" w:hint="eastAsia"/>
          <w:b/>
          <w:color w:val="000000" w:themeColor="text1"/>
          <w:sz w:val="24"/>
          <w:szCs w:val="24"/>
        </w:rPr>
        <w:t>港口焦炭价格偏稳，价格或高位继续偏强运行</w:t>
      </w:r>
      <w:bookmarkEnd w:id="22"/>
    </w:p>
    <w:p w:rsidR="003F56A5" w:rsidRDefault="00BE1EFD" w:rsidP="00572E35">
      <w:pPr>
        <w:ind w:leftChars="300" w:left="630"/>
        <w:rPr>
          <w:rFonts w:ascii="楷体" w:eastAsia="楷体" w:hAnsi="楷体"/>
          <w:color w:val="000000" w:themeColor="text1"/>
          <w:sz w:val="24"/>
          <w:szCs w:val="24"/>
        </w:rPr>
      </w:pPr>
      <w:r w:rsidRPr="00BE1EFD">
        <w:rPr>
          <w:rFonts w:ascii="楷体" w:eastAsia="楷体" w:hAnsi="楷体" w:hint="eastAsia"/>
          <w:color w:val="000000" w:themeColor="text1"/>
          <w:sz w:val="24"/>
          <w:szCs w:val="24"/>
        </w:rPr>
        <w:t>港口现货价格保持平稳，各类配煤补涨下成本驱动较强，但部分成材处于亏损，提涨或需博弈较长时间。短期盘面升水幅度较大，等待现货提涨落地，整体或震荡偏强运行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5676661"/>
      <w:r>
        <w:rPr>
          <w:rFonts w:ascii="楷体" w:eastAsia="楷体" w:hAnsi="楷体" w:hint="eastAsia"/>
          <w:b/>
          <w:color w:val="000000" w:themeColor="text1"/>
          <w:sz w:val="24"/>
          <w:szCs w:val="24"/>
        </w:rPr>
        <w:t>焦煤：</w:t>
      </w:r>
      <w:r w:rsidR="00BE1EFD" w:rsidRPr="00BE1EFD">
        <w:rPr>
          <w:rFonts w:ascii="楷体" w:eastAsia="楷体" w:hAnsi="楷体" w:hint="eastAsia"/>
          <w:b/>
          <w:sz w:val="24"/>
          <w:szCs w:val="24"/>
        </w:rPr>
        <w:t>成材或打开空间，价格或高位继续偏强运行</w:t>
      </w:r>
      <w:bookmarkEnd w:id="23"/>
    </w:p>
    <w:p w:rsidR="003F56A5" w:rsidRDefault="00BE1EFD">
      <w:pPr>
        <w:ind w:leftChars="300" w:left="630"/>
        <w:rPr>
          <w:rFonts w:ascii="楷体" w:eastAsia="楷体" w:hAnsi="楷体"/>
          <w:bCs/>
          <w:sz w:val="24"/>
          <w:szCs w:val="24"/>
        </w:rPr>
      </w:pPr>
      <w:r w:rsidRPr="00BE1EFD">
        <w:rPr>
          <w:rFonts w:ascii="楷体" w:eastAsia="楷体" w:hAnsi="楷体" w:hint="eastAsia"/>
          <w:sz w:val="24"/>
          <w:szCs w:val="24"/>
        </w:rPr>
        <w:t>焦煤现货价格偏稳，短期焦煤独立驱动或接近边际状态，短期等待成材继续继续上行打开空间，国庆前下游补库或成为价格主要驱动。当前海外价</w:t>
      </w:r>
      <w:r w:rsidRPr="00BE1EFD">
        <w:rPr>
          <w:rFonts w:ascii="楷体" w:eastAsia="楷体" w:hAnsi="楷体" w:hint="eastAsia"/>
          <w:sz w:val="24"/>
          <w:szCs w:val="24"/>
        </w:rPr>
        <w:lastRenderedPageBreak/>
        <w:t>格煤价仍继续上行，短期价格高位偏强震荡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5676662"/>
      <w:r>
        <w:rPr>
          <w:rFonts w:ascii="楷体" w:eastAsia="楷体" w:hAnsi="楷体" w:hint="eastAsia"/>
          <w:b/>
          <w:color w:val="000000" w:themeColor="text1"/>
          <w:sz w:val="24"/>
          <w:szCs w:val="24"/>
        </w:rPr>
        <w:t>铜：</w:t>
      </w:r>
      <w:bookmarkEnd w:id="24"/>
      <w:bookmarkEnd w:id="25"/>
      <w:r w:rsidR="00BE1EFD" w:rsidRPr="00BE1EFD">
        <w:rPr>
          <w:rFonts w:ascii="楷体" w:eastAsia="楷体" w:hAnsi="楷体" w:hint="eastAsia"/>
          <w:b/>
          <w:color w:val="000000" w:themeColor="text1"/>
          <w:sz w:val="24"/>
          <w:szCs w:val="24"/>
        </w:rPr>
        <w:t>区间震荡运行</w:t>
      </w:r>
      <w:bookmarkEnd w:id="26"/>
    </w:p>
    <w:p w:rsidR="00BE1EFD" w:rsidRPr="00BE1EFD" w:rsidRDefault="00BE1EFD" w:rsidP="00BE1EFD">
      <w:pPr>
        <w:ind w:leftChars="300" w:left="630"/>
        <w:rPr>
          <w:rFonts w:ascii="楷体" w:eastAsia="楷体" w:hAnsi="楷体" w:hint="eastAsia"/>
          <w:color w:val="000000" w:themeColor="text1"/>
          <w:sz w:val="24"/>
          <w:szCs w:val="24"/>
        </w:rPr>
      </w:pPr>
      <w:r w:rsidRPr="00BE1EFD">
        <w:rPr>
          <w:rFonts w:ascii="楷体" w:eastAsia="楷体" w:hAnsi="楷体" w:hint="eastAsia"/>
          <w:color w:val="000000" w:themeColor="text1"/>
          <w:sz w:val="24"/>
          <w:szCs w:val="24"/>
        </w:rPr>
        <w:t>(1)宏观：中国央行周四发布公告将于9月15日下调金融机构存款准备金率0.25个百分点（不含已执行5%存款准备金率的金融机构）。本次下调后，金融机构加权平均存款准备金率约为7.4%。有测算显示，此次降准将释放中长期流动性超过5000亿元人民币。</w:t>
      </w:r>
    </w:p>
    <w:p w:rsidR="00BE1EFD" w:rsidRPr="00BE1EFD" w:rsidRDefault="00BE1EFD" w:rsidP="00BE1EFD">
      <w:pPr>
        <w:ind w:leftChars="300" w:left="630"/>
        <w:rPr>
          <w:rFonts w:ascii="楷体" w:eastAsia="楷体" w:hAnsi="楷体" w:hint="eastAsia"/>
          <w:color w:val="000000" w:themeColor="text1"/>
          <w:sz w:val="24"/>
          <w:szCs w:val="24"/>
        </w:rPr>
      </w:pPr>
      <w:r w:rsidRPr="00BE1EFD">
        <w:rPr>
          <w:rFonts w:ascii="楷体" w:eastAsia="楷体" w:hAnsi="楷体" w:hint="eastAsia"/>
          <w:color w:val="000000" w:themeColor="text1"/>
          <w:sz w:val="24"/>
          <w:szCs w:val="24"/>
        </w:rPr>
        <w:t>(2)库存：9月14日，SHFE仓单库存8347吨，增1448吨；LME仓单库存143375吨，减25吨。</w:t>
      </w:r>
    </w:p>
    <w:p w:rsidR="00BE1EFD" w:rsidRPr="00BE1EFD" w:rsidRDefault="00BE1EFD" w:rsidP="00BE1EFD">
      <w:pPr>
        <w:ind w:leftChars="300" w:left="630"/>
        <w:rPr>
          <w:rFonts w:ascii="楷体" w:eastAsia="楷体" w:hAnsi="楷体" w:hint="eastAsia"/>
          <w:color w:val="000000" w:themeColor="text1"/>
          <w:sz w:val="24"/>
          <w:szCs w:val="24"/>
        </w:rPr>
      </w:pPr>
      <w:r w:rsidRPr="00BE1EFD">
        <w:rPr>
          <w:rFonts w:ascii="楷体" w:eastAsia="楷体" w:hAnsi="楷体" w:hint="eastAsia"/>
          <w:color w:val="000000" w:themeColor="text1"/>
          <w:sz w:val="24"/>
          <w:szCs w:val="24"/>
        </w:rPr>
        <w:t>(3)精废价差：9月14日，Mysteel精废价差1298，收窄146。目前价差在合理价差1394之下。</w:t>
      </w:r>
    </w:p>
    <w:p w:rsidR="00BE1EFD" w:rsidRPr="00BE1EFD" w:rsidRDefault="00BE1EFD" w:rsidP="00BE1EFD">
      <w:pPr>
        <w:ind w:leftChars="300" w:left="630"/>
        <w:rPr>
          <w:rFonts w:ascii="楷体" w:eastAsia="楷体" w:hAnsi="楷体"/>
          <w:color w:val="000000" w:themeColor="text1"/>
          <w:sz w:val="24"/>
          <w:szCs w:val="24"/>
        </w:rPr>
      </w:pPr>
    </w:p>
    <w:p w:rsidR="00127803" w:rsidRPr="00127803" w:rsidRDefault="00BE1EFD" w:rsidP="00BE1EFD">
      <w:pPr>
        <w:ind w:leftChars="300" w:left="630"/>
        <w:rPr>
          <w:rFonts w:ascii="楷体" w:eastAsia="楷体" w:hAnsi="楷体"/>
          <w:color w:val="000000" w:themeColor="text1"/>
          <w:sz w:val="24"/>
          <w:szCs w:val="24"/>
        </w:rPr>
      </w:pPr>
      <w:r w:rsidRPr="00BE1EFD">
        <w:rPr>
          <w:rFonts w:ascii="楷体" w:eastAsia="楷体" w:hAnsi="楷体" w:hint="eastAsia"/>
          <w:color w:val="000000" w:themeColor="text1"/>
          <w:sz w:val="24"/>
          <w:szCs w:val="24"/>
        </w:rPr>
        <w:t>综述：美国8月CPI数据连续两个月回升且高于预期，美联储后期仍有加息可能性，美元指数维持偏强运行，压制铜价。内外库存累积，现货升水低迷，基本面支撑较弱，但临近国庆长假下游存一定补库需求，且国内稳增长不断发力下，9-10月现实消费仍待进一步验证，短期趋势性行情难现，沪铜呈区间震荡运行，参考68000-70000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5676663"/>
      <w:r>
        <w:rPr>
          <w:rFonts w:ascii="楷体" w:eastAsia="楷体" w:hAnsi="楷体" w:hint="eastAsia"/>
          <w:b/>
          <w:color w:val="000000" w:themeColor="text1"/>
          <w:sz w:val="24"/>
          <w:szCs w:val="24"/>
        </w:rPr>
        <w:t>铝：</w:t>
      </w:r>
      <w:bookmarkEnd w:id="27"/>
      <w:bookmarkEnd w:id="28"/>
      <w:r w:rsidR="00E423B5" w:rsidRPr="00E423B5">
        <w:rPr>
          <w:rFonts w:ascii="楷体" w:eastAsia="楷体" w:hAnsi="楷体" w:hint="eastAsia"/>
          <w:b/>
          <w:color w:val="000000" w:themeColor="text1"/>
          <w:sz w:val="24"/>
          <w:szCs w:val="24"/>
        </w:rPr>
        <w:t>国内宏观情绪走涨，指引价格向上运行</w:t>
      </w:r>
      <w:bookmarkEnd w:id="29"/>
    </w:p>
    <w:p w:rsidR="003F56A5" w:rsidRDefault="00E423B5" w:rsidP="00127803">
      <w:pPr>
        <w:ind w:leftChars="300" w:left="630"/>
        <w:rPr>
          <w:rFonts w:ascii="楷体" w:eastAsia="楷体" w:hAnsi="楷体"/>
          <w:color w:val="000000" w:themeColor="text1"/>
          <w:sz w:val="24"/>
          <w:szCs w:val="24"/>
        </w:rPr>
      </w:pPr>
      <w:r w:rsidRPr="00E423B5">
        <w:rPr>
          <w:rFonts w:ascii="楷体" w:eastAsia="楷体" w:hAnsi="楷体" w:hint="eastAsia"/>
          <w:color w:val="000000" w:themeColor="text1"/>
          <w:sz w:val="24"/>
          <w:szCs w:val="24"/>
        </w:rPr>
        <w:t>美国通胀再起，联储加息预期走强，美元指数偏强，有色价格承压，国内央行宣布降低金融机构存款准备金率，保障市场流动性合理充裕。电解铝运行产能维持高位，供应投放仍有增量，新投及复产多为铝水，铝棒库存维持低位小幅走增，铝锭社库库存低位震荡，叠加10月长假前长假有主动补库需求，库存快速累库仍需时间，下游在国家政策大力刺激及传统旺季支撑的情况下市场存有较高预期，实际下游需求暂未出现明显改善。铝市利多有低库存现实叠加下游需求改善预期支撑，利空有供应增量压制上方价格，若需求驱动不足或出现库存有效累库，铝价或再度回落至17000-19500的中值区间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5676664"/>
      <w:r>
        <w:rPr>
          <w:rFonts w:ascii="楷体" w:eastAsia="楷体" w:hAnsi="楷体" w:hint="eastAsia"/>
          <w:b/>
          <w:color w:val="000000" w:themeColor="text1"/>
          <w:sz w:val="24"/>
          <w:szCs w:val="24"/>
        </w:rPr>
        <w:t>锌：</w:t>
      </w:r>
      <w:r w:rsidR="00E423B5" w:rsidRPr="00E423B5">
        <w:rPr>
          <w:rFonts w:ascii="楷体" w:eastAsia="楷体" w:hAnsi="楷体" w:hint="eastAsia"/>
          <w:b/>
          <w:color w:val="000000" w:themeColor="text1"/>
          <w:sz w:val="24"/>
          <w:szCs w:val="24"/>
        </w:rPr>
        <w:t>锌价震荡走升，警惕回落风险</w:t>
      </w:r>
      <w:bookmarkEnd w:id="30"/>
    </w:p>
    <w:p w:rsidR="003F56A5" w:rsidRDefault="00E423B5" w:rsidP="000B0648">
      <w:pPr>
        <w:ind w:leftChars="300" w:left="630"/>
        <w:rPr>
          <w:rFonts w:ascii="楷体" w:eastAsia="楷体" w:hAnsi="楷体"/>
          <w:color w:val="000000" w:themeColor="text1"/>
          <w:sz w:val="24"/>
          <w:szCs w:val="24"/>
        </w:rPr>
      </w:pPr>
      <w:r w:rsidRPr="00E423B5">
        <w:rPr>
          <w:rFonts w:ascii="楷体" w:eastAsia="楷体" w:hAnsi="楷体" w:hint="eastAsia"/>
          <w:color w:val="000000" w:themeColor="text1"/>
          <w:sz w:val="24"/>
          <w:szCs w:val="24"/>
        </w:rPr>
        <w:t>昨日美国通胀数据表现高于预期，联储加息预期走增，美元指数震荡偏强，国内央行宣布降准，提振市场信心。进入9月，国内矿端因进口TC下降及四季度矿产进入淡季及冬储需求有走紧预期，前期部分冶炼厂检修产能恢复，进口供应维持高位，冶炼利润尚可维持厂家投产意愿，精炼锌供应仍维持偏多观点。近期锌价快速走升，下游企业慎重采购，订单量未有明显改善，镀锌开工率周度环比走弱，压铸锌及氧化锌开工周度环比略有修复，整体需求未体现明显走增，关注后续政策对实际消费的刺激情况</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5676665"/>
      <w:r>
        <w:rPr>
          <w:rFonts w:ascii="楷体" w:eastAsia="楷体" w:hAnsi="楷体" w:hint="eastAsia"/>
          <w:b/>
          <w:color w:val="000000" w:themeColor="text1"/>
          <w:sz w:val="24"/>
          <w:szCs w:val="24"/>
        </w:rPr>
        <w:t>镍：</w:t>
      </w:r>
      <w:r w:rsidR="00E423B5" w:rsidRPr="00E423B5">
        <w:rPr>
          <w:rFonts w:ascii="楷体" w:eastAsia="楷体" w:hAnsi="楷体" w:hint="eastAsia"/>
          <w:b/>
          <w:color w:val="000000" w:themeColor="text1"/>
          <w:sz w:val="24"/>
          <w:szCs w:val="24"/>
        </w:rPr>
        <w:t>宏观情绪提振与弱现实面交织</w:t>
      </w:r>
      <w:bookmarkEnd w:id="31"/>
    </w:p>
    <w:p w:rsidR="003F56A5" w:rsidRDefault="00E423B5">
      <w:pPr>
        <w:ind w:leftChars="300" w:left="630"/>
        <w:rPr>
          <w:rFonts w:ascii="楷体" w:eastAsia="楷体" w:hAnsi="楷体"/>
          <w:color w:val="000000" w:themeColor="text1"/>
          <w:sz w:val="24"/>
          <w:szCs w:val="24"/>
        </w:rPr>
      </w:pPr>
      <w:r w:rsidRPr="00E423B5">
        <w:rPr>
          <w:rFonts w:ascii="楷体" w:eastAsia="楷体" w:hAnsi="楷体" w:hint="eastAsia"/>
          <w:color w:val="000000" w:themeColor="text1"/>
          <w:sz w:val="24"/>
          <w:szCs w:val="24"/>
        </w:rPr>
        <w:t>央行超预期降准0.25个百分点，助力经济持续恢复向好，提振市场情绪；美国8月CPI同比反弹至3.7%，通胀表现顽固，美联储货币紧缩政策预期仍存。短期盘面易受宏观情绪扰动，但会随着情绪的消化而回归基本面逻辑。镍价最主要的利空因素在于产能逐步兑现，镍的存量项目和新投产项目产量持续释放，而需求在步入9月传统旺季后未有明显起色。现货市场</w:t>
      </w:r>
      <w:r w:rsidRPr="00E423B5">
        <w:rPr>
          <w:rFonts w:ascii="楷体" w:eastAsia="楷体" w:hAnsi="楷体" w:hint="eastAsia"/>
          <w:color w:val="000000" w:themeColor="text1"/>
          <w:sz w:val="24"/>
          <w:szCs w:val="24"/>
        </w:rPr>
        <w:lastRenderedPageBreak/>
        <w:t>货源充足，贸易商降价以促进出货，现货整体升水持续承压下跌。上周精炼镍社会库存明显累积，LME库存也缓慢上升，但历史低位库存对镍价支撑仍存。此外，印尼镍矿RKAB事件仍在持续，且工厂季节性备库需求强烈，镍矿和镍铁价格坚挺，支撑镍产业链成本</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5676666"/>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5676667"/>
      <w:r>
        <w:rPr>
          <w:rFonts w:ascii="楷体" w:eastAsia="楷体" w:hAnsi="楷体" w:hint="eastAsia"/>
          <w:b/>
          <w:color w:val="000000" w:themeColor="text1"/>
          <w:sz w:val="24"/>
          <w:szCs w:val="24"/>
        </w:rPr>
        <w:t>不锈钢：</w:t>
      </w:r>
      <w:r w:rsidR="00E423B5" w:rsidRPr="00E423B5">
        <w:rPr>
          <w:rFonts w:ascii="楷体" w:eastAsia="楷体" w:hAnsi="楷体" w:hint="eastAsia"/>
          <w:b/>
          <w:color w:val="000000" w:themeColor="text1"/>
          <w:sz w:val="24"/>
          <w:szCs w:val="24"/>
        </w:rPr>
        <w:t>弱基本面与成本端博弈，下跌空间或有限</w:t>
      </w:r>
      <w:bookmarkEnd w:id="33"/>
    </w:p>
    <w:p w:rsidR="003F56A5" w:rsidRDefault="00E423B5">
      <w:pPr>
        <w:ind w:leftChars="300" w:left="630"/>
        <w:rPr>
          <w:rFonts w:ascii="楷体" w:eastAsia="楷体" w:hAnsi="楷体"/>
          <w:color w:val="000000" w:themeColor="text1"/>
          <w:sz w:val="24"/>
          <w:szCs w:val="24"/>
        </w:rPr>
      </w:pPr>
      <w:r w:rsidRPr="00E423B5">
        <w:rPr>
          <w:rFonts w:ascii="楷体" w:eastAsia="楷体" w:hAnsi="楷体" w:hint="eastAsia"/>
          <w:color w:val="000000" w:themeColor="text1"/>
          <w:sz w:val="24"/>
          <w:szCs w:val="24"/>
        </w:rPr>
        <w:t>宏观方面，央行降准0.25个百分点，强化经济复苏预期，宏观情绪边际转暖。不锈钢价格的关注点主要在于印尼镍矿事件的不确定性和需求旺季能否兑现。印尼矿端RKAB事件造成的镍矿供应紧缺局面仍在持续，印尼RKAB审批的简化程序将被取消，目前已换回旧审批程序，镍矿配额签发继续推迟，加上目前处于雨季前的备库期，许多工厂加价询购镍矿，镍矿价格坚挺，高镍铁价格预计维持高位，且高碳铬铁价格也居高不下，成本端为不锈钢价提供强有力支撑。供应端，不锈钢排产高位稳定，据Mysteel调研，8-9月排产已超320万吨，同比居于历史高位。需求端，下游成交氛围仅稍有回暖，仍然处于疲弱状态，需求增量预期等待市场进一步验证。综合而言，不锈钢基本面表现不佳，但在成本支撑因素下，不锈钢下跌空间有限，短期或窄幅震荡偏弱</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5676668"/>
      <w:r>
        <w:rPr>
          <w:rFonts w:ascii="楷体" w:eastAsia="楷体" w:hAnsi="楷体" w:hint="eastAsia"/>
          <w:b/>
          <w:color w:val="000000" w:themeColor="text1"/>
          <w:sz w:val="24"/>
          <w:szCs w:val="24"/>
        </w:rPr>
        <w:t>工业硅：</w:t>
      </w:r>
      <w:r w:rsidR="00BE1EFD" w:rsidRPr="00BE1EFD">
        <w:rPr>
          <w:rFonts w:ascii="楷体" w:eastAsia="楷体" w:hAnsi="楷体" w:hint="eastAsia"/>
          <w:b/>
          <w:sz w:val="24"/>
          <w:szCs w:val="24"/>
        </w:rPr>
        <w:t>多晶硅有望陆续投产，市场看涨心态偏浓</w:t>
      </w:r>
      <w:bookmarkEnd w:id="34"/>
    </w:p>
    <w:p w:rsidR="003F56A5" w:rsidRDefault="00BE1EFD" w:rsidP="00827E8A">
      <w:pPr>
        <w:ind w:leftChars="300" w:left="630"/>
        <w:rPr>
          <w:rFonts w:ascii="楷体" w:eastAsia="楷体" w:hAnsi="楷体"/>
          <w:sz w:val="24"/>
          <w:szCs w:val="24"/>
        </w:rPr>
      </w:pPr>
      <w:r w:rsidRPr="00BE1EFD">
        <w:rPr>
          <w:rFonts w:ascii="楷体" w:eastAsia="楷体" w:hAnsi="楷体" w:hint="eastAsia"/>
          <w:sz w:val="24"/>
          <w:szCs w:val="24"/>
        </w:rPr>
        <w:t>9月14日，Si2311主力合约呈反弹走势，收盘价14590元/吨，较上一收盘价涨跌幅+1.39%。下游核心消费为多晶硅，近期多晶硅个别新项目投产，后续仍有新增项目有望陆续投产，为市场带来需求改善预期，使得看涨心态偏浓。据SMM调研了解，近期磨粉厂及多晶用户采购积极性较高，排单交货时间在一周到三周不等，硅粉实际招标报价也明显上涨。短期来看，现货流通仍将延续偏紧状态，叠加需求改善预期下，预计市场仍有支撑。策略上，建议可继续把握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567666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567667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E423B5" w:rsidRPr="00E423B5">
        <w:rPr>
          <w:rFonts w:ascii="楷体" w:eastAsia="楷体" w:hAnsi="楷体" w:hint="eastAsia"/>
          <w:b/>
          <w:sz w:val="24"/>
          <w:szCs w:val="24"/>
        </w:rPr>
        <w:t>市场继续炒作产区减产 RU偏强震荡</w:t>
      </w:r>
      <w:bookmarkEnd w:id="37"/>
    </w:p>
    <w:p w:rsidR="003F56A5" w:rsidRDefault="00E423B5">
      <w:pPr>
        <w:ind w:leftChars="300" w:left="630"/>
        <w:rPr>
          <w:rFonts w:ascii="楷体" w:eastAsia="楷体" w:hAnsi="楷体"/>
          <w:sz w:val="24"/>
          <w:szCs w:val="24"/>
        </w:rPr>
      </w:pPr>
      <w:r w:rsidRPr="00E423B5">
        <w:rPr>
          <w:rFonts w:ascii="楷体" w:eastAsia="楷体" w:hAnsi="楷体" w:hint="eastAsia"/>
          <w:sz w:val="24"/>
          <w:szCs w:val="24"/>
        </w:rPr>
        <w:t>点评：在经历前两周大幅上涨后，预计短期天胶市场利好因素有所消化，上行压力较大。目前看，供给端，全球天胶产出不及预期，原料价格维持</w:t>
      </w:r>
      <w:r w:rsidRPr="00E423B5">
        <w:rPr>
          <w:rFonts w:ascii="楷体" w:eastAsia="楷体" w:hAnsi="楷体" w:hint="eastAsia"/>
          <w:sz w:val="24"/>
          <w:szCs w:val="24"/>
        </w:rPr>
        <w:lastRenderedPageBreak/>
        <w:t>高位，成品涨幅快于原料端，上游加工利润得以修复，提振市场看多信心。8-9月份天胶到港量偏少，近四周港口库存延续小幅去库态势，提振市场信心。需求端来看，下游轮胎企业开工率高位维持，半钢胎略好于全钢胎，国内稳经济政策将有利于轮胎替换及配套需求的改善。此外，半钢胎外贸雪地胎需求旺盛，将进一步支撑半钢胎开工率高位运行。前期检修的全钢胎厂目前也恢复生产，因此近两周全钢胎开工率提升明显。整体看，轮胎平稳排产、表现强劲。终端汽车方面，8月数据同环比走强，呈现“淡季不淡”，九月汽车消费旺季来临下汽车市场景气度高。此外，十一长假来临，下游工厂存备货行为。整体看，橡胶供应压力小幅缓解，下游轮胎排产顺畅，国内深色胶库存延续去库。供需支撑天胶市场回归现货价值后企稳运行。同时近期市场有轮储消息面炒作，但虚实仍待进一步落实。短期橡胶偏强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567667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423B5" w:rsidRPr="00E423B5">
        <w:rPr>
          <w:rFonts w:ascii="楷体" w:eastAsia="楷体" w:hAnsi="楷体" w:hint="eastAsia"/>
          <w:b/>
          <w:color w:val="000000" w:themeColor="text1"/>
          <w:sz w:val="24"/>
          <w:szCs w:val="24"/>
        </w:rPr>
        <w:t>成本端支撑及低加工费趋势仍偏强</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E423B5" w:rsidP="002C73FE">
      <w:pPr>
        <w:ind w:leftChars="300" w:left="630"/>
        <w:rPr>
          <w:rFonts w:ascii="楷体" w:eastAsia="楷体" w:hAnsi="楷体"/>
          <w:color w:val="000000" w:themeColor="text1"/>
          <w:sz w:val="24"/>
          <w:szCs w:val="24"/>
        </w:rPr>
      </w:pPr>
      <w:r w:rsidRPr="00E423B5">
        <w:rPr>
          <w:rFonts w:ascii="楷体" w:eastAsia="楷体" w:hAnsi="楷体" w:hint="eastAsia"/>
          <w:color w:val="000000" w:themeColor="text1"/>
          <w:sz w:val="24"/>
          <w:szCs w:val="24"/>
        </w:rPr>
        <w:t>受供应端持续收紧促使油价冲高，聚酯原料端整体延续偏强走势。PX方面，浙石化PX900万吨歧化装置近日进行为期2周的计划内检修，预计PX降幅10-15%左右，PX供应收紧预期驱动价格走高。PTA供应方面本周装置变动增多，逸盛海南200万吨，虹港250万吨、蓬威90万吨PTA装置停车，嘉通1线250万吨降负运行，逸盛宁波220万吨短暂降负，至周四PTA负荷降至75.1%（-6.1%）。近期PTA加工费压缩至100元/吨，如果考虑醋酸成本，PTA加工差已到0值以下，低加工费下PTA装置计划外检修增多。需求方面，本周聚酯装置负荷基本持稳，综合负荷整体浮动不大，截至9.14，初步核算国内大陆地区聚酯负荷在92.3%。市场对9-10月份旺季有预期，低库存下预计近期聚酯不会轻易减停产。终端方面，本周织造、印染开机有继续提升，内需转好订单增多，坯布出货增加，需求边际季节性改善。展望后市，低加工费下PTA装置检修增多，成本端支撑仍存+聚酯因库存低位高开工维持需求韧性尚可，旺季逐步兑现PTA期价易涨难跌。关注PTA低多及卖看跌期权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5676672"/>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5676673"/>
      <w:r>
        <w:rPr>
          <w:rFonts w:ascii="楷体" w:eastAsia="楷体" w:hAnsi="楷体" w:hint="eastAsia"/>
          <w:b/>
          <w:color w:val="000000" w:themeColor="text1"/>
          <w:sz w:val="24"/>
          <w:szCs w:val="24"/>
        </w:rPr>
        <w:t>聚烯烃：</w:t>
      </w:r>
      <w:r w:rsidR="00E423B5" w:rsidRPr="00E423B5">
        <w:rPr>
          <w:rFonts w:ascii="楷体" w:eastAsia="楷体" w:hAnsi="楷体" w:hint="eastAsia"/>
          <w:b/>
          <w:color w:val="000000" w:themeColor="text1"/>
          <w:sz w:val="24"/>
          <w:szCs w:val="24"/>
        </w:rPr>
        <w:t>下游刚需补库 聚烯烃维持震荡为主</w:t>
      </w:r>
      <w:bookmarkEnd w:id="40"/>
    </w:p>
    <w:p w:rsidR="003F56A5" w:rsidRDefault="00E423B5">
      <w:pPr>
        <w:ind w:leftChars="300" w:left="630"/>
        <w:rPr>
          <w:rFonts w:ascii="楷体" w:eastAsia="楷体" w:hAnsi="楷体"/>
          <w:bCs/>
          <w:sz w:val="24"/>
          <w:szCs w:val="24"/>
        </w:rPr>
      </w:pPr>
      <w:r w:rsidRPr="00E423B5">
        <w:rPr>
          <w:rFonts w:ascii="楷体" w:eastAsia="楷体" w:hAnsi="楷体" w:hint="eastAsia"/>
          <w:color w:val="000000" w:themeColor="text1"/>
          <w:sz w:val="24"/>
          <w:szCs w:val="24"/>
        </w:rPr>
        <w:lastRenderedPageBreak/>
        <w:t>近期聚烯烃小幅上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对供应趋紧的预期升温，WTI结算价10个月来首次突破每桶90美元。需求方面，PE下游方面，农膜整体需求平平，工厂生产清淡。棚膜工厂多停机检修；PP下游方面，BOPP市场成交刚需有量，整体量较上一交易日增加，BOPP企业未交付订单多数在一周以内，个别可至八月中。综合来看，PE方面，国内传统需求旺季，需求预期向好，临近国庆假期，部分工厂有节日备货计划，采购积极性增加，生产企业和贸易商挺价意向偏强，但生产企业库存和社会仓库库存积累，市场资源消化缓慢，供需矛盾逐渐积累，预计PE价格窄幅震荡为主。PP方面，近期成本端表现坚挺叠加聚丙烯矛盾不足，现货流通货源偏紧，使得价格重心持续上移。往后看，随着价格的走高抑制了下游拿货积极性，使得社会库存出现累积态势，且临近假期，工厂多数完成补库需求，对当下价格接受意愿偏低，预计近期PP面临回调风险</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5676674"/>
      <w:r>
        <w:rPr>
          <w:rFonts w:ascii="楷体" w:eastAsia="楷体" w:hAnsi="楷体" w:hint="eastAsia"/>
          <w:b/>
          <w:color w:val="000000" w:themeColor="text1"/>
          <w:sz w:val="24"/>
          <w:szCs w:val="24"/>
        </w:rPr>
        <w:t>MEG：</w:t>
      </w:r>
      <w:r w:rsidR="00E423B5" w:rsidRPr="00E423B5">
        <w:rPr>
          <w:rFonts w:ascii="楷体" w:eastAsia="楷体" w:hAnsi="楷体" w:hint="eastAsia"/>
          <w:b/>
          <w:color w:val="000000" w:themeColor="text1"/>
          <w:sz w:val="24"/>
          <w:szCs w:val="24"/>
        </w:rPr>
        <w:t>成本提振但后续到港增多压制反弹空间</w:t>
      </w:r>
      <w:bookmarkEnd w:id="41"/>
    </w:p>
    <w:p w:rsidR="003F56A5" w:rsidRDefault="00E423B5" w:rsidP="00115EEA">
      <w:pPr>
        <w:ind w:leftChars="300" w:left="630"/>
        <w:rPr>
          <w:rFonts w:ascii="楷体" w:eastAsia="楷体" w:hAnsi="楷体"/>
          <w:color w:val="000000" w:themeColor="text1"/>
          <w:sz w:val="24"/>
          <w:szCs w:val="24"/>
        </w:rPr>
      </w:pPr>
      <w:r w:rsidRPr="00E423B5">
        <w:rPr>
          <w:rFonts w:ascii="楷体" w:eastAsia="楷体" w:hAnsi="楷体" w:hint="eastAsia"/>
          <w:color w:val="000000" w:themeColor="text1"/>
          <w:sz w:val="24"/>
          <w:szCs w:val="24"/>
        </w:rPr>
        <w:t>商品氛围依旧向好加上成本端提振下乙二醇走势表现坚挺。供需情况，9.11华东主港地区MEG港口库存约117.8万吨附近，环比上期减少1.8万吨，乙二醇目前的累库情况有所缓解。截至9月14日，中国大陆地区乙二醇整体开工负荷在61.69%（-2.44%），其中煤制乙二醇开工负荷在63.42%（较-3.39%）。 目前盛虹炼化1#仍在提负中，榆林化学单线小幅超负荷运行，陕煤渭化停车中，国内开工仍有上行空间，整体供应表现宽松。聚酯下游方面，截至9.14，初步核算国内大陆地区聚酯负荷在92.7%附近。终端开工大幅提升，内销市场应季品采购带动坯布订单改善。江浙加弹综合开工率84%（+1%），江浙织机综合开工率80%（+3%），江浙印染综合开工率83%（+2%）。展望后市，原油及煤炭价格高位，乙二醇成本支撑力度仍强。目前乙二醇存量装置停车较多情况开工率总体收缩明显，提振乙二醇估值修复。聚酯开工高位，乙二醇宽幅震荡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5676675"/>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423B5" w:rsidRPr="00E423B5">
        <w:rPr>
          <w:rFonts w:ascii="楷体" w:eastAsia="楷体" w:hAnsi="楷体" w:hint="eastAsia"/>
          <w:b/>
          <w:color w:val="000000" w:themeColor="text1"/>
          <w:sz w:val="24"/>
          <w:szCs w:val="24"/>
        </w:rPr>
        <w:t>周度累库，区间震荡</w:t>
      </w:r>
      <w:bookmarkEnd w:id="42"/>
    </w:p>
    <w:p w:rsidR="00A71A7E" w:rsidRDefault="00E423B5" w:rsidP="001F79C6">
      <w:pPr>
        <w:ind w:leftChars="300" w:left="630"/>
        <w:rPr>
          <w:rFonts w:ascii="楷体" w:eastAsia="楷体" w:hAnsi="楷体"/>
          <w:color w:val="000000" w:themeColor="text1"/>
          <w:sz w:val="24"/>
          <w:szCs w:val="24"/>
        </w:rPr>
      </w:pPr>
      <w:r w:rsidRPr="00E423B5">
        <w:rPr>
          <w:rFonts w:ascii="楷体" w:eastAsia="楷体" w:hAnsi="楷体" w:hint="eastAsia"/>
          <w:color w:val="000000" w:themeColor="text1"/>
          <w:sz w:val="24"/>
          <w:szCs w:val="24"/>
        </w:rPr>
        <w:t>今日全国均价2064元/吨，环比上一交易日价格持平。库存上，截止到20230914，全国浮法玻璃样本企业总库存4166.6万重箱，环比增加63万重箱，环比+1.54%，同比-45.46%。折库存天数17.6天，较上期+0.2天。需求上，区域产销略有差异，整体市场不温不火，厂家稳价维持出货为主，加工厂多维持刚需采购。供给端，近期两条产线复产，周产量118.4万吨，环比+0.08%，同比+1.06%。预期下旺季迟迟不至，原片厂挺价，下游观望为主，情绪偏空。基本面走弱，盘面延续（1650，1850）区间震荡</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5676676"/>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423B5" w:rsidRPr="00E423B5">
        <w:rPr>
          <w:rFonts w:ascii="楷体" w:eastAsia="楷体" w:hAnsi="楷体" w:hint="eastAsia"/>
          <w:b/>
          <w:color w:val="000000" w:themeColor="text1"/>
          <w:sz w:val="24"/>
          <w:szCs w:val="24"/>
        </w:rPr>
        <w:t>周内小幅累库，反弹后高空为主</w:t>
      </w:r>
      <w:bookmarkEnd w:id="43"/>
    </w:p>
    <w:p w:rsidR="00A71A7E" w:rsidRDefault="00E423B5" w:rsidP="00A71A7E">
      <w:pPr>
        <w:ind w:leftChars="300" w:left="630"/>
        <w:rPr>
          <w:rFonts w:ascii="楷体" w:eastAsia="楷体" w:hAnsi="楷体"/>
          <w:bCs/>
          <w:sz w:val="24"/>
          <w:szCs w:val="24"/>
        </w:rPr>
      </w:pPr>
      <w:r w:rsidRPr="00E423B5">
        <w:rPr>
          <w:rFonts w:ascii="楷体" w:eastAsia="楷体" w:hAnsi="楷体" w:hint="eastAsia"/>
          <w:color w:val="000000" w:themeColor="text1"/>
          <w:sz w:val="24"/>
          <w:szCs w:val="24"/>
        </w:rPr>
        <w:t>今日纯碱价格环比持平，重碱华南最高报3700元/吨，华北和华中最低报价3350元/吨，现货价格以稳价为主。供给方面，周内纯碱产量61.54万吨，环比+6.26万吨，涨幅11.32%。库存上，周内纯碱厂家总库存13.52</w:t>
      </w:r>
      <w:r w:rsidRPr="00E423B5">
        <w:rPr>
          <w:rFonts w:ascii="楷体" w:eastAsia="楷体" w:hAnsi="楷体" w:hint="eastAsia"/>
          <w:color w:val="000000" w:themeColor="text1"/>
          <w:sz w:val="24"/>
          <w:szCs w:val="24"/>
        </w:rPr>
        <w:lastRenderedPageBreak/>
        <w:t>万吨，环比+1.05万吨，涨幅8.42%；周内纯碱待发订单稳中有降，目前维持18+天，基本到月底或下月初，有企业暂不接单。盘面已提前交易周内累库预期，后续主要矛盾在累库节奏上，预计下周检修恢复后产量打到65万吨，累库速度加快。现货稳价下，高基差和远月过剩预期矛盾，短期有反弹的可能性，但供给压力下反弹或将有限，建议反弹逢高空01-04合约</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567667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567667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BE1EFD" w:rsidRPr="00BE1EFD">
        <w:rPr>
          <w:rFonts w:ascii="楷体" w:eastAsia="楷体" w:hAnsi="楷体" w:hint="eastAsia"/>
          <w:b/>
          <w:sz w:val="24"/>
          <w:szCs w:val="24"/>
        </w:rPr>
        <w:t>现货基差高位支撑期价</w:t>
      </w:r>
      <w:bookmarkEnd w:id="45"/>
    </w:p>
    <w:p w:rsidR="003F56A5" w:rsidRDefault="00BE1EFD">
      <w:pPr>
        <w:ind w:leftChars="300" w:left="630"/>
        <w:rPr>
          <w:rFonts w:ascii="楷体" w:eastAsia="楷体" w:hAnsi="楷体"/>
          <w:sz w:val="24"/>
          <w:szCs w:val="24"/>
        </w:rPr>
      </w:pPr>
      <w:r w:rsidRPr="00BE1EFD">
        <w:rPr>
          <w:rFonts w:ascii="楷体" w:eastAsia="楷体" w:hAnsi="楷体" w:hint="eastAsia"/>
          <w:sz w:val="24"/>
          <w:szCs w:val="24"/>
        </w:rPr>
        <w:t>国际方面，美豆产区干旱面积扩大，市场人士认为报告可能没有考虑到近期极端高温对大豆豆荚重量的影响，认为产量仍有下调空间，美豆小幅收涨。23/24年度美豆产量预估为41.46亿蒲式耳，平均单产预计为50.1蒲式英亩。美国2023/24年度大豆期末库存预估下修至2.2亿浦式耳，较去年同比下滑了12%。当前美豆优良率延续低位，截至9月12日当周，美国大豆优良率为52%，前一周为53%，上年同期为56%。后续关注收获及水位情况。国内现货基差小幅承压，但整体延续高位，海关的严格政策还在进行，同时在9-10月份大豆阶段性到港减少下，当前油厂大豆库存有所下降，近一周油厂开机维持中性水平，在刚需备货下油厂豆粕周度库存回落至70.76万吨，当前沿海主流油厂豆粕现货报价下调至4730-4900元/吨。大豆6-8月到港量仍较充裕，8月进口935万吨大豆，今年1-8个月大豆进口量达到7165万吨，同比增长17.9%，但9-10月进口到港预期减少，远月供应担忧支撑11-1基差报价坚挺，关注9月实际到港是否符合预期。需求，下游生猪养殖利润有所下滑，叠加存栏高位，下游维持刚需备货，但近一周市场买货积极性不高，成交清淡。菜粕当前供需基本面有所改善，随着6月份后菜籽到港减少，油厂压榨也在逐步下滑，近一周库存有所回落。而需求方面，水产消费旺季即将结束，菜粕需求预计减少，但随着豆菜粕价差拉大或提振替代需求。策略方面，当前仍未完全转势，豆粕3950支撑较强，建议短线操作，菜粕01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5676679"/>
      <w:r>
        <w:rPr>
          <w:rFonts w:ascii="楷体" w:eastAsia="楷体" w:hAnsi="楷体" w:hint="eastAsia"/>
          <w:b/>
          <w:color w:val="000000" w:themeColor="text1"/>
          <w:sz w:val="24"/>
          <w:szCs w:val="24"/>
        </w:rPr>
        <w:t>油脂：</w:t>
      </w:r>
      <w:r w:rsidR="00BE1EFD" w:rsidRPr="00BE1EFD">
        <w:rPr>
          <w:rFonts w:ascii="楷体" w:eastAsia="楷体" w:hAnsi="楷体" w:hint="eastAsia"/>
          <w:b/>
          <w:sz w:val="24"/>
          <w:szCs w:val="24"/>
        </w:rPr>
        <w:t>预计维持区间宽幅震荡</w:t>
      </w:r>
      <w:bookmarkEnd w:id="46"/>
    </w:p>
    <w:p w:rsidR="003F56A5" w:rsidRDefault="00BE1EFD" w:rsidP="00792D31">
      <w:pPr>
        <w:ind w:leftChars="300" w:left="630"/>
        <w:rPr>
          <w:rFonts w:ascii="楷体" w:eastAsia="楷体" w:hAnsi="楷体"/>
          <w:sz w:val="24"/>
          <w:szCs w:val="24"/>
        </w:rPr>
      </w:pPr>
      <w:r w:rsidRPr="00BE1EFD">
        <w:rPr>
          <w:rFonts w:ascii="楷体" w:eastAsia="楷体" w:hAnsi="楷体" w:hint="eastAsia"/>
          <w:sz w:val="24"/>
          <w:szCs w:val="24"/>
        </w:rPr>
        <w:t>油脂近期在供需多重因素共振下，震荡回调，但在国际原油强劲及需求支撑下，整体仍在震荡区间中。棕榈油，产地季节性增产周期下存继续累库预期，印尼棕榈油6月份在产量环比下滑及出口增加下，库存降幅较大。而马棕产量8月延续增产为175.3万吨，环比提高8.91%，关注产量持续修复情况；同时在8月出口降幅高于预期下，库存增至212.5万吨，环比增长22.54%，高于分析师平均预估189万吨；且机构数据显示9月上旬马来西亚棕榈油出口量环比降低11.2%，预计9月马棕仍将延续累库。国内棕榈油7-8月份进口到港预计维持高位，库存维持同期高位，最新商业库存为68.64万吨，较前一周增加。需求端，当前在豆棕价差拉大下，利好棕榈油下游消费需求，但四季度为棕榈油消费淡季，棕榈油9-10月份预计表现偏弱。豆油存去库预期。国内7-8月进口大豆到港量仍不少，但受海关检验趋严影响，大豆到厂时间延迟，整体压榨水平不高，在消费改善下，将逐步去库。需求端，当前双节前备货仍在继续，且将进入油脂消费旺季，</w:t>
      </w:r>
      <w:r w:rsidRPr="00BE1EFD">
        <w:rPr>
          <w:rFonts w:ascii="楷体" w:eastAsia="楷体" w:hAnsi="楷体" w:hint="eastAsia"/>
          <w:sz w:val="24"/>
          <w:szCs w:val="24"/>
        </w:rPr>
        <w:lastRenderedPageBreak/>
        <w:t>需求存好转预期。菜油在进口菜籽减少下，供应压力减轻。当前主产地菜籽还未集中上市，全球菜籽新作产量不确定性仍存，但当前加籽收割进度加快，上市压力也抑制期价走势。随着8-9月份进口加籽到港量的减少，菜籽开机及压榨水平也有所降低，7月菜籽进口环比下滑64.8%。需求方面，当前去库速度缓慢，与豆油价差持续收窄，库存去化仍需看到替代需求出现。短期建议波段操作，中长期对于油脂维持谨慎看多观点，可关注油脂间套利，空配菜油及逢低多豆棕01</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5676680"/>
      <w:r>
        <w:rPr>
          <w:rFonts w:ascii="楷体" w:eastAsia="楷体" w:hAnsi="楷体" w:hint="eastAsia"/>
          <w:b/>
          <w:bCs/>
          <w:color w:val="000000" w:themeColor="text1"/>
        </w:rPr>
        <w:t>玉米与淀粉：</w:t>
      </w:r>
      <w:r w:rsidR="00BE1EFD" w:rsidRPr="00BE1EFD">
        <w:rPr>
          <w:rFonts w:ascii="楷体" w:eastAsia="楷体" w:hAnsi="楷体" w:hint="eastAsia"/>
          <w:b/>
        </w:rPr>
        <w:t>华北产区现货带动期价低位反弹</w:t>
      </w:r>
      <w:bookmarkEnd w:id="47"/>
    </w:p>
    <w:p w:rsidR="00BE1EFD" w:rsidRPr="00BE1EFD" w:rsidRDefault="00BE1EFD" w:rsidP="00BE1EFD">
      <w:pPr>
        <w:pStyle w:val="paragraph"/>
        <w:spacing w:before="60" w:after="60"/>
        <w:ind w:leftChars="300" w:left="630"/>
        <w:rPr>
          <w:rFonts w:ascii="楷体" w:eastAsia="楷体" w:hAnsi="楷体" w:hint="eastAsia"/>
        </w:rPr>
      </w:pPr>
      <w:r w:rsidRPr="00BE1EFD">
        <w:rPr>
          <w:rFonts w:ascii="楷体" w:eastAsia="楷体" w:hAnsi="楷体" w:hint="eastAsia"/>
        </w:rPr>
        <w:t>对于玉米而言，近期期价滞涨回落，主要源于新作上市压力，由于小麦特别是芽麦及其陈化水稻抛储成交后带来替代供应，市场担心新作玉米上市后现货有望趋于下跌，但在我们看来，在基差高企在很大程度上反映现货下跌预期的情况下，期价继续下跌的空间或有限，主要原因仍然源于前期报告提及的三个方面，即陈化水稻拍卖底价支撑、小麦价格上涨及其中下游库存偏低。与此同时，也应该认识到，当前市场缺乏上涨驱动，据此我们倾向于期价或在8月中旬价格区间内震荡运行。在这种情况下，观点由谨慎看多转为中性，建议谨慎投资者观望，激进投资者可考虑背靠7月持续区间震荡后的起涨点继续持有前期多单。</w:t>
      </w:r>
    </w:p>
    <w:p w:rsidR="003F56A5" w:rsidRDefault="00BE1EFD" w:rsidP="00BE1EFD">
      <w:pPr>
        <w:pStyle w:val="paragraph"/>
        <w:spacing w:before="60" w:beforeAutospacing="0" w:after="60" w:afterAutospacing="0"/>
        <w:ind w:leftChars="300" w:left="630"/>
        <w:rPr>
          <w:rFonts w:ascii="楷体" w:eastAsia="楷体" w:hAnsi="楷体"/>
        </w:rPr>
      </w:pPr>
      <w:r w:rsidRPr="00BE1EFD">
        <w:rPr>
          <w:rFonts w:ascii="楷体" w:eastAsia="楷体" w:hAnsi="楷体" w:hint="eastAsia"/>
        </w:rPr>
        <w:t>对于淀粉而言，近期淀粉-玉米价差影响因素相对偏利多，一方面淀粉副产品价格虽蛋白粕出现回落，另一方面行业出库量高于往年同期，带动行业库存连续环比下滑，供需有所改善。但当前市场不确定性更多源于玉米原料端，即新作上市能带动玉米原料端下跌的空间，与此同时，期价深度贴水有望抑制其下方空间。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5676681"/>
      <w:r>
        <w:rPr>
          <w:rFonts w:ascii="楷体" w:eastAsia="楷体" w:hAnsi="楷体" w:hint="eastAsia"/>
          <w:b/>
          <w:bCs/>
          <w:color w:val="000000" w:themeColor="text1"/>
        </w:rPr>
        <w:t>畜禽养殖：</w:t>
      </w:r>
      <w:r w:rsidR="00BE1EFD" w:rsidRPr="00BE1EFD">
        <w:rPr>
          <w:rFonts w:ascii="楷体" w:eastAsia="楷体" w:hAnsi="楷体" w:hint="eastAsia"/>
          <w:b/>
          <w:bCs/>
          <w:color w:val="000000" w:themeColor="text1"/>
        </w:rPr>
        <w:t>期价窄幅震荡</w:t>
      </w:r>
      <w:bookmarkEnd w:id="48"/>
    </w:p>
    <w:p w:rsidR="00BE1EFD" w:rsidRPr="00BE1EFD" w:rsidRDefault="00BE1EFD" w:rsidP="00BE1EFD">
      <w:pPr>
        <w:pStyle w:val="paragraph"/>
        <w:spacing w:before="60" w:after="60"/>
        <w:ind w:leftChars="300" w:left="630"/>
        <w:rPr>
          <w:rFonts w:ascii="楷体" w:eastAsia="楷体" w:hAnsi="楷体" w:hint="eastAsia"/>
        </w:rPr>
      </w:pPr>
      <w:r w:rsidRPr="00BE1EFD">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从近期现货表现来看，市场供需依旧宽松，涌益咨询数据显示9月计划出栏量环比有较大增幅，期现货继续震荡偏弱的可能性较大，但由于下半年供需改善及其春节前需求预期带来的二次育肥，预计下方空间亦有限。考虑到接下来现货波动的节奏存在分歧，不确定性较大，观点转为中性，不建议投资者单边操作，可少量参与反套交易。</w:t>
      </w:r>
    </w:p>
    <w:p w:rsidR="003F56A5" w:rsidRDefault="00BE1EFD" w:rsidP="00BE1EFD">
      <w:pPr>
        <w:pStyle w:val="paragraph"/>
        <w:spacing w:before="60" w:beforeAutospacing="0" w:after="60" w:afterAutospacing="0"/>
        <w:ind w:leftChars="300" w:left="630"/>
        <w:rPr>
          <w:rFonts w:ascii="楷体" w:eastAsia="楷体" w:hAnsi="楷体"/>
        </w:rPr>
      </w:pPr>
      <w:r w:rsidRPr="00BE1EFD">
        <w:rPr>
          <w:rFonts w:ascii="楷体" w:eastAsia="楷体" w:hAnsi="楷体" w:hint="eastAsia"/>
        </w:rPr>
        <w:lastRenderedPageBreak/>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短期暂维持谨慎看多观点，后期观点或转为中性，甚至转为看空，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5676682"/>
      <w:r>
        <w:rPr>
          <w:rFonts w:ascii="楷体" w:eastAsia="楷体" w:hAnsi="楷体" w:hint="eastAsia"/>
          <w:b/>
          <w:sz w:val="24"/>
          <w:szCs w:val="24"/>
        </w:rPr>
        <w:t>郑棉：</w:t>
      </w:r>
      <w:r w:rsidR="00E423B5" w:rsidRPr="00E423B5">
        <w:rPr>
          <w:rFonts w:ascii="楷体" w:eastAsia="楷体" w:hAnsi="楷体" w:hint="eastAsia"/>
          <w:b/>
          <w:sz w:val="24"/>
          <w:szCs w:val="24"/>
        </w:rPr>
        <w:t>低位多单或看跌期权卖权持有</w:t>
      </w:r>
      <w:bookmarkEnd w:id="49"/>
    </w:p>
    <w:p w:rsidR="003F56A5" w:rsidRDefault="00E423B5" w:rsidP="007B3290">
      <w:pPr>
        <w:ind w:leftChars="300" w:left="630"/>
        <w:rPr>
          <w:rFonts w:ascii="楷体" w:eastAsia="楷体" w:hAnsi="楷体"/>
          <w:sz w:val="24"/>
          <w:szCs w:val="24"/>
        </w:rPr>
      </w:pPr>
      <w:r w:rsidRPr="00E423B5">
        <w:rPr>
          <w:rFonts w:ascii="楷体" w:eastAsia="楷体" w:hAnsi="楷体" w:hint="eastAsia"/>
          <w:sz w:val="24"/>
          <w:szCs w:val="24"/>
        </w:rPr>
        <w:t>8月下旬后，棉花迎来多个政策以及声明的调控。在日度抛储量增加后，本周由于底价较高和纺织企业不景气等原因，9月11日和12日的抛储成交率皆低于100%，13日更是进一步下滑至79.89%。供需格局改善，市场对新棉、新疆天气等影响因素关注度降低。叠加郑商所调增郑棉保证金以及相关部门调控后棉价高点预期下调，多头资金大量离场，郑棉反复试探1.7万关口。但新棉上市仍需时日，上市的价格也待定，下方存在支撑，预计短期内高位宽幅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5676683"/>
      <w:r>
        <w:rPr>
          <w:rFonts w:ascii="楷体" w:eastAsia="楷体" w:hAnsi="楷体" w:hint="eastAsia"/>
          <w:b/>
          <w:sz w:val="24"/>
          <w:szCs w:val="24"/>
        </w:rPr>
        <w:t>白糖：</w:t>
      </w:r>
      <w:r w:rsidR="00E423B5" w:rsidRPr="00E423B5">
        <w:rPr>
          <w:rFonts w:ascii="楷体" w:eastAsia="楷体" w:hAnsi="楷体" w:hint="eastAsia"/>
          <w:b/>
          <w:sz w:val="24"/>
          <w:szCs w:val="24"/>
        </w:rPr>
        <w:t>看跌期权卖权持有，低多暂时离场观望</w:t>
      </w:r>
      <w:bookmarkEnd w:id="50"/>
    </w:p>
    <w:p w:rsidR="00296325" w:rsidRDefault="00E423B5" w:rsidP="00296325">
      <w:pPr>
        <w:ind w:leftChars="300" w:left="630"/>
        <w:rPr>
          <w:rFonts w:ascii="楷体" w:eastAsia="楷体" w:hAnsi="楷体"/>
          <w:sz w:val="24"/>
          <w:szCs w:val="24"/>
        </w:rPr>
      </w:pPr>
      <w:r w:rsidRPr="00E423B5">
        <w:rPr>
          <w:rFonts w:ascii="楷体" w:eastAsia="楷体" w:hAnsi="楷体" w:hint="eastAsia"/>
          <w:sz w:val="24"/>
          <w:szCs w:val="24"/>
        </w:rPr>
        <w:t>担忧印度和泰国新季白糖产量，原糖价格再创新高。巴西9月前两周白糖出口70.81万吨，同比小幅下降。但8月中下旬的巴西中南部白糖产量同比大增近10%。国内白糖进口增加的预期强化，市场传闻年底将有大量进口白糖到港，但尚无官方消息证实。当前白糖库存极低，供需面极为紧张。多头资金大量离场，暂谨慎观望</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3F3" w:rsidRDefault="005903F3">
      <w:r>
        <w:separator/>
      </w:r>
    </w:p>
  </w:endnote>
  <w:endnote w:type="continuationSeparator" w:id="0">
    <w:p w:rsidR="005903F3" w:rsidRDefault="0059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1DA4D5D" wp14:editId="7ED69E0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423B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423B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3F3" w:rsidRDefault="005903F3">
      <w:r>
        <w:separator/>
      </w:r>
    </w:p>
  </w:footnote>
  <w:footnote w:type="continuationSeparator" w:id="0">
    <w:p w:rsidR="005903F3" w:rsidRDefault="005903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A5E3449" wp14:editId="7B088B70">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A7A84E9" wp14:editId="1949A202">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BE1EFD">
      <w:rPr>
        <w:rFonts w:ascii="Times New Roman" w:eastAsia="楷体" w:hAnsi="Times New Roman" w:hint="eastAsia"/>
        <w:b/>
        <w:bCs/>
        <w:noProof/>
        <w:color w:val="833C0B"/>
        <w:sz w:val="21"/>
      </w:rPr>
      <w:t>2023</w:t>
    </w:r>
    <w:r w:rsidR="00BE1EFD">
      <w:rPr>
        <w:rFonts w:ascii="Times New Roman" w:eastAsia="楷体" w:hAnsi="Times New Roman" w:hint="eastAsia"/>
        <w:b/>
        <w:bCs/>
        <w:noProof/>
        <w:color w:val="833C0B"/>
        <w:sz w:val="21"/>
      </w:rPr>
      <w:t>年</w:t>
    </w:r>
    <w:r w:rsidR="00BE1EFD">
      <w:rPr>
        <w:rFonts w:ascii="Times New Roman" w:eastAsia="楷体" w:hAnsi="Times New Roman" w:hint="eastAsia"/>
        <w:b/>
        <w:bCs/>
        <w:noProof/>
        <w:color w:val="833C0B"/>
        <w:sz w:val="21"/>
      </w:rPr>
      <w:t>9</w:t>
    </w:r>
    <w:r w:rsidR="00BE1EFD">
      <w:rPr>
        <w:rFonts w:ascii="Times New Roman" w:eastAsia="楷体" w:hAnsi="Times New Roman" w:hint="eastAsia"/>
        <w:b/>
        <w:bCs/>
        <w:noProof/>
        <w:color w:val="833C0B"/>
        <w:sz w:val="21"/>
      </w:rPr>
      <w:t>月</w:t>
    </w:r>
    <w:r w:rsidR="00BE1EFD">
      <w:rPr>
        <w:rFonts w:ascii="Times New Roman" w:eastAsia="楷体" w:hAnsi="Times New Roman" w:hint="eastAsia"/>
        <w:b/>
        <w:bCs/>
        <w:noProof/>
        <w:color w:val="833C0B"/>
        <w:sz w:val="21"/>
      </w:rPr>
      <w:t>15</w:t>
    </w:r>
    <w:r w:rsidR="00BE1EFD">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2959"/>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45DF5"/>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6338-0BD6-49C1-802B-BDAA79C5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3800</TotalTime>
  <Pages>10</Pages>
  <Words>1693</Words>
  <Characters>9655</Characters>
  <Application>Microsoft Office Word</Application>
  <DocSecurity>0</DocSecurity>
  <Lines>80</Lines>
  <Paragraphs>22</Paragraphs>
  <ScaleCrop>false</ScaleCrop>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90</cp:revision>
  <cp:lastPrinted>2023-06-08T02:23:00Z</cp:lastPrinted>
  <dcterms:created xsi:type="dcterms:W3CDTF">2022-11-15T10:06:00Z</dcterms:created>
  <dcterms:modified xsi:type="dcterms:W3CDTF">2023-09-15T05:23:00Z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