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32A7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32A7A" w:rsidRPr="000914C4">
            <w:rPr>
              <w:rStyle w:val="a9"/>
              <w:noProof/>
            </w:rPr>
            <w:fldChar w:fldCharType="begin"/>
          </w:r>
          <w:r w:rsidR="00032A7A" w:rsidRPr="000914C4">
            <w:rPr>
              <w:rStyle w:val="a9"/>
              <w:noProof/>
            </w:rPr>
            <w:instrText xml:space="preserve"> </w:instrText>
          </w:r>
          <w:r w:rsidR="00032A7A">
            <w:rPr>
              <w:noProof/>
            </w:rPr>
            <w:instrText>HYPERLINK \l "_Toc145582711"</w:instrText>
          </w:r>
          <w:r w:rsidR="00032A7A" w:rsidRPr="000914C4">
            <w:rPr>
              <w:rStyle w:val="a9"/>
              <w:noProof/>
            </w:rPr>
            <w:instrText xml:space="preserve"> </w:instrText>
          </w:r>
          <w:r w:rsidR="00032A7A" w:rsidRPr="000914C4">
            <w:rPr>
              <w:rStyle w:val="a9"/>
              <w:noProof/>
            </w:rPr>
          </w:r>
          <w:r w:rsidR="00032A7A" w:rsidRPr="000914C4">
            <w:rPr>
              <w:rStyle w:val="a9"/>
              <w:noProof/>
            </w:rPr>
            <w:fldChar w:fldCharType="separate"/>
          </w:r>
          <w:r w:rsidR="00032A7A" w:rsidRPr="000914C4">
            <w:rPr>
              <w:rStyle w:val="a9"/>
              <w:rFonts w:ascii="Times New Roman" w:eastAsia="楷体" w:hAnsi="Times New Roman"/>
              <w:b/>
              <w:noProof/>
            </w:rPr>
            <w:t>[</w:t>
          </w:r>
          <w:r w:rsidR="00032A7A" w:rsidRPr="000914C4">
            <w:rPr>
              <w:rStyle w:val="a9"/>
              <w:rFonts w:ascii="Times New Roman" w:eastAsia="楷体" w:hAnsi="Times New Roman"/>
              <w:b/>
              <w:noProof/>
            </w:rPr>
            <w:t>金融</w:t>
          </w:r>
          <w:r w:rsidR="00032A7A" w:rsidRPr="000914C4">
            <w:rPr>
              <w:rStyle w:val="a9"/>
              <w:rFonts w:ascii="Times New Roman" w:eastAsia="楷体" w:hAnsi="Times New Roman"/>
              <w:b/>
              <w:noProof/>
            </w:rPr>
            <w:t>]</w:t>
          </w:r>
          <w:r w:rsidR="00032A7A" w:rsidRPr="000914C4">
            <w:rPr>
              <w:rStyle w:val="a9"/>
              <w:noProof/>
            </w:rPr>
            <w:fldChar w:fldCharType="end"/>
          </w:r>
        </w:p>
        <w:p w:rsidR="00032A7A" w:rsidRDefault="00032A7A">
          <w:pPr>
            <w:pStyle w:val="23"/>
            <w:tabs>
              <w:tab w:val="right" w:leader="dot" w:pos="8296"/>
            </w:tabs>
            <w:rPr>
              <w:rFonts w:eastAsiaTheme="minorEastAsia"/>
              <w:noProof/>
              <w:szCs w:val="22"/>
            </w:rPr>
          </w:pPr>
          <w:hyperlink w:anchor="_Toc145582712" w:history="1">
            <w:r w:rsidRPr="000914C4">
              <w:rPr>
                <w:rStyle w:val="a9"/>
                <w:rFonts w:ascii="Times New Roman" w:eastAsia="楷体" w:hAnsi="Times New Roman"/>
                <w:b/>
                <w:noProof/>
              </w:rPr>
              <w:t>股指：</w:t>
            </w:r>
            <w:r w:rsidRPr="000914C4">
              <w:rPr>
                <w:rStyle w:val="a9"/>
                <w:rFonts w:ascii="Times New Roman" w:eastAsia="楷体" w:hAnsi="Times New Roman"/>
                <w:b/>
                <w:noProof/>
              </w:rPr>
              <w:t>IM</w:t>
            </w:r>
            <w:r w:rsidRPr="000914C4">
              <w:rPr>
                <w:rStyle w:val="a9"/>
                <w:rFonts w:ascii="Times New Roman" w:eastAsia="楷体" w:hAnsi="Times New Roman"/>
                <w:b/>
                <w:noProof/>
              </w:rPr>
              <w:t>多单轻仓持有</w:t>
            </w:r>
          </w:hyperlink>
        </w:p>
        <w:p w:rsidR="00032A7A" w:rsidRDefault="00032A7A">
          <w:pPr>
            <w:pStyle w:val="11"/>
            <w:tabs>
              <w:tab w:val="right" w:leader="dot" w:pos="8296"/>
            </w:tabs>
            <w:rPr>
              <w:rFonts w:eastAsiaTheme="minorEastAsia"/>
              <w:noProof/>
              <w:szCs w:val="22"/>
            </w:rPr>
          </w:pPr>
          <w:hyperlink w:anchor="_Toc145582713" w:history="1">
            <w:r w:rsidRPr="000914C4">
              <w:rPr>
                <w:rStyle w:val="a9"/>
                <w:rFonts w:ascii="Times New Roman" w:eastAsia="楷体" w:hAnsi="Times New Roman"/>
                <w:b/>
                <w:noProof/>
              </w:rPr>
              <w:t>[</w:t>
            </w:r>
            <w:r w:rsidRPr="000914C4">
              <w:rPr>
                <w:rStyle w:val="a9"/>
                <w:rFonts w:ascii="Times New Roman" w:eastAsia="楷体" w:hAnsi="Times New Roman"/>
                <w:b/>
                <w:noProof/>
              </w:rPr>
              <w:t>贵金属</w:t>
            </w:r>
            <w:r w:rsidRPr="000914C4">
              <w:rPr>
                <w:rStyle w:val="a9"/>
                <w:rFonts w:ascii="Times New Roman" w:eastAsia="楷体" w:hAnsi="Times New Roman"/>
                <w:b/>
                <w:noProof/>
              </w:rPr>
              <w:t>]</w:t>
            </w:r>
          </w:hyperlink>
        </w:p>
        <w:p w:rsidR="00032A7A" w:rsidRDefault="00032A7A">
          <w:pPr>
            <w:pStyle w:val="23"/>
            <w:tabs>
              <w:tab w:val="right" w:leader="dot" w:pos="8296"/>
            </w:tabs>
            <w:rPr>
              <w:rFonts w:eastAsiaTheme="minorEastAsia"/>
              <w:noProof/>
              <w:szCs w:val="22"/>
            </w:rPr>
          </w:pPr>
          <w:hyperlink w:anchor="_Toc145582714" w:history="1">
            <w:r w:rsidRPr="000914C4">
              <w:rPr>
                <w:rStyle w:val="a9"/>
                <w:rFonts w:ascii="Times New Roman" w:eastAsia="楷体" w:hAnsi="Times New Roman"/>
                <w:b/>
                <w:noProof/>
              </w:rPr>
              <w:t>贵金属：美国</w:t>
            </w:r>
            <w:r w:rsidRPr="000914C4">
              <w:rPr>
                <w:rStyle w:val="a9"/>
                <w:rFonts w:ascii="Times New Roman" w:eastAsia="楷体" w:hAnsi="Times New Roman"/>
                <w:b/>
                <w:noProof/>
              </w:rPr>
              <w:t>CPI</w:t>
            </w:r>
            <w:r w:rsidRPr="000914C4">
              <w:rPr>
                <w:rStyle w:val="a9"/>
                <w:rFonts w:ascii="Times New Roman" w:eastAsia="楷体" w:hAnsi="Times New Roman"/>
                <w:b/>
                <w:noProof/>
              </w:rPr>
              <w:t>通胀回升，贵金属价格小幅反弹</w:t>
            </w:r>
          </w:hyperlink>
        </w:p>
        <w:p w:rsidR="00032A7A" w:rsidRDefault="00032A7A">
          <w:pPr>
            <w:pStyle w:val="11"/>
            <w:tabs>
              <w:tab w:val="right" w:leader="dot" w:pos="8296"/>
            </w:tabs>
            <w:rPr>
              <w:rFonts w:eastAsiaTheme="minorEastAsia"/>
              <w:noProof/>
              <w:szCs w:val="22"/>
            </w:rPr>
          </w:pPr>
          <w:hyperlink w:anchor="_Toc145582715" w:history="1">
            <w:r w:rsidRPr="000914C4">
              <w:rPr>
                <w:rStyle w:val="a9"/>
                <w:rFonts w:ascii="Times New Roman" w:eastAsia="楷体" w:hAnsi="Times New Roman"/>
                <w:b/>
                <w:noProof/>
              </w:rPr>
              <w:t>[</w:t>
            </w:r>
            <w:r w:rsidRPr="000914C4">
              <w:rPr>
                <w:rStyle w:val="a9"/>
                <w:rFonts w:ascii="Times New Roman" w:eastAsia="楷体" w:hAnsi="Times New Roman"/>
                <w:b/>
                <w:noProof/>
              </w:rPr>
              <w:t>金属</w:t>
            </w:r>
            <w:r w:rsidRPr="000914C4">
              <w:rPr>
                <w:rStyle w:val="a9"/>
                <w:rFonts w:ascii="Times New Roman" w:eastAsia="楷体" w:hAnsi="Times New Roman"/>
                <w:b/>
                <w:noProof/>
              </w:rPr>
              <w:t>]</w:t>
            </w:r>
          </w:hyperlink>
        </w:p>
        <w:p w:rsidR="00032A7A" w:rsidRDefault="00032A7A">
          <w:pPr>
            <w:pStyle w:val="23"/>
            <w:tabs>
              <w:tab w:val="right" w:leader="dot" w:pos="8296"/>
            </w:tabs>
            <w:rPr>
              <w:rFonts w:eastAsiaTheme="minorEastAsia"/>
              <w:noProof/>
              <w:szCs w:val="22"/>
            </w:rPr>
          </w:pPr>
          <w:hyperlink w:anchor="_Toc145582716" w:history="1">
            <w:r w:rsidRPr="000914C4">
              <w:rPr>
                <w:rStyle w:val="a9"/>
                <w:rFonts w:ascii="楷体" w:eastAsia="楷体" w:hAnsi="楷体"/>
                <w:b/>
                <w:noProof/>
              </w:rPr>
              <w:t>碳酸锂：供应上行而需求偏弱，期价震荡下跌</w:t>
            </w:r>
          </w:hyperlink>
        </w:p>
        <w:p w:rsidR="00032A7A" w:rsidRDefault="00032A7A">
          <w:pPr>
            <w:pStyle w:val="23"/>
            <w:tabs>
              <w:tab w:val="right" w:leader="dot" w:pos="8296"/>
            </w:tabs>
            <w:rPr>
              <w:rFonts w:eastAsiaTheme="minorEastAsia"/>
              <w:noProof/>
              <w:szCs w:val="22"/>
            </w:rPr>
          </w:pPr>
          <w:hyperlink w:anchor="_Toc145582717" w:history="1">
            <w:r w:rsidRPr="000914C4">
              <w:rPr>
                <w:rStyle w:val="a9"/>
                <w:rFonts w:ascii="楷体" w:eastAsia="楷体" w:hAnsi="楷体"/>
                <w:b/>
                <w:noProof/>
              </w:rPr>
              <w:t>螺纹钢：情绪回温后，关注本周需求数据</w:t>
            </w:r>
          </w:hyperlink>
        </w:p>
        <w:p w:rsidR="00032A7A" w:rsidRDefault="00032A7A">
          <w:pPr>
            <w:pStyle w:val="23"/>
            <w:tabs>
              <w:tab w:val="right" w:leader="dot" w:pos="8296"/>
            </w:tabs>
            <w:rPr>
              <w:rFonts w:eastAsiaTheme="minorEastAsia"/>
              <w:noProof/>
              <w:szCs w:val="22"/>
            </w:rPr>
          </w:pPr>
          <w:hyperlink w:anchor="_Toc145582718" w:history="1">
            <w:r w:rsidRPr="000914C4">
              <w:rPr>
                <w:rStyle w:val="a9"/>
                <w:rFonts w:ascii="楷体" w:eastAsia="楷体" w:hAnsi="楷体"/>
                <w:b/>
                <w:noProof/>
              </w:rPr>
              <w:t>焦炭：港口焦炭价格偏稳，或高位震荡</w:t>
            </w:r>
          </w:hyperlink>
        </w:p>
        <w:p w:rsidR="00032A7A" w:rsidRDefault="00032A7A">
          <w:pPr>
            <w:pStyle w:val="23"/>
            <w:tabs>
              <w:tab w:val="right" w:leader="dot" w:pos="8296"/>
            </w:tabs>
            <w:rPr>
              <w:rFonts w:eastAsiaTheme="minorEastAsia"/>
              <w:noProof/>
              <w:szCs w:val="22"/>
            </w:rPr>
          </w:pPr>
          <w:hyperlink w:anchor="_Toc145582719" w:history="1">
            <w:r w:rsidRPr="000914C4">
              <w:rPr>
                <w:rStyle w:val="a9"/>
                <w:rFonts w:ascii="楷体" w:eastAsia="楷体" w:hAnsi="楷体"/>
                <w:b/>
                <w:noProof/>
              </w:rPr>
              <w:t>焦煤：等待成材打开空间，或高位震荡</w:t>
            </w:r>
          </w:hyperlink>
        </w:p>
        <w:p w:rsidR="00032A7A" w:rsidRDefault="00032A7A">
          <w:pPr>
            <w:pStyle w:val="23"/>
            <w:tabs>
              <w:tab w:val="right" w:leader="dot" w:pos="8296"/>
            </w:tabs>
            <w:rPr>
              <w:rFonts w:eastAsiaTheme="minorEastAsia"/>
              <w:noProof/>
              <w:szCs w:val="22"/>
            </w:rPr>
          </w:pPr>
          <w:hyperlink w:anchor="_Toc145582720" w:history="1">
            <w:r w:rsidRPr="000914C4">
              <w:rPr>
                <w:rStyle w:val="a9"/>
                <w:rFonts w:ascii="楷体" w:eastAsia="楷体" w:hAnsi="楷体"/>
                <w:b/>
                <w:noProof/>
              </w:rPr>
              <w:t>铜：区间震荡承压运行</w:t>
            </w:r>
          </w:hyperlink>
        </w:p>
        <w:p w:rsidR="00032A7A" w:rsidRDefault="00032A7A">
          <w:pPr>
            <w:pStyle w:val="23"/>
            <w:tabs>
              <w:tab w:val="right" w:leader="dot" w:pos="8296"/>
            </w:tabs>
            <w:rPr>
              <w:rFonts w:eastAsiaTheme="minorEastAsia"/>
              <w:noProof/>
              <w:szCs w:val="22"/>
            </w:rPr>
          </w:pPr>
          <w:hyperlink w:anchor="_Toc145582721" w:history="1">
            <w:r w:rsidRPr="000914C4">
              <w:rPr>
                <w:rStyle w:val="a9"/>
                <w:rFonts w:ascii="楷体" w:eastAsia="楷体" w:hAnsi="楷体"/>
                <w:b/>
                <w:noProof/>
              </w:rPr>
              <w:t>铝：宏观情绪压制，铝价承压运行</w:t>
            </w:r>
          </w:hyperlink>
        </w:p>
        <w:p w:rsidR="00032A7A" w:rsidRDefault="00032A7A">
          <w:pPr>
            <w:pStyle w:val="23"/>
            <w:tabs>
              <w:tab w:val="right" w:leader="dot" w:pos="8296"/>
            </w:tabs>
            <w:rPr>
              <w:rFonts w:eastAsiaTheme="minorEastAsia"/>
              <w:noProof/>
              <w:szCs w:val="22"/>
            </w:rPr>
          </w:pPr>
          <w:hyperlink w:anchor="_Toc145582722" w:history="1">
            <w:r w:rsidRPr="000914C4">
              <w:rPr>
                <w:rStyle w:val="a9"/>
                <w:rFonts w:ascii="楷体" w:eastAsia="楷体" w:hAnsi="楷体"/>
                <w:b/>
                <w:noProof/>
              </w:rPr>
              <w:t>锌：锌价高位震荡</w:t>
            </w:r>
          </w:hyperlink>
        </w:p>
        <w:p w:rsidR="00032A7A" w:rsidRDefault="00032A7A">
          <w:pPr>
            <w:pStyle w:val="23"/>
            <w:tabs>
              <w:tab w:val="right" w:leader="dot" w:pos="8296"/>
            </w:tabs>
            <w:rPr>
              <w:rFonts w:eastAsiaTheme="minorEastAsia"/>
              <w:noProof/>
              <w:szCs w:val="22"/>
            </w:rPr>
          </w:pPr>
          <w:hyperlink w:anchor="_Toc145582723" w:history="1">
            <w:r w:rsidRPr="000914C4">
              <w:rPr>
                <w:rStyle w:val="a9"/>
                <w:rFonts w:ascii="楷体" w:eastAsia="楷体" w:hAnsi="楷体"/>
                <w:b/>
                <w:noProof/>
              </w:rPr>
              <w:t>镍：需求旺季尚未体现，镍价弱势运行</w:t>
            </w:r>
          </w:hyperlink>
        </w:p>
        <w:p w:rsidR="00032A7A" w:rsidRDefault="00032A7A">
          <w:pPr>
            <w:pStyle w:val="23"/>
            <w:tabs>
              <w:tab w:val="right" w:leader="dot" w:pos="8296"/>
            </w:tabs>
            <w:rPr>
              <w:rFonts w:eastAsiaTheme="minorEastAsia"/>
              <w:noProof/>
              <w:szCs w:val="22"/>
            </w:rPr>
          </w:pPr>
          <w:hyperlink w:anchor="_Toc145582724" w:history="1">
            <w:r w:rsidRPr="000914C4">
              <w:rPr>
                <w:rStyle w:val="a9"/>
                <w:rFonts w:ascii="楷体" w:eastAsia="楷体" w:hAnsi="楷体"/>
                <w:b/>
                <w:noProof/>
              </w:rPr>
              <w:t>铅：铝市供需双修，观望价格上方压力位</w:t>
            </w:r>
          </w:hyperlink>
        </w:p>
        <w:p w:rsidR="00032A7A" w:rsidRDefault="00032A7A">
          <w:pPr>
            <w:pStyle w:val="23"/>
            <w:tabs>
              <w:tab w:val="right" w:leader="dot" w:pos="8296"/>
            </w:tabs>
            <w:rPr>
              <w:rFonts w:eastAsiaTheme="minorEastAsia"/>
              <w:noProof/>
              <w:szCs w:val="22"/>
            </w:rPr>
          </w:pPr>
          <w:hyperlink w:anchor="_Toc145582725" w:history="1">
            <w:r w:rsidRPr="000914C4">
              <w:rPr>
                <w:rStyle w:val="a9"/>
                <w:rFonts w:ascii="楷体" w:eastAsia="楷体" w:hAnsi="楷体"/>
                <w:b/>
                <w:noProof/>
              </w:rPr>
              <w:t>不锈钢：现实基本面偏弱，成本支撑犹存</w:t>
            </w:r>
          </w:hyperlink>
        </w:p>
        <w:p w:rsidR="00032A7A" w:rsidRDefault="00032A7A">
          <w:pPr>
            <w:pStyle w:val="23"/>
            <w:tabs>
              <w:tab w:val="right" w:leader="dot" w:pos="8296"/>
            </w:tabs>
            <w:rPr>
              <w:rFonts w:eastAsiaTheme="minorEastAsia"/>
              <w:noProof/>
              <w:szCs w:val="22"/>
            </w:rPr>
          </w:pPr>
          <w:hyperlink w:anchor="_Toc145582726" w:history="1">
            <w:r w:rsidRPr="000914C4">
              <w:rPr>
                <w:rStyle w:val="a9"/>
                <w:rFonts w:ascii="楷体" w:eastAsia="楷体" w:hAnsi="楷体"/>
                <w:b/>
                <w:noProof/>
              </w:rPr>
              <w:t>工业硅：周内大厂继续提价，预计市场仍有支撑</w:t>
            </w:r>
          </w:hyperlink>
        </w:p>
        <w:p w:rsidR="00032A7A" w:rsidRDefault="00032A7A">
          <w:pPr>
            <w:pStyle w:val="11"/>
            <w:tabs>
              <w:tab w:val="right" w:leader="dot" w:pos="8296"/>
            </w:tabs>
            <w:rPr>
              <w:rFonts w:eastAsiaTheme="minorEastAsia"/>
              <w:noProof/>
              <w:szCs w:val="22"/>
            </w:rPr>
          </w:pPr>
          <w:hyperlink w:anchor="_Toc145582727" w:history="1">
            <w:r w:rsidRPr="000914C4">
              <w:rPr>
                <w:rStyle w:val="a9"/>
                <w:rFonts w:ascii="Times New Roman" w:eastAsia="楷体" w:hAnsi="Times New Roman"/>
                <w:b/>
                <w:noProof/>
              </w:rPr>
              <w:t>[</w:t>
            </w:r>
            <w:r w:rsidRPr="000914C4">
              <w:rPr>
                <w:rStyle w:val="a9"/>
                <w:rFonts w:ascii="Times New Roman" w:eastAsia="楷体" w:hAnsi="Times New Roman"/>
                <w:b/>
                <w:noProof/>
              </w:rPr>
              <w:t>化工</w:t>
            </w:r>
            <w:r w:rsidRPr="000914C4">
              <w:rPr>
                <w:rStyle w:val="a9"/>
                <w:rFonts w:ascii="Times New Roman" w:eastAsia="楷体" w:hAnsi="Times New Roman"/>
                <w:b/>
                <w:noProof/>
              </w:rPr>
              <w:t>]</w:t>
            </w:r>
          </w:hyperlink>
        </w:p>
        <w:p w:rsidR="00032A7A" w:rsidRDefault="00032A7A">
          <w:pPr>
            <w:pStyle w:val="23"/>
            <w:tabs>
              <w:tab w:val="right" w:leader="dot" w:pos="8296"/>
            </w:tabs>
            <w:rPr>
              <w:rFonts w:eastAsiaTheme="minorEastAsia"/>
              <w:noProof/>
              <w:szCs w:val="22"/>
            </w:rPr>
          </w:pPr>
          <w:hyperlink w:anchor="_Toc145582728" w:history="1">
            <w:r w:rsidRPr="000914C4">
              <w:rPr>
                <w:rStyle w:val="a9"/>
                <w:rFonts w:ascii="Times New Roman" w:eastAsia="楷体" w:hAnsi="Times New Roman"/>
                <w:b/>
                <w:noProof/>
              </w:rPr>
              <w:t>天然橡胶</w:t>
            </w:r>
            <w:r w:rsidRPr="000914C4">
              <w:rPr>
                <w:rStyle w:val="a9"/>
                <w:rFonts w:ascii="Times New Roman" w:eastAsia="楷体" w:hAnsi="Times New Roman"/>
                <w:b/>
                <w:noProof/>
              </w:rPr>
              <w:t>:</w:t>
            </w:r>
            <w:r w:rsidRPr="000914C4">
              <w:rPr>
                <w:rStyle w:val="a9"/>
                <w:rFonts w:ascii="楷体" w:eastAsia="楷体" w:hAnsi="楷体"/>
                <w:b/>
                <w:noProof/>
              </w:rPr>
              <w:t xml:space="preserve"> 利好因素逐渐消化 RU上探乏力</w:t>
            </w:r>
          </w:hyperlink>
        </w:p>
        <w:p w:rsidR="00032A7A" w:rsidRDefault="00032A7A">
          <w:pPr>
            <w:pStyle w:val="23"/>
            <w:tabs>
              <w:tab w:val="right" w:leader="dot" w:pos="8296"/>
            </w:tabs>
            <w:rPr>
              <w:rFonts w:eastAsiaTheme="minorEastAsia"/>
              <w:noProof/>
              <w:szCs w:val="22"/>
            </w:rPr>
          </w:pPr>
          <w:hyperlink w:anchor="_Toc145582729" w:history="1">
            <w:r w:rsidRPr="000914C4">
              <w:rPr>
                <w:rStyle w:val="a9"/>
                <w:rFonts w:ascii="楷体" w:eastAsia="楷体" w:hAnsi="楷体"/>
                <w:b/>
                <w:noProof/>
              </w:rPr>
              <w:t>PTA：成本端支撑及低加工费趋势仍偏强</w:t>
            </w:r>
          </w:hyperlink>
        </w:p>
        <w:p w:rsidR="00032A7A" w:rsidRDefault="00032A7A">
          <w:pPr>
            <w:pStyle w:val="23"/>
            <w:tabs>
              <w:tab w:val="right" w:leader="dot" w:pos="8296"/>
            </w:tabs>
            <w:rPr>
              <w:rFonts w:eastAsiaTheme="minorEastAsia"/>
              <w:noProof/>
              <w:szCs w:val="22"/>
            </w:rPr>
          </w:pPr>
          <w:hyperlink w:anchor="_Toc145582730" w:history="1">
            <w:r w:rsidRPr="000914C4">
              <w:rPr>
                <w:rStyle w:val="a9"/>
                <w:rFonts w:ascii="楷体" w:eastAsia="楷体" w:hAnsi="楷体"/>
                <w:b/>
                <w:noProof/>
              </w:rPr>
              <w:t>PVC：高库存+弱复苏 驱动不足</w:t>
            </w:r>
          </w:hyperlink>
        </w:p>
        <w:p w:rsidR="00032A7A" w:rsidRDefault="00032A7A">
          <w:pPr>
            <w:pStyle w:val="23"/>
            <w:tabs>
              <w:tab w:val="right" w:leader="dot" w:pos="8296"/>
            </w:tabs>
            <w:rPr>
              <w:rFonts w:eastAsiaTheme="minorEastAsia"/>
              <w:noProof/>
              <w:szCs w:val="22"/>
            </w:rPr>
          </w:pPr>
          <w:hyperlink w:anchor="_Toc145582731" w:history="1">
            <w:r w:rsidRPr="000914C4">
              <w:rPr>
                <w:rStyle w:val="a9"/>
                <w:rFonts w:ascii="楷体" w:eastAsia="楷体" w:hAnsi="楷体"/>
                <w:b/>
                <w:noProof/>
              </w:rPr>
              <w:t>聚烯烃：下游刚需补库 聚烯烃维持震荡为主</w:t>
            </w:r>
          </w:hyperlink>
        </w:p>
        <w:p w:rsidR="00032A7A" w:rsidRDefault="00032A7A">
          <w:pPr>
            <w:pStyle w:val="23"/>
            <w:tabs>
              <w:tab w:val="right" w:leader="dot" w:pos="8296"/>
            </w:tabs>
            <w:rPr>
              <w:rFonts w:eastAsiaTheme="minorEastAsia"/>
              <w:noProof/>
              <w:szCs w:val="22"/>
            </w:rPr>
          </w:pPr>
          <w:hyperlink w:anchor="_Toc145582732" w:history="1">
            <w:r w:rsidRPr="000914C4">
              <w:rPr>
                <w:rStyle w:val="a9"/>
                <w:rFonts w:ascii="楷体" w:eastAsia="楷体" w:hAnsi="楷体"/>
                <w:b/>
                <w:noProof/>
              </w:rPr>
              <w:t>MEG：成本提振但高库存压制反弹空间</w:t>
            </w:r>
          </w:hyperlink>
        </w:p>
        <w:p w:rsidR="00032A7A" w:rsidRDefault="00032A7A">
          <w:pPr>
            <w:pStyle w:val="23"/>
            <w:tabs>
              <w:tab w:val="right" w:leader="dot" w:pos="8296"/>
            </w:tabs>
            <w:rPr>
              <w:rFonts w:eastAsiaTheme="minorEastAsia"/>
              <w:noProof/>
              <w:szCs w:val="22"/>
            </w:rPr>
          </w:pPr>
          <w:hyperlink w:anchor="_Toc145582733" w:history="1">
            <w:r w:rsidRPr="000914C4">
              <w:rPr>
                <w:rStyle w:val="a9"/>
                <w:rFonts w:ascii="楷体" w:eastAsia="楷体" w:hAnsi="楷体"/>
                <w:b/>
                <w:noProof/>
              </w:rPr>
              <w:t>玻璃：产销走弱，区间震荡</w:t>
            </w:r>
          </w:hyperlink>
        </w:p>
        <w:p w:rsidR="00032A7A" w:rsidRDefault="00032A7A">
          <w:pPr>
            <w:pStyle w:val="23"/>
            <w:tabs>
              <w:tab w:val="right" w:leader="dot" w:pos="8296"/>
            </w:tabs>
            <w:rPr>
              <w:rFonts w:eastAsiaTheme="minorEastAsia"/>
              <w:noProof/>
              <w:szCs w:val="22"/>
            </w:rPr>
          </w:pPr>
          <w:hyperlink w:anchor="_Toc145582734" w:history="1">
            <w:r w:rsidRPr="000914C4">
              <w:rPr>
                <w:rStyle w:val="a9"/>
                <w:rFonts w:ascii="楷体" w:eastAsia="楷体" w:hAnsi="楷体"/>
                <w:b/>
                <w:noProof/>
              </w:rPr>
              <w:t>纯碱：高基差vs累库预期，盘面多空博弈</w:t>
            </w:r>
          </w:hyperlink>
        </w:p>
        <w:p w:rsidR="00032A7A" w:rsidRDefault="00032A7A">
          <w:pPr>
            <w:pStyle w:val="11"/>
            <w:tabs>
              <w:tab w:val="right" w:leader="dot" w:pos="8296"/>
            </w:tabs>
            <w:rPr>
              <w:rFonts w:eastAsiaTheme="minorEastAsia"/>
              <w:noProof/>
              <w:szCs w:val="22"/>
            </w:rPr>
          </w:pPr>
          <w:hyperlink w:anchor="_Toc145582735" w:history="1">
            <w:r w:rsidRPr="000914C4">
              <w:rPr>
                <w:rStyle w:val="a9"/>
                <w:rFonts w:ascii="Times New Roman" w:eastAsia="楷体" w:hAnsi="Times New Roman"/>
                <w:b/>
                <w:noProof/>
              </w:rPr>
              <w:t>[</w:t>
            </w:r>
            <w:r w:rsidRPr="000914C4">
              <w:rPr>
                <w:rStyle w:val="a9"/>
                <w:rFonts w:ascii="Times New Roman" w:eastAsia="楷体" w:hAnsi="Times New Roman"/>
                <w:b/>
                <w:noProof/>
              </w:rPr>
              <w:t>农产品</w:t>
            </w:r>
            <w:r w:rsidRPr="000914C4">
              <w:rPr>
                <w:rStyle w:val="a9"/>
                <w:rFonts w:ascii="Times New Roman" w:eastAsia="楷体" w:hAnsi="Times New Roman"/>
                <w:b/>
                <w:noProof/>
              </w:rPr>
              <w:t>]</w:t>
            </w:r>
          </w:hyperlink>
        </w:p>
        <w:p w:rsidR="00032A7A" w:rsidRDefault="00032A7A">
          <w:pPr>
            <w:pStyle w:val="23"/>
            <w:tabs>
              <w:tab w:val="right" w:leader="dot" w:pos="8296"/>
            </w:tabs>
            <w:rPr>
              <w:rFonts w:eastAsiaTheme="minorEastAsia"/>
              <w:noProof/>
              <w:szCs w:val="22"/>
            </w:rPr>
          </w:pPr>
          <w:hyperlink w:anchor="_Toc145582736" w:history="1">
            <w:r w:rsidRPr="000914C4">
              <w:rPr>
                <w:rStyle w:val="a9"/>
                <w:rFonts w:ascii="楷体" w:eastAsia="楷体" w:hAnsi="楷体"/>
                <w:b/>
                <w:noProof/>
              </w:rPr>
              <w:t>豆粕/菜粕：报告符合预期，期价承压运行</w:t>
            </w:r>
          </w:hyperlink>
        </w:p>
        <w:p w:rsidR="00032A7A" w:rsidRDefault="00032A7A">
          <w:pPr>
            <w:pStyle w:val="23"/>
            <w:tabs>
              <w:tab w:val="right" w:leader="dot" w:pos="8296"/>
            </w:tabs>
            <w:rPr>
              <w:rFonts w:eastAsiaTheme="minorEastAsia"/>
              <w:noProof/>
              <w:szCs w:val="22"/>
            </w:rPr>
          </w:pPr>
          <w:hyperlink w:anchor="_Toc145582737" w:history="1">
            <w:r w:rsidRPr="000914C4">
              <w:rPr>
                <w:rStyle w:val="a9"/>
                <w:rFonts w:ascii="楷体" w:eastAsia="楷体" w:hAnsi="楷体"/>
                <w:b/>
                <w:noProof/>
              </w:rPr>
              <w:t>油脂：油脂偏弱震荡，未走出震荡区间</w:t>
            </w:r>
          </w:hyperlink>
        </w:p>
        <w:p w:rsidR="00032A7A" w:rsidRDefault="00032A7A">
          <w:pPr>
            <w:pStyle w:val="23"/>
            <w:tabs>
              <w:tab w:val="right" w:leader="dot" w:pos="8296"/>
            </w:tabs>
            <w:rPr>
              <w:rFonts w:eastAsiaTheme="minorEastAsia"/>
              <w:noProof/>
              <w:szCs w:val="22"/>
            </w:rPr>
          </w:pPr>
          <w:hyperlink w:anchor="_Toc145582738" w:history="1">
            <w:r w:rsidRPr="000914C4">
              <w:rPr>
                <w:rStyle w:val="a9"/>
                <w:rFonts w:ascii="楷体" w:eastAsia="楷体" w:hAnsi="楷体"/>
                <w:b/>
                <w:bCs/>
                <w:noProof/>
              </w:rPr>
              <w:t>玉米与淀粉：</w:t>
            </w:r>
            <w:r w:rsidRPr="000914C4">
              <w:rPr>
                <w:rStyle w:val="a9"/>
                <w:rFonts w:ascii="楷体" w:eastAsia="楷体" w:hAnsi="楷体"/>
                <w:b/>
                <w:noProof/>
              </w:rPr>
              <w:t>短期关注华北产区现货表现</w:t>
            </w:r>
          </w:hyperlink>
        </w:p>
        <w:p w:rsidR="00032A7A" w:rsidRDefault="00032A7A">
          <w:pPr>
            <w:pStyle w:val="23"/>
            <w:tabs>
              <w:tab w:val="right" w:leader="dot" w:pos="8296"/>
            </w:tabs>
            <w:rPr>
              <w:rFonts w:eastAsiaTheme="minorEastAsia"/>
              <w:noProof/>
              <w:szCs w:val="22"/>
            </w:rPr>
          </w:pPr>
          <w:hyperlink w:anchor="_Toc145582739" w:history="1">
            <w:r w:rsidRPr="000914C4">
              <w:rPr>
                <w:rStyle w:val="a9"/>
                <w:rFonts w:ascii="楷体" w:eastAsia="楷体" w:hAnsi="楷体"/>
                <w:b/>
                <w:bCs/>
                <w:noProof/>
              </w:rPr>
              <w:t>畜禽养殖：期价偏弱运行</w:t>
            </w:r>
          </w:hyperlink>
        </w:p>
        <w:p w:rsidR="00032A7A" w:rsidRDefault="00032A7A">
          <w:pPr>
            <w:pStyle w:val="23"/>
            <w:tabs>
              <w:tab w:val="right" w:leader="dot" w:pos="8296"/>
            </w:tabs>
            <w:rPr>
              <w:rFonts w:eastAsiaTheme="minorEastAsia"/>
              <w:noProof/>
              <w:szCs w:val="22"/>
            </w:rPr>
          </w:pPr>
          <w:hyperlink w:anchor="_Toc145582740" w:history="1">
            <w:r w:rsidRPr="000914C4">
              <w:rPr>
                <w:rStyle w:val="a9"/>
                <w:rFonts w:ascii="楷体" w:eastAsia="楷体" w:hAnsi="楷体"/>
                <w:b/>
                <w:noProof/>
              </w:rPr>
              <w:t>郑棉：低位多单或看跌期权卖权持有</w:t>
            </w:r>
          </w:hyperlink>
        </w:p>
        <w:p w:rsidR="00032A7A" w:rsidRDefault="00032A7A">
          <w:pPr>
            <w:pStyle w:val="23"/>
            <w:tabs>
              <w:tab w:val="right" w:leader="dot" w:pos="8296"/>
            </w:tabs>
            <w:rPr>
              <w:rFonts w:eastAsiaTheme="minorEastAsia"/>
              <w:noProof/>
              <w:szCs w:val="22"/>
            </w:rPr>
          </w:pPr>
          <w:hyperlink w:anchor="_Toc145582741" w:history="1">
            <w:r w:rsidRPr="000914C4">
              <w:rPr>
                <w:rStyle w:val="a9"/>
                <w:rFonts w:ascii="楷体" w:eastAsia="楷体" w:hAnsi="楷体"/>
                <w:b/>
                <w:noProof/>
              </w:rPr>
              <w:t>白糖：看跌期权卖权持有，低多暂时离场观望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55827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5582712"/>
      <w:bookmarkEnd w:id="4"/>
      <w:r>
        <w:rPr>
          <w:rFonts w:ascii="Times New Roman" w:eastAsia="楷体" w:hAnsi="Times New Roman" w:hint="eastAsia"/>
          <w:b/>
          <w:color w:val="000000" w:themeColor="text1"/>
          <w:sz w:val="24"/>
          <w:szCs w:val="24"/>
        </w:rPr>
        <w:t>股指：</w:t>
      </w:r>
      <w:bookmarkEnd w:id="6"/>
      <w:bookmarkEnd w:id="7"/>
      <w:r w:rsidR="00032A7A" w:rsidRPr="00032A7A">
        <w:rPr>
          <w:rFonts w:ascii="Times New Roman" w:eastAsia="楷体" w:hAnsi="Times New Roman" w:hint="eastAsia"/>
          <w:b/>
          <w:color w:val="000000" w:themeColor="text1"/>
          <w:sz w:val="24"/>
          <w:szCs w:val="24"/>
        </w:rPr>
        <w:t>IM</w:t>
      </w:r>
      <w:r w:rsidR="00032A7A" w:rsidRPr="00032A7A">
        <w:rPr>
          <w:rFonts w:ascii="Times New Roman" w:eastAsia="楷体" w:hAnsi="Times New Roman" w:hint="eastAsia"/>
          <w:b/>
          <w:color w:val="000000" w:themeColor="text1"/>
          <w:sz w:val="24"/>
          <w:szCs w:val="24"/>
        </w:rPr>
        <w:t>多单轻仓持有</w:t>
      </w:r>
      <w:bookmarkEnd w:id="8"/>
    </w:p>
    <w:p w:rsidR="003F56A5" w:rsidRDefault="00032A7A" w:rsidP="00D14B3E">
      <w:pPr>
        <w:ind w:leftChars="300" w:left="630"/>
        <w:rPr>
          <w:rFonts w:ascii="Times New Roman" w:eastAsia="楷体" w:hAnsi="Times New Roman"/>
          <w:color w:val="000000" w:themeColor="text1"/>
          <w:sz w:val="24"/>
          <w:szCs w:val="24"/>
        </w:rPr>
      </w:pPr>
      <w:r w:rsidRPr="00032A7A">
        <w:rPr>
          <w:rFonts w:ascii="Times New Roman" w:eastAsia="楷体" w:hAnsi="Times New Roman" w:hint="eastAsia"/>
          <w:color w:val="000000" w:themeColor="text1"/>
          <w:sz w:val="24"/>
          <w:szCs w:val="24"/>
        </w:rPr>
        <w:t>当前压制市场风险偏好一方面在于国内政策成效有待观望，另一方面在于外部环境充满挑战，美国</w:t>
      </w:r>
      <w:r w:rsidRPr="00032A7A">
        <w:rPr>
          <w:rFonts w:ascii="Times New Roman" w:eastAsia="楷体" w:hAnsi="Times New Roman" w:hint="eastAsia"/>
          <w:color w:val="000000" w:themeColor="text1"/>
          <w:sz w:val="24"/>
          <w:szCs w:val="24"/>
        </w:rPr>
        <w:t>8</w:t>
      </w:r>
      <w:r w:rsidRPr="00032A7A">
        <w:rPr>
          <w:rFonts w:ascii="Times New Roman" w:eastAsia="楷体" w:hAnsi="Times New Roman" w:hint="eastAsia"/>
          <w:color w:val="000000" w:themeColor="text1"/>
          <w:sz w:val="24"/>
          <w:szCs w:val="24"/>
        </w:rPr>
        <w:t>月通胀反弹，美联储后续加息可能性仍存在，美元指数和美债收益率还未确认下行趋势，</w:t>
      </w:r>
      <w:r w:rsidRPr="00032A7A">
        <w:rPr>
          <w:rFonts w:ascii="Times New Roman" w:eastAsia="楷体" w:hAnsi="Times New Roman" w:hint="eastAsia"/>
          <w:color w:val="000000" w:themeColor="text1"/>
          <w:sz w:val="24"/>
          <w:szCs w:val="24"/>
        </w:rPr>
        <w:t>G2</w:t>
      </w:r>
      <w:r w:rsidRPr="00032A7A">
        <w:rPr>
          <w:rFonts w:ascii="Times New Roman" w:eastAsia="楷体" w:hAnsi="Times New Roman" w:hint="eastAsia"/>
          <w:color w:val="000000" w:themeColor="text1"/>
          <w:sz w:val="24"/>
          <w:szCs w:val="24"/>
        </w:rPr>
        <w:t>博弈下，人民币汇率短期仍面临一定压力，北向资金有潜在流出压力，中长期回升有赖于内外基本面因素的好转。目前内外基本面的一些积极因素正在累积：国内稳经济政策逐步加码预期基本一致、</w:t>
      </w:r>
      <w:r w:rsidRPr="00032A7A">
        <w:rPr>
          <w:rFonts w:ascii="Times New Roman" w:eastAsia="楷体" w:hAnsi="Times New Roman" w:hint="eastAsia"/>
          <w:color w:val="000000" w:themeColor="text1"/>
          <w:sz w:val="24"/>
          <w:szCs w:val="24"/>
        </w:rPr>
        <w:t>8</w:t>
      </w:r>
      <w:r w:rsidRPr="00032A7A">
        <w:rPr>
          <w:rFonts w:ascii="Times New Roman" w:eastAsia="楷体" w:hAnsi="Times New Roman" w:hint="eastAsia"/>
          <w:color w:val="000000" w:themeColor="text1"/>
          <w:sz w:val="24"/>
          <w:szCs w:val="24"/>
        </w:rPr>
        <w:t>月经济金融数据呈企稳态势，但扭转行情还需等待政策的实质性成效，当前仍是反复磨底整固过程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558271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5582714"/>
      <w:r>
        <w:rPr>
          <w:rFonts w:ascii="Times New Roman" w:eastAsia="楷体" w:hAnsi="Times New Roman" w:hint="eastAsia"/>
          <w:b/>
          <w:color w:val="000000" w:themeColor="text1"/>
          <w:sz w:val="24"/>
          <w:szCs w:val="24"/>
        </w:rPr>
        <w:t>贵金属：</w:t>
      </w:r>
      <w:r w:rsidR="00032A7A" w:rsidRPr="00032A7A">
        <w:rPr>
          <w:rFonts w:ascii="Times New Roman" w:eastAsia="楷体" w:hAnsi="Times New Roman" w:hint="eastAsia"/>
          <w:b/>
          <w:color w:val="000000" w:themeColor="text1"/>
          <w:sz w:val="24"/>
          <w:szCs w:val="24"/>
        </w:rPr>
        <w:t>美国</w:t>
      </w:r>
      <w:r w:rsidR="00032A7A" w:rsidRPr="00032A7A">
        <w:rPr>
          <w:rFonts w:ascii="Times New Roman" w:eastAsia="楷体" w:hAnsi="Times New Roman" w:hint="eastAsia"/>
          <w:b/>
          <w:color w:val="000000" w:themeColor="text1"/>
          <w:sz w:val="24"/>
          <w:szCs w:val="24"/>
        </w:rPr>
        <w:t>CPI</w:t>
      </w:r>
      <w:r w:rsidR="00032A7A" w:rsidRPr="00032A7A">
        <w:rPr>
          <w:rFonts w:ascii="Times New Roman" w:eastAsia="楷体" w:hAnsi="Times New Roman" w:hint="eastAsia"/>
          <w:b/>
          <w:color w:val="000000" w:themeColor="text1"/>
          <w:sz w:val="24"/>
          <w:szCs w:val="24"/>
        </w:rPr>
        <w:t>通胀回升，贵金属价格小幅反弹</w:t>
      </w:r>
      <w:bookmarkEnd w:id="10"/>
    </w:p>
    <w:p w:rsidR="003F56A5" w:rsidRDefault="00032A7A">
      <w:pPr>
        <w:ind w:leftChars="300" w:left="630"/>
        <w:rPr>
          <w:rFonts w:ascii="Times New Roman" w:eastAsia="楷体" w:hAnsi="Times New Roman"/>
          <w:sz w:val="24"/>
          <w:szCs w:val="24"/>
        </w:rPr>
      </w:pPr>
      <w:r w:rsidRPr="00032A7A">
        <w:rPr>
          <w:rFonts w:ascii="Times New Roman" w:eastAsia="楷体" w:hAnsi="Times New Roman" w:hint="eastAsia"/>
          <w:color w:val="000000" w:themeColor="text1"/>
          <w:sz w:val="24"/>
          <w:szCs w:val="24"/>
        </w:rPr>
        <w:t>美国</w:t>
      </w:r>
      <w:r w:rsidRPr="00032A7A">
        <w:rPr>
          <w:rFonts w:ascii="Times New Roman" w:eastAsia="楷体" w:hAnsi="Times New Roman" w:hint="eastAsia"/>
          <w:color w:val="000000" w:themeColor="text1"/>
          <w:sz w:val="24"/>
          <w:szCs w:val="24"/>
        </w:rPr>
        <w:t>8</w:t>
      </w:r>
      <w:r w:rsidRPr="00032A7A">
        <w:rPr>
          <w:rFonts w:ascii="Times New Roman" w:eastAsia="楷体" w:hAnsi="Times New Roman" w:hint="eastAsia"/>
          <w:color w:val="000000" w:themeColor="text1"/>
          <w:sz w:val="24"/>
          <w:szCs w:val="24"/>
        </w:rPr>
        <w:t>月</w:t>
      </w:r>
      <w:r w:rsidRPr="00032A7A">
        <w:rPr>
          <w:rFonts w:ascii="Times New Roman" w:eastAsia="楷体" w:hAnsi="Times New Roman" w:hint="eastAsia"/>
          <w:color w:val="000000" w:themeColor="text1"/>
          <w:sz w:val="24"/>
          <w:szCs w:val="24"/>
        </w:rPr>
        <w:t>CPI</w:t>
      </w:r>
      <w:r w:rsidRPr="00032A7A">
        <w:rPr>
          <w:rFonts w:ascii="Times New Roman" w:eastAsia="楷体" w:hAnsi="Times New Roman" w:hint="eastAsia"/>
          <w:color w:val="000000" w:themeColor="text1"/>
          <w:sz w:val="24"/>
          <w:szCs w:val="24"/>
        </w:rPr>
        <w:t>通胀回升，</w:t>
      </w:r>
      <w:r w:rsidRPr="00032A7A">
        <w:rPr>
          <w:rFonts w:ascii="Times New Roman" w:eastAsia="楷体" w:hAnsi="Times New Roman" w:hint="eastAsia"/>
          <w:color w:val="000000" w:themeColor="text1"/>
          <w:sz w:val="24"/>
          <w:szCs w:val="24"/>
        </w:rPr>
        <w:t>CPI</w:t>
      </w:r>
      <w:r w:rsidRPr="00032A7A">
        <w:rPr>
          <w:rFonts w:ascii="Times New Roman" w:eastAsia="楷体" w:hAnsi="Times New Roman" w:hint="eastAsia"/>
          <w:color w:val="000000" w:themeColor="text1"/>
          <w:sz w:val="24"/>
          <w:szCs w:val="24"/>
        </w:rPr>
        <w:t>同比增</w:t>
      </w:r>
      <w:r w:rsidRPr="00032A7A">
        <w:rPr>
          <w:rFonts w:ascii="Times New Roman" w:eastAsia="楷体" w:hAnsi="Times New Roman" w:hint="eastAsia"/>
          <w:color w:val="000000" w:themeColor="text1"/>
          <w:sz w:val="24"/>
          <w:szCs w:val="24"/>
        </w:rPr>
        <w:t>3.7%</w:t>
      </w:r>
      <w:r w:rsidRPr="00032A7A">
        <w:rPr>
          <w:rFonts w:ascii="Times New Roman" w:eastAsia="楷体" w:hAnsi="Times New Roman" w:hint="eastAsia"/>
          <w:color w:val="000000" w:themeColor="text1"/>
          <w:sz w:val="24"/>
          <w:szCs w:val="24"/>
        </w:rPr>
        <w:t>，略高于</w:t>
      </w:r>
      <w:r w:rsidRPr="00032A7A">
        <w:rPr>
          <w:rFonts w:ascii="Times New Roman" w:eastAsia="楷体" w:hAnsi="Times New Roman" w:hint="eastAsia"/>
          <w:color w:val="000000" w:themeColor="text1"/>
          <w:sz w:val="24"/>
          <w:szCs w:val="24"/>
        </w:rPr>
        <w:t>3.6%</w:t>
      </w:r>
      <w:r w:rsidRPr="00032A7A">
        <w:rPr>
          <w:rFonts w:ascii="Times New Roman" w:eastAsia="楷体" w:hAnsi="Times New Roman" w:hint="eastAsia"/>
          <w:color w:val="000000" w:themeColor="text1"/>
          <w:sz w:val="24"/>
          <w:szCs w:val="24"/>
        </w:rPr>
        <w:t>的此前预期，</w:t>
      </w:r>
      <w:r w:rsidRPr="00032A7A">
        <w:rPr>
          <w:rFonts w:ascii="Times New Roman" w:eastAsia="楷体" w:hAnsi="Times New Roman" w:hint="eastAsia"/>
          <w:color w:val="000000" w:themeColor="text1"/>
          <w:sz w:val="24"/>
          <w:szCs w:val="24"/>
        </w:rPr>
        <w:t>7</w:t>
      </w:r>
      <w:r w:rsidRPr="00032A7A">
        <w:rPr>
          <w:rFonts w:ascii="Times New Roman" w:eastAsia="楷体" w:hAnsi="Times New Roman" w:hint="eastAsia"/>
          <w:color w:val="000000" w:themeColor="text1"/>
          <w:sz w:val="24"/>
          <w:szCs w:val="24"/>
        </w:rPr>
        <w:t>月前值为</w:t>
      </w:r>
      <w:r w:rsidRPr="00032A7A">
        <w:rPr>
          <w:rFonts w:ascii="Times New Roman" w:eastAsia="楷体" w:hAnsi="Times New Roman" w:hint="eastAsia"/>
          <w:color w:val="000000" w:themeColor="text1"/>
          <w:sz w:val="24"/>
          <w:szCs w:val="24"/>
        </w:rPr>
        <w:t>3.2%</w:t>
      </w:r>
      <w:r w:rsidRPr="00032A7A">
        <w:rPr>
          <w:rFonts w:ascii="Times New Roman" w:eastAsia="楷体" w:hAnsi="Times New Roman" w:hint="eastAsia"/>
          <w:color w:val="000000" w:themeColor="text1"/>
          <w:sz w:val="24"/>
          <w:szCs w:val="24"/>
        </w:rPr>
        <w:t>；环比增</w:t>
      </w:r>
      <w:r w:rsidRPr="00032A7A">
        <w:rPr>
          <w:rFonts w:ascii="Times New Roman" w:eastAsia="楷体" w:hAnsi="Times New Roman" w:hint="eastAsia"/>
          <w:color w:val="000000" w:themeColor="text1"/>
          <w:sz w:val="24"/>
          <w:szCs w:val="24"/>
        </w:rPr>
        <w:t>0.6%</w:t>
      </w:r>
      <w:r w:rsidRPr="00032A7A">
        <w:rPr>
          <w:rFonts w:ascii="Times New Roman" w:eastAsia="楷体" w:hAnsi="Times New Roman" w:hint="eastAsia"/>
          <w:color w:val="000000" w:themeColor="text1"/>
          <w:sz w:val="24"/>
          <w:szCs w:val="24"/>
        </w:rPr>
        <w:t>，符合预期，前值为</w:t>
      </w:r>
      <w:r w:rsidRPr="00032A7A">
        <w:rPr>
          <w:rFonts w:ascii="Times New Roman" w:eastAsia="楷体" w:hAnsi="Times New Roman" w:hint="eastAsia"/>
          <w:color w:val="000000" w:themeColor="text1"/>
          <w:sz w:val="24"/>
          <w:szCs w:val="24"/>
        </w:rPr>
        <w:t>0.2%</w:t>
      </w:r>
      <w:r w:rsidRPr="00032A7A">
        <w:rPr>
          <w:rFonts w:ascii="Times New Roman" w:eastAsia="楷体" w:hAnsi="Times New Roman" w:hint="eastAsia"/>
          <w:color w:val="000000" w:themeColor="text1"/>
          <w:sz w:val="24"/>
          <w:szCs w:val="24"/>
        </w:rPr>
        <w:t>。</w:t>
      </w:r>
      <w:r w:rsidRPr="00032A7A">
        <w:rPr>
          <w:rFonts w:ascii="Times New Roman" w:eastAsia="楷体" w:hAnsi="Times New Roman" w:hint="eastAsia"/>
          <w:color w:val="000000" w:themeColor="text1"/>
          <w:sz w:val="24"/>
          <w:szCs w:val="24"/>
        </w:rPr>
        <w:t>8</w:t>
      </w:r>
      <w:r w:rsidRPr="00032A7A">
        <w:rPr>
          <w:rFonts w:ascii="Times New Roman" w:eastAsia="楷体" w:hAnsi="Times New Roman" w:hint="eastAsia"/>
          <w:color w:val="000000" w:themeColor="text1"/>
          <w:sz w:val="24"/>
          <w:szCs w:val="24"/>
        </w:rPr>
        <w:t>月核心</w:t>
      </w:r>
      <w:r w:rsidRPr="00032A7A">
        <w:rPr>
          <w:rFonts w:ascii="Times New Roman" w:eastAsia="楷体" w:hAnsi="Times New Roman" w:hint="eastAsia"/>
          <w:color w:val="000000" w:themeColor="text1"/>
          <w:sz w:val="24"/>
          <w:szCs w:val="24"/>
        </w:rPr>
        <w:t>CPI</w:t>
      </w:r>
      <w:r w:rsidRPr="00032A7A">
        <w:rPr>
          <w:rFonts w:ascii="Times New Roman" w:eastAsia="楷体" w:hAnsi="Times New Roman" w:hint="eastAsia"/>
          <w:color w:val="000000" w:themeColor="text1"/>
          <w:sz w:val="24"/>
          <w:szCs w:val="24"/>
        </w:rPr>
        <w:t>同比增</w:t>
      </w:r>
      <w:r w:rsidRPr="00032A7A">
        <w:rPr>
          <w:rFonts w:ascii="Times New Roman" w:eastAsia="楷体" w:hAnsi="Times New Roman" w:hint="eastAsia"/>
          <w:color w:val="000000" w:themeColor="text1"/>
          <w:sz w:val="24"/>
          <w:szCs w:val="24"/>
        </w:rPr>
        <w:t>4.3%</w:t>
      </w:r>
      <w:r w:rsidRPr="00032A7A">
        <w:rPr>
          <w:rFonts w:ascii="Times New Roman" w:eastAsia="楷体" w:hAnsi="Times New Roman" w:hint="eastAsia"/>
          <w:color w:val="000000" w:themeColor="text1"/>
          <w:sz w:val="24"/>
          <w:szCs w:val="24"/>
        </w:rPr>
        <w:t>，预期</w:t>
      </w:r>
      <w:r w:rsidRPr="00032A7A">
        <w:rPr>
          <w:rFonts w:ascii="Times New Roman" w:eastAsia="楷体" w:hAnsi="Times New Roman" w:hint="eastAsia"/>
          <w:color w:val="000000" w:themeColor="text1"/>
          <w:sz w:val="24"/>
          <w:szCs w:val="24"/>
        </w:rPr>
        <w:t>4.3%</w:t>
      </w:r>
      <w:r w:rsidRPr="00032A7A">
        <w:rPr>
          <w:rFonts w:ascii="Times New Roman" w:eastAsia="楷体" w:hAnsi="Times New Roman" w:hint="eastAsia"/>
          <w:color w:val="000000" w:themeColor="text1"/>
          <w:sz w:val="24"/>
          <w:szCs w:val="24"/>
        </w:rPr>
        <w:t>，前值</w:t>
      </w:r>
      <w:r w:rsidRPr="00032A7A">
        <w:rPr>
          <w:rFonts w:ascii="Times New Roman" w:eastAsia="楷体" w:hAnsi="Times New Roman" w:hint="eastAsia"/>
          <w:color w:val="000000" w:themeColor="text1"/>
          <w:sz w:val="24"/>
          <w:szCs w:val="24"/>
        </w:rPr>
        <w:t>4.7%</w:t>
      </w:r>
      <w:r w:rsidRPr="00032A7A">
        <w:rPr>
          <w:rFonts w:ascii="Times New Roman" w:eastAsia="楷体" w:hAnsi="Times New Roman" w:hint="eastAsia"/>
          <w:color w:val="000000" w:themeColor="text1"/>
          <w:sz w:val="24"/>
          <w:szCs w:val="24"/>
        </w:rPr>
        <w:t>；环比增</w:t>
      </w:r>
      <w:r w:rsidRPr="00032A7A">
        <w:rPr>
          <w:rFonts w:ascii="Times New Roman" w:eastAsia="楷体" w:hAnsi="Times New Roman" w:hint="eastAsia"/>
          <w:color w:val="000000" w:themeColor="text1"/>
          <w:sz w:val="24"/>
          <w:szCs w:val="24"/>
        </w:rPr>
        <w:t>0.3%</w:t>
      </w:r>
      <w:r w:rsidRPr="00032A7A">
        <w:rPr>
          <w:rFonts w:ascii="Times New Roman" w:eastAsia="楷体" w:hAnsi="Times New Roman" w:hint="eastAsia"/>
          <w:color w:val="000000" w:themeColor="text1"/>
          <w:sz w:val="24"/>
          <w:szCs w:val="24"/>
        </w:rPr>
        <w:t>，预期及前值均为</w:t>
      </w:r>
      <w:r w:rsidRPr="00032A7A">
        <w:rPr>
          <w:rFonts w:ascii="Times New Roman" w:eastAsia="楷体" w:hAnsi="Times New Roman" w:hint="eastAsia"/>
          <w:color w:val="000000" w:themeColor="text1"/>
          <w:sz w:val="24"/>
          <w:szCs w:val="24"/>
        </w:rPr>
        <w:t>0.2%</w:t>
      </w:r>
      <w:r w:rsidRPr="00032A7A">
        <w:rPr>
          <w:rFonts w:ascii="Times New Roman" w:eastAsia="楷体" w:hAnsi="Times New Roman" w:hint="eastAsia"/>
          <w:color w:val="000000" w:themeColor="text1"/>
          <w:sz w:val="24"/>
          <w:szCs w:val="24"/>
        </w:rPr>
        <w:t>。美元指数上涨</w:t>
      </w:r>
      <w:r w:rsidRPr="00032A7A">
        <w:rPr>
          <w:rFonts w:ascii="Times New Roman" w:eastAsia="楷体" w:hAnsi="Times New Roman" w:hint="eastAsia"/>
          <w:color w:val="000000" w:themeColor="text1"/>
          <w:sz w:val="24"/>
          <w:szCs w:val="24"/>
        </w:rPr>
        <w:t>0.2%</w:t>
      </w:r>
      <w:r w:rsidRPr="00032A7A">
        <w:rPr>
          <w:rFonts w:ascii="Times New Roman" w:eastAsia="楷体" w:hAnsi="Times New Roman" w:hint="eastAsia"/>
          <w:color w:val="000000" w:themeColor="text1"/>
          <w:sz w:val="24"/>
          <w:szCs w:val="24"/>
        </w:rPr>
        <w:t>至</w:t>
      </w:r>
      <w:r w:rsidRPr="00032A7A">
        <w:rPr>
          <w:rFonts w:ascii="Times New Roman" w:eastAsia="楷体" w:hAnsi="Times New Roman" w:hint="eastAsia"/>
          <w:color w:val="000000" w:themeColor="text1"/>
          <w:sz w:val="24"/>
          <w:szCs w:val="24"/>
        </w:rPr>
        <w:t>104.77</w:t>
      </w:r>
      <w:r w:rsidRPr="00032A7A">
        <w:rPr>
          <w:rFonts w:ascii="Times New Roman" w:eastAsia="楷体" w:hAnsi="Times New Roman" w:hint="eastAsia"/>
          <w:color w:val="000000" w:themeColor="text1"/>
          <w:sz w:val="24"/>
          <w:szCs w:val="24"/>
        </w:rPr>
        <w:t>，美十债收益率下跌</w:t>
      </w:r>
      <w:r w:rsidRPr="00032A7A">
        <w:rPr>
          <w:rFonts w:ascii="Times New Roman" w:eastAsia="楷体" w:hAnsi="Times New Roman" w:hint="eastAsia"/>
          <w:color w:val="000000" w:themeColor="text1"/>
          <w:sz w:val="24"/>
          <w:szCs w:val="24"/>
        </w:rPr>
        <w:t>3.2bp</w:t>
      </w:r>
      <w:r w:rsidRPr="00032A7A">
        <w:rPr>
          <w:rFonts w:ascii="Times New Roman" w:eastAsia="楷体" w:hAnsi="Times New Roman" w:hint="eastAsia"/>
          <w:color w:val="000000" w:themeColor="text1"/>
          <w:sz w:val="24"/>
          <w:szCs w:val="24"/>
        </w:rPr>
        <w:t>至</w:t>
      </w:r>
      <w:r w:rsidRPr="00032A7A">
        <w:rPr>
          <w:rFonts w:ascii="Times New Roman" w:eastAsia="楷体" w:hAnsi="Times New Roman" w:hint="eastAsia"/>
          <w:color w:val="000000" w:themeColor="text1"/>
          <w:sz w:val="24"/>
          <w:szCs w:val="24"/>
        </w:rPr>
        <w:t>4.257%</w:t>
      </w:r>
      <w:r w:rsidRPr="00032A7A">
        <w:rPr>
          <w:rFonts w:ascii="Times New Roman" w:eastAsia="楷体" w:hAnsi="Times New Roman" w:hint="eastAsia"/>
          <w:color w:val="000000" w:themeColor="text1"/>
          <w:sz w:val="24"/>
          <w:szCs w:val="24"/>
        </w:rPr>
        <w:t>。昨夜沪金、沪银小幅反弹。市场预期美国利率水平将长期维持高位，</w:t>
      </w:r>
      <w:r w:rsidRPr="00032A7A">
        <w:rPr>
          <w:rFonts w:ascii="Times New Roman" w:eastAsia="楷体" w:hAnsi="Times New Roman" w:hint="eastAsia"/>
          <w:color w:val="000000" w:themeColor="text1"/>
          <w:sz w:val="24"/>
          <w:szCs w:val="24"/>
        </w:rPr>
        <w:t>9</w:t>
      </w:r>
      <w:r w:rsidRPr="00032A7A">
        <w:rPr>
          <w:rFonts w:ascii="Times New Roman" w:eastAsia="楷体" w:hAnsi="Times New Roman" w:hint="eastAsia"/>
          <w:color w:val="000000" w:themeColor="text1"/>
          <w:sz w:val="24"/>
          <w:szCs w:val="24"/>
        </w:rPr>
        <w:t>月或暂缓加息，建议内盘贵金属以逢低做多思路为主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55827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558271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32A7A" w:rsidRPr="00032A7A">
        <w:rPr>
          <w:rFonts w:ascii="楷体" w:eastAsia="楷体" w:hAnsi="楷体" w:hint="eastAsia"/>
          <w:b/>
          <w:color w:val="000000" w:themeColor="text1"/>
          <w:sz w:val="24"/>
          <w:szCs w:val="24"/>
        </w:rPr>
        <w:t>供应上行而需求偏弱，期价震荡下跌</w:t>
      </w:r>
      <w:bookmarkEnd w:id="18"/>
    </w:p>
    <w:p w:rsidR="00F50569" w:rsidRDefault="00032A7A" w:rsidP="00F50569">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现货、期货价格进一步下行。锂盐维持供过于求，上游部分大型生产企业陆续去库，市场预期近期锂盐供应增长，在消息面角度或对锂价形成一定的利空。正极材料端，磷酸铁锂、三元材料制造成本随原材料价格下行而回落，因需求疲软，下游多数维持刚需生产，消耗此前原材料库存，市场活跃度偏低。终端需求未见改善，下游采购积极性偏弱，未启动批量采购，锂价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5582717"/>
      <w:r>
        <w:rPr>
          <w:rFonts w:ascii="楷体" w:eastAsia="楷体" w:hAnsi="楷体" w:hint="eastAsia"/>
          <w:b/>
          <w:color w:val="000000" w:themeColor="text1"/>
          <w:sz w:val="24"/>
          <w:szCs w:val="24"/>
        </w:rPr>
        <w:t>螺纹钢：</w:t>
      </w:r>
      <w:bookmarkEnd w:id="16"/>
      <w:bookmarkEnd w:id="17"/>
      <w:r w:rsidR="00032A7A" w:rsidRPr="00032A7A">
        <w:rPr>
          <w:rFonts w:ascii="楷体" w:eastAsia="楷体" w:hAnsi="楷体" w:hint="eastAsia"/>
          <w:b/>
          <w:color w:val="000000" w:themeColor="text1"/>
          <w:sz w:val="24"/>
          <w:szCs w:val="24"/>
        </w:rPr>
        <w:t>情绪回温后，关注本周需求数据</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032A7A" w:rsidP="00201944">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现货价格连续上涨后回落，短期成本端对盘面形成较大支撑。本周需求回补力度或影响市场对旺季的预期，价格或继续偏强震荡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5582718"/>
      <w:r>
        <w:rPr>
          <w:rFonts w:ascii="楷体" w:eastAsia="楷体" w:hAnsi="楷体" w:hint="eastAsia"/>
          <w:b/>
          <w:color w:val="000000" w:themeColor="text1"/>
          <w:sz w:val="24"/>
          <w:szCs w:val="24"/>
        </w:rPr>
        <w:t>焦炭：</w:t>
      </w:r>
      <w:bookmarkEnd w:id="20"/>
      <w:bookmarkEnd w:id="21"/>
      <w:r w:rsidR="00032A7A" w:rsidRPr="00032A7A">
        <w:rPr>
          <w:rFonts w:ascii="楷体" w:eastAsia="楷体" w:hAnsi="楷体" w:hint="eastAsia"/>
          <w:b/>
          <w:color w:val="000000" w:themeColor="text1"/>
          <w:sz w:val="24"/>
          <w:szCs w:val="24"/>
        </w:rPr>
        <w:t>港口焦炭价格偏稳，或高位震荡</w:t>
      </w:r>
      <w:bookmarkEnd w:id="22"/>
    </w:p>
    <w:p w:rsidR="003F56A5" w:rsidRDefault="00032A7A" w:rsidP="00572E35">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港口现货价格保持平稳，各类配煤补涨下成本驱动较强，但部分成材处于亏损，提涨或需博弈较长时间。短期盘面升水幅度较大，等待现货提涨落地，整体或震荡偏强运行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5582719"/>
      <w:r>
        <w:rPr>
          <w:rFonts w:ascii="楷体" w:eastAsia="楷体" w:hAnsi="楷体" w:hint="eastAsia"/>
          <w:b/>
          <w:color w:val="000000" w:themeColor="text1"/>
          <w:sz w:val="24"/>
          <w:szCs w:val="24"/>
        </w:rPr>
        <w:t>焦煤：</w:t>
      </w:r>
      <w:r w:rsidR="00032A7A" w:rsidRPr="00032A7A">
        <w:rPr>
          <w:rFonts w:ascii="楷体" w:eastAsia="楷体" w:hAnsi="楷体" w:hint="eastAsia"/>
          <w:b/>
          <w:sz w:val="24"/>
          <w:szCs w:val="24"/>
        </w:rPr>
        <w:t>等待成材打开空间，或高位震荡</w:t>
      </w:r>
      <w:bookmarkEnd w:id="23"/>
    </w:p>
    <w:p w:rsidR="003F56A5" w:rsidRDefault="00032A7A">
      <w:pPr>
        <w:ind w:leftChars="300" w:left="630"/>
        <w:rPr>
          <w:rFonts w:ascii="楷体" w:eastAsia="楷体" w:hAnsi="楷体"/>
          <w:bCs/>
          <w:sz w:val="24"/>
          <w:szCs w:val="24"/>
        </w:rPr>
      </w:pPr>
      <w:r w:rsidRPr="00032A7A">
        <w:rPr>
          <w:rFonts w:ascii="楷体" w:eastAsia="楷体" w:hAnsi="楷体" w:hint="eastAsia"/>
          <w:sz w:val="24"/>
          <w:szCs w:val="24"/>
        </w:rPr>
        <w:lastRenderedPageBreak/>
        <w:t>焦煤现货价格偏稳，，国庆前下游补库或成为价格主要驱动。当前海外价格煤价仍继续上行，短期价格高位偏短期焦煤独立驱动或接近边际状态，短期等待成材继续上行打开空间强震荡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5582720"/>
      <w:r>
        <w:rPr>
          <w:rFonts w:ascii="楷体" w:eastAsia="楷体" w:hAnsi="楷体" w:hint="eastAsia"/>
          <w:b/>
          <w:color w:val="000000" w:themeColor="text1"/>
          <w:sz w:val="24"/>
          <w:szCs w:val="24"/>
        </w:rPr>
        <w:t>铜：</w:t>
      </w:r>
      <w:bookmarkEnd w:id="24"/>
      <w:bookmarkEnd w:id="25"/>
      <w:r w:rsidR="00032A7A" w:rsidRPr="00032A7A">
        <w:rPr>
          <w:rFonts w:ascii="楷体" w:eastAsia="楷体" w:hAnsi="楷体" w:hint="eastAsia"/>
          <w:b/>
          <w:color w:val="000000" w:themeColor="text1"/>
          <w:sz w:val="24"/>
          <w:szCs w:val="24"/>
        </w:rPr>
        <w:t>区间震荡承压运行</w:t>
      </w:r>
      <w:bookmarkEnd w:id="26"/>
    </w:p>
    <w:p w:rsidR="00032A7A" w:rsidRPr="00032A7A" w:rsidRDefault="00032A7A" w:rsidP="00032A7A">
      <w:pPr>
        <w:ind w:leftChars="300" w:left="630"/>
        <w:rPr>
          <w:rFonts w:ascii="楷体" w:eastAsia="楷体" w:hAnsi="楷体" w:hint="eastAsia"/>
          <w:color w:val="000000" w:themeColor="text1"/>
          <w:sz w:val="24"/>
          <w:szCs w:val="24"/>
        </w:rPr>
      </w:pPr>
      <w:r w:rsidRPr="00032A7A">
        <w:rPr>
          <w:rFonts w:ascii="楷体" w:eastAsia="楷体" w:hAnsi="楷体" w:hint="eastAsia"/>
          <w:color w:val="000000" w:themeColor="text1"/>
          <w:sz w:val="24"/>
          <w:szCs w:val="24"/>
        </w:rPr>
        <w:t>(1)宏观：美国8月CPI同比涨幅从7月的3.2%反弹至3.7%，为连续第二个月同比增速反弹，超过预期的3.6%；8月CPI环比增速由7月的0.2%加快至0.6%，创下14个月来最大涨幅；美国8月剔除食品和能源成本的核心CPI环比上升0.3%，为6个月来的首次加速上涨。</w:t>
      </w:r>
    </w:p>
    <w:p w:rsidR="00032A7A" w:rsidRPr="00032A7A" w:rsidRDefault="00032A7A" w:rsidP="00032A7A">
      <w:pPr>
        <w:ind w:leftChars="300" w:left="630"/>
        <w:rPr>
          <w:rFonts w:ascii="楷体" w:eastAsia="楷体" w:hAnsi="楷体" w:hint="eastAsia"/>
          <w:color w:val="000000" w:themeColor="text1"/>
          <w:sz w:val="24"/>
          <w:szCs w:val="24"/>
        </w:rPr>
      </w:pPr>
      <w:r w:rsidRPr="00032A7A">
        <w:rPr>
          <w:rFonts w:ascii="楷体" w:eastAsia="楷体" w:hAnsi="楷体" w:hint="eastAsia"/>
          <w:color w:val="000000" w:themeColor="text1"/>
          <w:sz w:val="24"/>
          <w:szCs w:val="24"/>
        </w:rPr>
        <w:t>(2)库存：9月13日，SHFE仓单库存6899吨，增2076吨；LME仓单库存143400吨，增7750吨。</w:t>
      </w:r>
    </w:p>
    <w:p w:rsidR="00032A7A" w:rsidRPr="00032A7A" w:rsidRDefault="00032A7A" w:rsidP="00032A7A">
      <w:pPr>
        <w:ind w:leftChars="300" w:left="630"/>
        <w:rPr>
          <w:rFonts w:ascii="楷体" w:eastAsia="楷体" w:hAnsi="楷体" w:hint="eastAsia"/>
          <w:color w:val="000000" w:themeColor="text1"/>
          <w:sz w:val="24"/>
          <w:szCs w:val="24"/>
        </w:rPr>
      </w:pPr>
      <w:r w:rsidRPr="00032A7A">
        <w:rPr>
          <w:rFonts w:ascii="楷体" w:eastAsia="楷体" w:hAnsi="楷体" w:hint="eastAsia"/>
          <w:color w:val="000000" w:themeColor="text1"/>
          <w:sz w:val="24"/>
          <w:szCs w:val="24"/>
        </w:rPr>
        <w:t>(3)精废价差：9月13日，Mysteel精废价差1444，收窄4。目前价差在合理价差1394之上。</w:t>
      </w:r>
    </w:p>
    <w:p w:rsidR="00032A7A" w:rsidRPr="00032A7A" w:rsidRDefault="00032A7A" w:rsidP="00032A7A">
      <w:pPr>
        <w:ind w:leftChars="300" w:left="630"/>
        <w:rPr>
          <w:rFonts w:ascii="楷体" w:eastAsia="楷体" w:hAnsi="楷体"/>
          <w:color w:val="000000" w:themeColor="text1"/>
          <w:sz w:val="24"/>
          <w:szCs w:val="24"/>
        </w:rPr>
      </w:pPr>
    </w:p>
    <w:p w:rsidR="00127803" w:rsidRPr="00127803" w:rsidRDefault="00032A7A" w:rsidP="00032A7A">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综述：美国8月CPI数据连续两个月回升且高于预期，美联储后期仍有加息可能性，美元指数维持偏强运行，压制铜价。内外库存累积，现货升水低迷，基本面支撑较弱，但临近国庆长假下游存一定补库需求，且国内政策预期下，9-10月现实消费仍待进一步验证，短期趋势性行情难现，沪铜呈震荡承压运行，参考68000-69500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5582721"/>
      <w:r>
        <w:rPr>
          <w:rFonts w:ascii="楷体" w:eastAsia="楷体" w:hAnsi="楷体" w:hint="eastAsia"/>
          <w:b/>
          <w:color w:val="000000" w:themeColor="text1"/>
          <w:sz w:val="24"/>
          <w:szCs w:val="24"/>
        </w:rPr>
        <w:t>铝：</w:t>
      </w:r>
      <w:bookmarkEnd w:id="27"/>
      <w:bookmarkEnd w:id="28"/>
      <w:r w:rsidR="00032A7A" w:rsidRPr="00032A7A">
        <w:rPr>
          <w:rFonts w:ascii="楷体" w:eastAsia="楷体" w:hAnsi="楷体" w:hint="eastAsia"/>
          <w:b/>
          <w:color w:val="000000" w:themeColor="text1"/>
          <w:sz w:val="24"/>
          <w:szCs w:val="24"/>
        </w:rPr>
        <w:t>宏观情绪压制，铝价承压运行</w:t>
      </w:r>
      <w:bookmarkEnd w:id="29"/>
    </w:p>
    <w:p w:rsidR="003F56A5" w:rsidRDefault="00032A7A" w:rsidP="00127803">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美国通胀再起，联储加息预期走强，美元指数偏强，有色价格承压。电解铝运行产能维持高位，供应投放仍有增量，新投及复产多为铝水，铝棒库存维持低位小幅走增，铝锭社库库存逐步累库，但铝市低库存现状仍未缓解，叠加10月长假前长假有主动补库需求，下游在国家政策大力刺激及传统旺季支撑的情况下市场存有较高预期，实际下游需求暂未出现明显改善。铝市利多有低库存现实叠加下游需求改善预期支撑，利空有供应增量压制上方价格，铝价突破区间上沿19500后重回震荡区间，若需求驱动不足或出现库存有效累库，铝价或再度回落至17000-19500的中值区间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5582722"/>
      <w:r>
        <w:rPr>
          <w:rFonts w:ascii="楷体" w:eastAsia="楷体" w:hAnsi="楷体" w:hint="eastAsia"/>
          <w:b/>
          <w:color w:val="000000" w:themeColor="text1"/>
          <w:sz w:val="24"/>
          <w:szCs w:val="24"/>
        </w:rPr>
        <w:t>锌：</w:t>
      </w:r>
      <w:r w:rsidR="00032A7A" w:rsidRPr="00032A7A">
        <w:rPr>
          <w:rFonts w:ascii="楷体" w:eastAsia="楷体" w:hAnsi="楷体" w:hint="eastAsia"/>
          <w:b/>
          <w:color w:val="000000" w:themeColor="text1"/>
          <w:sz w:val="24"/>
          <w:szCs w:val="24"/>
        </w:rPr>
        <w:t>锌价高位震荡</w:t>
      </w:r>
      <w:bookmarkEnd w:id="30"/>
    </w:p>
    <w:p w:rsidR="003F56A5" w:rsidRDefault="00032A7A" w:rsidP="000B0648">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昨日美国通胀数据表现高于预期，联储加息预期走增，美元指数震荡偏强，压制有色价格，锌价依旧维持上涨。进入9月，国内矿端因进口TC下降及四季度矿产进入淡季及冬储需求有走紧预期，前期部分冶炼厂检修产能恢复，进口供应维持高位，冶炼利润尚可维持厂家投产意愿，精炼锌供应仍维持偏多观点。近期锌价快速走升，下游企业慎重采购，订单量未有明显改善，镀锌开工率周度环比走弱，压铸锌及氧化锌开工周度环比略有修复，整体需求未体现明显走增，关注后续政策对实际消费的刺激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5582723"/>
      <w:r>
        <w:rPr>
          <w:rFonts w:ascii="楷体" w:eastAsia="楷体" w:hAnsi="楷体" w:hint="eastAsia"/>
          <w:b/>
          <w:color w:val="000000" w:themeColor="text1"/>
          <w:sz w:val="24"/>
          <w:szCs w:val="24"/>
        </w:rPr>
        <w:t>镍：</w:t>
      </w:r>
      <w:r w:rsidR="00032A7A" w:rsidRPr="00032A7A">
        <w:rPr>
          <w:rFonts w:ascii="楷体" w:eastAsia="楷体" w:hAnsi="楷体" w:hint="eastAsia"/>
          <w:b/>
          <w:color w:val="000000" w:themeColor="text1"/>
          <w:sz w:val="24"/>
          <w:szCs w:val="24"/>
        </w:rPr>
        <w:t>需求旺季尚未体现，镍价弱势运行</w:t>
      </w:r>
      <w:bookmarkEnd w:id="31"/>
    </w:p>
    <w:p w:rsidR="003F56A5" w:rsidRDefault="00032A7A">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美国8月CPI录得3.7%，为连续第二次回升，表示通胀压力反弹，市场对美联储11月加息预期升温。国内8月社融等数据回暖，反映政策积极效果初步显现，经济不断好转。成本方面，印尼镍矿RKAB事件仍在持续，且工厂季节性备库需求强烈，镍矿和镍铁价格坚挺，支撑镍产业链成本。供</w:t>
      </w:r>
      <w:r w:rsidRPr="00032A7A">
        <w:rPr>
          <w:rFonts w:ascii="楷体" w:eastAsia="楷体" w:hAnsi="楷体" w:hint="eastAsia"/>
          <w:color w:val="000000" w:themeColor="text1"/>
          <w:sz w:val="24"/>
          <w:szCs w:val="24"/>
        </w:rPr>
        <w:lastRenderedPageBreak/>
        <w:t>应方面，镍的存量项目和新投产项目产量逐步释放，据SMM数据显示，8月精炼镍产量环比上升1.39%，印尼青美邦镍资源项目二期建设计划镍资源产能扩产9.3万吨金属镍，镍中长期显著过剩预期较明晰。步入9月以来，需求尚未有明显起色，但在政策的助推下市场对于传统旺季持有需求修复预期。现货市场货源充足，贸易商降价出货，现货升水持续承压下跌。精炼镍社会库存呈累库，但低位库存对镍价支撑仍在。综合来看，宏观情绪多空交织，供应持续放量而需求未见明显好转的基本面格局对镍价存在压制，预计区间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558272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5582725"/>
      <w:r>
        <w:rPr>
          <w:rFonts w:ascii="楷体" w:eastAsia="楷体" w:hAnsi="楷体" w:hint="eastAsia"/>
          <w:b/>
          <w:color w:val="000000" w:themeColor="text1"/>
          <w:sz w:val="24"/>
          <w:szCs w:val="24"/>
        </w:rPr>
        <w:t>不锈钢：</w:t>
      </w:r>
      <w:r w:rsidR="00032A7A" w:rsidRPr="00032A7A">
        <w:rPr>
          <w:rFonts w:ascii="楷体" w:eastAsia="楷体" w:hAnsi="楷体" w:hint="eastAsia"/>
          <w:b/>
          <w:color w:val="000000" w:themeColor="text1"/>
          <w:sz w:val="24"/>
          <w:szCs w:val="24"/>
        </w:rPr>
        <w:t>现实基本面偏弱，成本支撑犹存</w:t>
      </w:r>
      <w:bookmarkEnd w:id="33"/>
    </w:p>
    <w:p w:rsidR="003F56A5" w:rsidRDefault="00032A7A">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受能源成本上涨影响，美国8月CPI连续两个月回升，核心CPI回落，但是环比涨幅高于预期，通胀仍面临上行风险，美联储四季度加息可能性上升。我国8月份宏观数据体现了经济边际改善的积极变化，提振市场信心。印尼矿端RKAB事件造成的镍矿供应紧缺局面仍在持续，印尼RKAB审批的简化程序将被取消，目前已换回旧审批程序，镍矿配额签发继续推迟，加上目前处于雨季前的备库期，许多工厂加价询购镍矿，镍矿价格坚挺，高镍铁价格预计维持高位，且高碳铬铁价格也居高不下，成本端为不锈钢价提供强有力支撑。供应端，不锈钢排产高位稳定，据Mysteel调研，8-9月排产已超320万吨，居于历史高位。需求端，在地产政策的提振下，月初市场对不锈钢旺季需求持有乐观情绪浓厚，但下游成交氛围仅稍有回暖，仍然处于疲弱状态。综合而言，供应维持高排产，需求表现不及预期，但成本支撑下不锈钢下跌空间有限，短期或窄幅震荡偏弱，建议暂时观望。关注需求变化情况及印尼镍矿政策变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5582726"/>
      <w:r>
        <w:rPr>
          <w:rFonts w:ascii="楷体" w:eastAsia="楷体" w:hAnsi="楷体" w:hint="eastAsia"/>
          <w:b/>
          <w:color w:val="000000" w:themeColor="text1"/>
          <w:sz w:val="24"/>
          <w:szCs w:val="24"/>
        </w:rPr>
        <w:t>工业硅：</w:t>
      </w:r>
      <w:r w:rsidR="00032A7A" w:rsidRPr="00032A7A">
        <w:rPr>
          <w:rFonts w:ascii="楷体" w:eastAsia="楷体" w:hAnsi="楷体" w:hint="eastAsia"/>
          <w:b/>
          <w:sz w:val="24"/>
          <w:szCs w:val="24"/>
        </w:rPr>
        <w:t>周内大厂继续提价，预计市场仍有支撑</w:t>
      </w:r>
      <w:bookmarkEnd w:id="34"/>
    </w:p>
    <w:p w:rsidR="003F56A5" w:rsidRDefault="00032A7A" w:rsidP="00827E8A">
      <w:pPr>
        <w:ind w:leftChars="300" w:left="630"/>
        <w:rPr>
          <w:rFonts w:ascii="楷体" w:eastAsia="楷体" w:hAnsi="楷体"/>
          <w:sz w:val="24"/>
          <w:szCs w:val="24"/>
        </w:rPr>
      </w:pPr>
      <w:r w:rsidRPr="00032A7A">
        <w:rPr>
          <w:rFonts w:ascii="楷体" w:eastAsia="楷体" w:hAnsi="楷体" w:hint="eastAsia"/>
          <w:sz w:val="24"/>
          <w:szCs w:val="24"/>
        </w:rPr>
        <w:t>9月13日，Si2311主力合约呈冲低开反弹走势，收盘价14390元/吨，较上一收盘价涨跌幅-0.31%。由于行业注册仓单积极性依旧较高，当下现货库存持续向期货库存转移，使得现货流通整体偏紧。周内北方大厂继续提价，使得持货商报涨情绪积极。据SMM调研了解，近期磨粉厂及多晶用户采购积极性较高，排单交货时间在一周到三周不等，叠加贸易商以及其他下游陆续增加询单，预计短期市场仍有支撑。策略上，建议可继续把握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55827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558272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32A7A" w:rsidRPr="00032A7A">
        <w:rPr>
          <w:rFonts w:ascii="楷体" w:eastAsia="楷体" w:hAnsi="楷体" w:hint="eastAsia"/>
          <w:b/>
          <w:sz w:val="24"/>
          <w:szCs w:val="24"/>
        </w:rPr>
        <w:t>利好因素逐渐消化 RU上探乏力</w:t>
      </w:r>
      <w:bookmarkEnd w:id="37"/>
    </w:p>
    <w:p w:rsidR="003F56A5" w:rsidRDefault="00032A7A">
      <w:pPr>
        <w:ind w:leftChars="300" w:left="630"/>
        <w:rPr>
          <w:rFonts w:ascii="楷体" w:eastAsia="楷体" w:hAnsi="楷体"/>
          <w:sz w:val="24"/>
          <w:szCs w:val="24"/>
        </w:rPr>
      </w:pPr>
      <w:r w:rsidRPr="00032A7A">
        <w:rPr>
          <w:rFonts w:ascii="楷体" w:eastAsia="楷体" w:hAnsi="楷体" w:hint="eastAsia"/>
          <w:sz w:val="24"/>
          <w:szCs w:val="24"/>
        </w:rPr>
        <w:t>点评：在经历前两周大幅上涨后，预计短期天胶市场利好因素有所消化，上行压力较大。目前看，供给端，尽管全球即将进入季节性增产阶段，但近期主产区泰国、越南受到大面积降雨干扰，割胶工作开展受限，原料产出维持偏少状态，加之乳胶制品需求回暖拉涨原料价格，对胶价存一定支撑。8-9月份天胶到港量偏少，近四周港口库存延续小幅去库态势，提振市场信心。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浓乳下游需求季节性补库，下游轮胎排产顺畅，国内深色胶库存延续去库。供需支撑天胶市场回归现货价值后企稳运行。同时近期市场有轮储消息面炒作，但虚实仍待进一步落实。随着各项利好因素逐渐消化，胶价上探乏力，宽幅波动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558272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32A7A" w:rsidRPr="00032A7A">
        <w:rPr>
          <w:rFonts w:ascii="楷体" w:eastAsia="楷体" w:hAnsi="楷体" w:hint="eastAsia"/>
          <w:b/>
          <w:color w:val="000000" w:themeColor="text1"/>
          <w:sz w:val="24"/>
          <w:szCs w:val="24"/>
        </w:rPr>
        <w:t>成本端支撑及低加工费趋势仍偏强</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032A7A" w:rsidP="002C73FE">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OPEC月报对今明两年需求前景持乐观态度，聚酯原料端整体延续偏强走势。PX方面，浙石化PX900万吨歧化装置近日进行为期2周的计划内检修，预计PX降幅10-15%左右，PX供应收紧预期驱动价格走高。PTA供应方面本周恒力3线计划内检修，嘉兴石化150万吨重启，英力士125万吨装置短停后恢复，其他个别装置负荷小幅波动，PTA负荷在81.2%附近。近期PTA加工费压缩至100元/吨，如果考虑醋酸成本，PTA加工差已到0值以下，PTA装置计划外检修增多，如逸盛海南200万吨，蓬威90万吨的装置停车。需求方面，本周聚酯装置负荷基本持稳，综合负荷整体浮动不大，截至9.7，初步核算国内大陆地区聚酯负荷在92.7%。市场对9-10月份旺季有预期，低库存下预计近期聚酯不会轻易减停产。终端方面，近期织造、印染开机有明显提升，秋冬季订单陆下单有所增多，坯布出货增加，需求边际季节性改善。展望后市，低加工费下PTA装置检修增多，成本端支撑仍存+聚酯因库存低位高开工维持需求韧性尚可，旺季逐步兑现PTA期价易涨难跌。关注PTA低多及卖看跌期权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558273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w:t>
      </w:r>
      <w:r w:rsidRPr="00E34EAB">
        <w:rPr>
          <w:rFonts w:ascii="楷体" w:eastAsia="楷体" w:hAnsi="楷体" w:hint="eastAsia"/>
          <w:color w:val="000000" w:themeColor="text1"/>
          <w:sz w:val="24"/>
          <w:szCs w:val="24"/>
        </w:rPr>
        <w:lastRenderedPageBreak/>
        <w:t>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5582731"/>
      <w:r>
        <w:rPr>
          <w:rFonts w:ascii="楷体" w:eastAsia="楷体" w:hAnsi="楷体" w:hint="eastAsia"/>
          <w:b/>
          <w:color w:val="000000" w:themeColor="text1"/>
          <w:sz w:val="24"/>
          <w:szCs w:val="24"/>
        </w:rPr>
        <w:t>聚烯烃：</w:t>
      </w:r>
      <w:r w:rsidR="00032A7A" w:rsidRPr="00032A7A">
        <w:rPr>
          <w:rFonts w:ascii="楷体" w:eastAsia="楷体" w:hAnsi="楷体" w:hint="eastAsia"/>
          <w:b/>
          <w:color w:val="000000" w:themeColor="text1"/>
          <w:sz w:val="24"/>
          <w:szCs w:val="24"/>
        </w:rPr>
        <w:t>下游刚需补库 聚烯烃维持震荡为主</w:t>
      </w:r>
      <w:bookmarkEnd w:id="40"/>
    </w:p>
    <w:p w:rsidR="003F56A5" w:rsidRDefault="00032A7A">
      <w:pPr>
        <w:ind w:leftChars="300" w:left="630"/>
        <w:rPr>
          <w:rFonts w:ascii="楷体" w:eastAsia="楷体" w:hAnsi="楷体"/>
          <w:bCs/>
          <w:sz w:val="24"/>
          <w:szCs w:val="24"/>
        </w:rPr>
      </w:pPr>
      <w:r w:rsidRPr="00032A7A">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国际能源署称全球有供应不足的风险， 国际油价盘中涨至10个月来最高；然而美国库存意外增长，欧美原油期货逆转涨势而小幅收低。需求方面，PE下游方面，农膜整体需求平平，工厂生产清淡。棚膜工厂多停机检修；PP下游方面，BOPP市场成交刚需有量，整体量较上一交易日增加，BOPP企业未交付订单多数在一周以内，个别可至八月中。综合来看，PE方面，宏观利好政策有继续释放预期，传统需求旺季预期以及成本支撑下，对原料市场价格起到提振的作用，但新投产装置放量，且生产端检修不多，国内供应压力相应增加，预计今日PE价格维持震荡格局。PP方面，近期成本端表现坚挺叠加聚丙烯矛盾不足，现货流通货源偏紧，使得价格重心持续上移。往后看，随着价格的走高抑制了下游拿货积极性，使得社会库存出现累积态势，且临近假期，工厂多数完成补库需求，对当下价格接受意愿偏低，预计近期PP面临回调风险</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5582732"/>
      <w:r>
        <w:rPr>
          <w:rFonts w:ascii="楷体" w:eastAsia="楷体" w:hAnsi="楷体" w:hint="eastAsia"/>
          <w:b/>
          <w:color w:val="000000" w:themeColor="text1"/>
          <w:sz w:val="24"/>
          <w:szCs w:val="24"/>
        </w:rPr>
        <w:t>MEG：</w:t>
      </w:r>
      <w:r w:rsidR="00032A7A" w:rsidRPr="00032A7A">
        <w:rPr>
          <w:rFonts w:ascii="楷体" w:eastAsia="楷体" w:hAnsi="楷体" w:hint="eastAsia"/>
          <w:b/>
          <w:color w:val="000000" w:themeColor="text1"/>
          <w:sz w:val="24"/>
          <w:szCs w:val="24"/>
        </w:rPr>
        <w:t>成本提振但高库存压制反弹空间</w:t>
      </w:r>
      <w:bookmarkEnd w:id="41"/>
    </w:p>
    <w:p w:rsidR="003F56A5" w:rsidRDefault="00032A7A" w:rsidP="00115EEA">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商品氛围依旧向好加上成本端提振下乙二醇走势表现坚挺。供需情况，9.11华东主港地区MEG港口库存约117.8万吨附近，环比上期减少1.8万吨，乙二醇目前的累库情况有所缓解。截至9月7日，中国大陆地区乙二醇整体开工负荷在64.13%（-1.31%），其中煤制乙二醇开工负荷在66.81%（-1.10%）。 目前盛虹炼化1#仍在提负中，榆林化学单线小幅超负荷运行，陕煤渭化停车中，国内开工仍有上行空间，整体供应表现宽松。聚酯下游方面，截至9.7，初步核算国内大陆地区聚酯负荷在92.7%附近。终端开工大幅提升，局部订单良好。江浙加弹综合开工率83%（+5%），江浙织机综合开工率77%（+5%），江浙印染综合开工率81%（+4%）。展望后市，原油及煤炭价格高位，乙二醇成本支撑力度仍强，但高供应及高库存压制盘面反弹空间。聚酯开工高位，但9月仍是累库格局乙二醇走势高位承压。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558273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32A7A" w:rsidRPr="00032A7A">
        <w:rPr>
          <w:rFonts w:ascii="楷体" w:eastAsia="楷体" w:hAnsi="楷体" w:hint="eastAsia"/>
          <w:b/>
          <w:color w:val="000000" w:themeColor="text1"/>
          <w:sz w:val="24"/>
          <w:szCs w:val="24"/>
        </w:rPr>
        <w:t>产销走弱，区间震荡</w:t>
      </w:r>
      <w:bookmarkEnd w:id="42"/>
    </w:p>
    <w:p w:rsidR="00A71A7E" w:rsidRDefault="00032A7A" w:rsidP="001F79C6">
      <w:pPr>
        <w:ind w:leftChars="300" w:left="630"/>
        <w:rPr>
          <w:rFonts w:ascii="楷体" w:eastAsia="楷体" w:hAnsi="楷体"/>
          <w:color w:val="000000" w:themeColor="text1"/>
          <w:sz w:val="24"/>
          <w:szCs w:val="24"/>
        </w:rPr>
      </w:pPr>
      <w:r w:rsidRPr="00032A7A">
        <w:rPr>
          <w:rFonts w:ascii="楷体" w:eastAsia="楷体" w:hAnsi="楷体" w:hint="eastAsia"/>
          <w:color w:val="000000" w:themeColor="text1"/>
          <w:sz w:val="24"/>
          <w:szCs w:val="24"/>
        </w:rPr>
        <w:t>今日全国均价2064元/吨，环比上一交易日价格持平。华北市场成交偏淡，沙河市场部分规格玻璃价格重心下移。华中市场观望情绪浓厚。华南企业出货尚可。供给端，近期两条产线复产，供给提升；需求端，暂未看到阶段性补库出现，中下游采购谨慎。旺季预期下，原片厂多次出台涨价计划，挺价意愿强，下游观望为主。基本面继续走弱，盘面（1650，1850）区间</w:t>
      </w:r>
      <w:r w:rsidRPr="00032A7A">
        <w:rPr>
          <w:rFonts w:ascii="楷体" w:eastAsia="楷体" w:hAnsi="楷体" w:hint="eastAsia"/>
          <w:color w:val="000000" w:themeColor="text1"/>
          <w:sz w:val="24"/>
          <w:szCs w:val="24"/>
        </w:rPr>
        <w:lastRenderedPageBreak/>
        <w:t>震荡，短期弱现实与强预期博弈，建议区间操作为主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558273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32A7A" w:rsidRPr="00032A7A">
        <w:rPr>
          <w:rFonts w:ascii="楷体" w:eastAsia="楷体" w:hAnsi="楷体" w:hint="eastAsia"/>
          <w:b/>
          <w:color w:val="000000" w:themeColor="text1"/>
          <w:sz w:val="24"/>
          <w:szCs w:val="24"/>
        </w:rPr>
        <w:t>高基差vs累库预期，盘面多空博弈</w:t>
      </w:r>
      <w:bookmarkEnd w:id="43"/>
    </w:p>
    <w:p w:rsidR="00A71A7E" w:rsidRDefault="00032A7A" w:rsidP="00A71A7E">
      <w:pPr>
        <w:ind w:leftChars="300" w:left="630"/>
        <w:rPr>
          <w:rFonts w:ascii="楷体" w:eastAsia="楷体" w:hAnsi="楷体"/>
          <w:bCs/>
          <w:sz w:val="24"/>
          <w:szCs w:val="24"/>
        </w:rPr>
      </w:pPr>
      <w:r w:rsidRPr="00032A7A">
        <w:rPr>
          <w:rFonts w:ascii="楷体" w:eastAsia="楷体" w:hAnsi="楷体" w:hint="eastAsia"/>
          <w:color w:val="000000" w:themeColor="text1"/>
          <w:sz w:val="24"/>
          <w:szCs w:val="24"/>
        </w:rPr>
        <w:t>今日纯碱价格环比持平，重碱华南最高报3700元/吨，华北和华中最低报价3350元/吨，现货价格以稳价为主。供给方面，预计周度产量回升到58-60万吨左右。库存上，上周库存12.47万吨，环比-1.66万吨，跌幅11.75%，周内检修较多恢复加上远兴一二线接近满产，库存环比小幅累库1万吨左右；周内纯碱企业待发订单持续增加，接近20天，大部分企业到月底，短期库存紧张未改。盘面已提前交易周内累库预期，后续主要矛盾在累库节奏上，盘面高基差和远月过剩预期矛盾，而现货在累库后短期价格马上下跌概率较低，或将维持高位震荡，在远月深度贴水的情况下，大跌后注意有修补价差的可能性。短期区间操作为主，参考区间（1750，1850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55827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558273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32A7A" w:rsidRPr="00032A7A">
        <w:rPr>
          <w:rFonts w:ascii="楷体" w:eastAsia="楷体" w:hAnsi="楷体" w:hint="eastAsia"/>
          <w:b/>
          <w:sz w:val="24"/>
          <w:szCs w:val="24"/>
        </w:rPr>
        <w:t>报告符合预期，期价承压运行</w:t>
      </w:r>
      <w:bookmarkEnd w:id="45"/>
    </w:p>
    <w:p w:rsidR="003F56A5" w:rsidRDefault="00032A7A">
      <w:pPr>
        <w:ind w:leftChars="300" w:left="630"/>
        <w:rPr>
          <w:rFonts w:ascii="楷体" w:eastAsia="楷体" w:hAnsi="楷体"/>
          <w:sz w:val="24"/>
          <w:szCs w:val="24"/>
        </w:rPr>
      </w:pPr>
      <w:r w:rsidRPr="00032A7A">
        <w:rPr>
          <w:rFonts w:ascii="楷体" w:eastAsia="楷体" w:hAnsi="楷体" w:hint="eastAsia"/>
          <w:sz w:val="24"/>
          <w:szCs w:val="24"/>
        </w:rPr>
        <w:t>国际方面，此次美农报告对于单产及产量下调的幅度基本符合预期，难以对期价构成上行驱动。23/24年度美豆产量预估为41.46亿蒲式耳，平均单产预计为50.1蒲式英亩。美国2023/24年度大豆期末库存预估下修至2.2亿浦式耳，较去年同比下滑了12%。当前美豆优良率延续低位，截至9月12日当周，美国大豆优良率为52%，前一周为53%，上年同期为56%。后续关注收获及水位情况。国内现货基差小幅承压，但整体延续高位，海关的严格政策还在进行，同时在9-10月份大豆阶段性到港减少下，当前油厂大豆库存有所下降，近一周油厂开机维持中性水平，在刚需备货下油厂豆粕周度库存回落至70.76万吨，当前沿海主流油厂豆粕现货报价下调至4730-4900元/吨。大豆6-8月到港量仍较充裕，8月进口935万吨大豆，今年1-8个月大豆进口量达到7165万吨，同比增长17.9%，但9-10月进口到港预期减少，远月供应担忧支撑11-1基差报价坚挺，关注9月实际到港是否符合预期。需求，下游生猪养殖利润有所下滑，叠加存栏高位，下游维持刚需备货，但近一周市场买货积极性不高，成交清淡。菜粕当前供需基本面有所改善，随着6月份后菜籽到港减少，油厂压榨也在逐步下滑，近一周库存有所回落。而需求方面，水产消费旺季即将结束，菜粕需求预计减少，但随着豆菜粕价差拉大或提振替代需求。策略方面，当前仍未完全转势，建议关注豆粕回调能否在3950企稳，菜粕01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5582737"/>
      <w:r>
        <w:rPr>
          <w:rFonts w:ascii="楷体" w:eastAsia="楷体" w:hAnsi="楷体" w:hint="eastAsia"/>
          <w:b/>
          <w:color w:val="000000" w:themeColor="text1"/>
          <w:sz w:val="24"/>
          <w:szCs w:val="24"/>
        </w:rPr>
        <w:t>油脂：</w:t>
      </w:r>
      <w:r w:rsidR="00032A7A" w:rsidRPr="00032A7A">
        <w:rPr>
          <w:rFonts w:ascii="楷体" w:eastAsia="楷体" w:hAnsi="楷体" w:hint="eastAsia"/>
          <w:b/>
          <w:sz w:val="24"/>
          <w:szCs w:val="24"/>
        </w:rPr>
        <w:t>油脂偏弱震荡，未走出震荡区间</w:t>
      </w:r>
      <w:bookmarkEnd w:id="46"/>
    </w:p>
    <w:p w:rsidR="003F56A5" w:rsidRDefault="00032A7A" w:rsidP="00792D31">
      <w:pPr>
        <w:ind w:leftChars="300" w:left="630"/>
        <w:rPr>
          <w:rFonts w:ascii="楷体" w:eastAsia="楷体" w:hAnsi="楷体"/>
          <w:sz w:val="24"/>
          <w:szCs w:val="24"/>
        </w:rPr>
      </w:pPr>
      <w:r w:rsidRPr="00032A7A">
        <w:rPr>
          <w:rFonts w:ascii="楷体" w:eastAsia="楷体" w:hAnsi="楷体" w:hint="eastAsia"/>
          <w:sz w:val="24"/>
          <w:szCs w:val="24"/>
        </w:rPr>
        <w:t>油脂短期在供需多重因素共振下，走势偏弱，但下方仍有支撑，整体仍在震荡区间中。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且机构数据显示9月上旬马来西亚棕榈油出口量环比降低11.2%，预计9月马棕仍将延续累库。国内棕榈油7-8月份</w:t>
      </w:r>
      <w:r w:rsidRPr="00032A7A">
        <w:rPr>
          <w:rFonts w:ascii="楷体" w:eastAsia="楷体" w:hAnsi="楷体" w:hint="eastAsia"/>
          <w:sz w:val="24"/>
          <w:szCs w:val="24"/>
        </w:rPr>
        <w:lastRenderedPageBreak/>
        <w:t>进口到港预计维持高位，库存维持同期高位，最新商业库存为68.64万吨，较前一周增加。需求端，当前在豆棕价差拉大下，利好棕榈油下游消费需求，但四季度为棕榈油消费淡季，棕榈油9-10月份预计表现偏弱。豆油存去库预期。国内7-8月进口大豆到港量仍不少，但受海关检验趋严影响，大豆到厂时间延迟，整体压榨水平不高，在消费改善下，将逐步去库。需求端，当前双节前备货仍在继续，且将进入油脂消费旺季，需求存好转预期。菜油在进口菜籽减少下，供应压力减轻。当前主产地菜籽还未集中上市，全球菜籽新作产量不确定性仍存，但当前加籽收割进度加快，上市压力也抑制期价走势。随着8-9月份进口加籽到港量的减少，菜籽开机及压榨水平也有所降低，7月菜籽进口环比下滑64.8%。需求方面，当前去库速度缓慢，与豆油价差持续收窄，库存去化仍需看到替代需求出现。短期建议波段操作，中长期对于油脂维持谨慎看多观点，可关注油脂间套利，空配菜油及逢低多豆棕01</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5582738"/>
      <w:r>
        <w:rPr>
          <w:rFonts w:ascii="楷体" w:eastAsia="楷体" w:hAnsi="楷体" w:hint="eastAsia"/>
          <w:b/>
          <w:bCs/>
          <w:color w:val="000000" w:themeColor="text1"/>
        </w:rPr>
        <w:t>玉米与淀粉：</w:t>
      </w:r>
      <w:r w:rsidR="00032A7A" w:rsidRPr="00032A7A">
        <w:rPr>
          <w:rFonts w:ascii="楷体" w:eastAsia="楷体" w:hAnsi="楷体" w:hint="eastAsia"/>
          <w:b/>
        </w:rPr>
        <w:t>短期关注华北产区现货表现</w:t>
      </w:r>
      <w:bookmarkEnd w:id="47"/>
    </w:p>
    <w:p w:rsidR="00032A7A" w:rsidRPr="00032A7A" w:rsidRDefault="00032A7A" w:rsidP="00032A7A">
      <w:pPr>
        <w:pStyle w:val="paragraph"/>
        <w:spacing w:before="60" w:after="60"/>
        <w:ind w:leftChars="300" w:left="630"/>
        <w:rPr>
          <w:rFonts w:ascii="楷体" w:eastAsia="楷体" w:hAnsi="楷体" w:hint="eastAsia"/>
        </w:rPr>
      </w:pPr>
      <w:r w:rsidRPr="00032A7A">
        <w:rPr>
          <w:rFonts w:ascii="楷体" w:eastAsia="楷体" w:hAnsi="楷体" w:hint="eastAsia"/>
        </w:rPr>
        <w:t>对于玉米而言，近期期价滞涨回落，主要源于新作上市压力，由于小麦特别是芽麦及其陈化水稻抛储成交后带来替代供应，市场担心新作玉米上市后现货有望趋于下跌，但在我们看来，在基差高企在很大程度上反映现货下跌预期的情况下，期价继续下跌的空间或有限，主要原因仍然源于前期报告提及的三个方面，即陈化水稻拍卖底价支撑、小麦价格上涨及其中下游库存偏低。与此同时，也应该认识到，当前市场缺乏上涨驱动，据此我们倾向于期价或在8月中旬价格区间内震荡运行。在这种情况下，观点由谨慎看多转为中性，建议谨慎投资者观望，激进投资者可考虑背靠7月持续区间震荡后的起涨点继续持有前期多单。</w:t>
      </w:r>
    </w:p>
    <w:p w:rsidR="003F56A5" w:rsidRDefault="00032A7A" w:rsidP="00032A7A">
      <w:pPr>
        <w:pStyle w:val="paragraph"/>
        <w:spacing w:before="60" w:beforeAutospacing="0" w:after="60" w:afterAutospacing="0"/>
        <w:ind w:leftChars="300" w:left="630"/>
        <w:rPr>
          <w:rFonts w:ascii="楷体" w:eastAsia="楷体" w:hAnsi="楷体"/>
        </w:rPr>
      </w:pPr>
      <w:r w:rsidRPr="00032A7A">
        <w:rPr>
          <w:rFonts w:ascii="楷体" w:eastAsia="楷体" w:hAnsi="楷体" w:hint="eastAsia"/>
        </w:rPr>
        <w:t>对于淀粉而言，近期淀粉-玉米价差影响因素相对偏利多，一方面淀粉副产品价格虽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5582739"/>
      <w:r>
        <w:rPr>
          <w:rFonts w:ascii="楷体" w:eastAsia="楷体" w:hAnsi="楷体" w:hint="eastAsia"/>
          <w:b/>
          <w:bCs/>
          <w:color w:val="000000" w:themeColor="text1"/>
        </w:rPr>
        <w:t>畜禽养殖：</w:t>
      </w:r>
      <w:r w:rsidR="00032A7A" w:rsidRPr="00032A7A">
        <w:rPr>
          <w:rFonts w:ascii="楷体" w:eastAsia="楷体" w:hAnsi="楷体" w:hint="eastAsia"/>
          <w:b/>
          <w:bCs/>
          <w:color w:val="000000" w:themeColor="text1"/>
        </w:rPr>
        <w:t>期价偏弱运行</w:t>
      </w:r>
      <w:bookmarkEnd w:id="48"/>
    </w:p>
    <w:p w:rsidR="00032A7A" w:rsidRPr="00032A7A" w:rsidRDefault="00032A7A" w:rsidP="00032A7A">
      <w:pPr>
        <w:pStyle w:val="paragraph"/>
        <w:spacing w:before="60" w:after="60"/>
        <w:ind w:leftChars="300" w:left="630"/>
        <w:rPr>
          <w:rFonts w:ascii="楷体" w:eastAsia="楷体" w:hAnsi="楷体" w:hint="eastAsia"/>
        </w:rPr>
      </w:pPr>
      <w:r w:rsidRPr="00032A7A">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w:t>
      </w:r>
      <w:r w:rsidRPr="00032A7A">
        <w:rPr>
          <w:rFonts w:ascii="楷体" w:eastAsia="楷体" w:hAnsi="楷体" w:hint="eastAsia"/>
        </w:rPr>
        <w:lastRenderedPageBreak/>
        <w:t>供应变化，再结合需求的季节性变动，来影响期现货的波动节奏。从近期现货表现来看，市场供需依旧宽松，涌益咨询数据显示9月计划出栏量环比有较大增幅，期现货继续震荡偏弱的可能性较大，但由于下半年供需改善及其春节前需求预期带来的二次育肥，预计下方空间亦有限。考虑到接下来现货波动的节奏存在分歧，不确定性较大，观点转为中性，不建议投资者单边操作，可少量参与反套交易。</w:t>
      </w:r>
    </w:p>
    <w:p w:rsidR="003F56A5" w:rsidRDefault="00032A7A" w:rsidP="00032A7A">
      <w:pPr>
        <w:pStyle w:val="paragraph"/>
        <w:spacing w:before="60" w:beforeAutospacing="0" w:after="60" w:afterAutospacing="0"/>
        <w:ind w:leftChars="300" w:left="630"/>
        <w:rPr>
          <w:rFonts w:ascii="楷体" w:eastAsia="楷体" w:hAnsi="楷体"/>
        </w:rPr>
      </w:pPr>
      <w:r w:rsidRPr="00032A7A">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5582740"/>
      <w:r>
        <w:rPr>
          <w:rFonts w:ascii="楷体" w:eastAsia="楷体" w:hAnsi="楷体" w:hint="eastAsia"/>
          <w:b/>
          <w:sz w:val="24"/>
          <w:szCs w:val="24"/>
        </w:rPr>
        <w:t>郑棉：</w:t>
      </w:r>
      <w:r w:rsidR="00032A7A" w:rsidRPr="00032A7A">
        <w:rPr>
          <w:rFonts w:ascii="楷体" w:eastAsia="楷体" w:hAnsi="楷体" w:hint="eastAsia"/>
          <w:b/>
          <w:sz w:val="24"/>
          <w:szCs w:val="24"/>
        </w:rPr>
        <w:t>低位多单或看跌期权卖权持有</w:t>
      </w:r>
      <w:bookmarkEnd w:id="49"/>
    </w:p>
    <w:p w:rsidR="003F56A5" w:rsidRDefault="00032A7A" w:rsidP="007B3290">
      <w:pPr>
        <w:ind w:leftChars="300" w:left="630"/>
        <w:rPr>
          <w:rFonts w:ascii="楷体" w:eastAsia="楷体" w:hAnsi="楷体"/>
          <w:sz w:val="24"/>
          <w:szCs w:val="24"/>
        </w:rPr>
      </w:pPr>
      <w:r w:rsidRPr="00032A7A">
        <w:rPr>
          <w:rFonts w:ascii="楷体" w:eastAsia="楷体" w:hAnsi="楷体" w:hint="eastAsia"/>
          <w:sz w:val="24"/>
          <w:szCs w:val="24"/>
        </w:rPr>
        <w:t>美农9月供需平衡表中环比调减印度、美国和其他地区产量，总产量下调37.50万吨，但同期消费量也下调23.10万吨。期末库存减少35.60万吨，新季库存消费比因此下降到78.33%。报告利多，美棉上涨。但国内的情绪依然偏悲观。由于底价较高和纺织企业不景气等原因，9月11日和12日的抛储成交率皆低于100%，13日更是进一步下滑至79.89%。叠加郑商所调增郑棉保证金以及相关部门调控后棉价高点预期下调，多头资金大量离场，郑棉盘中再度下破1.7万关口。但新棉上市仍需时日，上市的价格也待定，下方空间恐有限，不建议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5582741"/>
      <w:r>
        <w:rPr>
          <w:rFonts w:ascii="楷体" w:eastAsia="楷体" w:hAnsi="楷体" w:hint="eastAsia"/>
          <w:b/>
          <w:sz w:val="24"/>
          <w:szCs w:val="24"/>
        </w:rPr>
        <w:t>白糖：</w:t>
      </w:r>
      <w:r w:rsidR="00032A7A" w:rsidRPr="00032A7A">
        <w:rPr>
          <w:rFonts w:ascii="楷体" w:eastAsia="楷体" w:hAnsi="楷体" w:hint="eastAsia"/>
          <w:b/>
          <w:sz w:val="24"/>
          <w:szCs w:val="24"/>
        </w:rPr>
        <w:t>看跌期权卖权持有，低多暂时离场观望</w:t>
      </w:r>
      <w:bookmarkEnd w:id="50"/>
    </w:p>
    <w:p w:rsidR="00296325" w:rsidRDefault="00032A7A" w:rsidP="00296325">
      <w:pPr>
        <w:ind w:leftChars="300" w:left="630"/>
        <w:rPr>
          <w:rFonts w:ascii="楷体" w:eastAsia="楷体" w:hAnsi="楷体"/>
          <w:sz w:val="24"/>
          <w:szCs w:val="24"/>
        </w:rPr>
      </w:pPr>
      <w:r w:rsidRPr="00032A7A">
        <w:rPr>
          <w:rFonts w:ascii="楷体" w:eastAsia="楷体" w:hAnsi="楷体" w:hint="eastAsia"/>
          <w:sz w:val="24"/>
          <w:szCs w:val="24"/>
        </w:rPr>
        <w:t>美农新供需平衡表中因美国天气干旱，白糖库存消费比再度中幅下调。巴西9月前两周白糖出口70.81万吨，同比小幅下降。但8月中下旬的巴西中南部白糖产量同比大增近10%。国内白糖进口增加的预期未能得到数据佐证。当前白糖库存极低，供需面极为紧张。市场传闻年底将有大量进口白糖到港。多头资金大量离场，暂谨慎观望</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39" w:rsidRDefault="00C73A39">
      <w:r>
        <w:separator/>
      </w:r>
    </w:p>
  </w:endnote>
  <w:endnote w:type="continuationSeparator" w:id="0">
    <w:p w:rsidR="00C73A39" w:rsidRDefault="00C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4D31E2F" wp14:editId="3239B0D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32A7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32A7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39" w:rsidRDefault="00C73A39">
      <w:r>
        <w:separator/>
      </w:r>
    </w:p>
  </w:footnote>
  <w:footnote w:type="continuationSeparator" w:id="0">
    <w:p w:rsidR="00C73A39" w:rsidRDefault="00C73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C3FDC34" wp14:editId="28EF711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A41F1AF" wp14:editId="7EE1AEA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32A7A">
      <w:rPr>
        <w:rFonts w:ascii="Times New Roman" w:eastAsia="楷体" w:hAnsi="Times New Roman" w:hint="eastAsia"/>
        <w:b/>
        <w:bCs/>
        <w:noProof/>
        <w:color w:val="833C0B"/>
        <w:sz w:val="21"/>
      </w:rPr>
      <w:t>2023</w:t>
    </w:r>
    <w:r w:rsidR="00032A7A">
      <w:rPr>
        <w:rFonts w:ascii="Times New Roman" w:eastAsia="楷体" w:hAnsi="Times New Roman" w:hint="eastAsia"/>
        <w:b/>
        <w:bCs/>
        <w:noProof/>
        <w:color w:val="833C0B"/>
        <w:sz w:val="21"/>
      </w:rPr>
      <w:t>年</w:t>
    </w:r>
    <w:r w:rsidR="00032A7A">
      <w:rPr>
        <w:rFonts w:ascii="Times New Roman" w:eastAsia="楷体" w:hAnsi="Times New Roman" w:hint="eastAsia"/>
        <w:b/>
        <w:bCs/>
        <w:noProof/>
        <w:color w:val="833C0B"/>
        <w:sz w:val="21"/>
      </w:rPr>
      <w:t>9</w:t>
    </w:r>
    <w:r w:rsidR="00032A7A">
      <w:rPr>
        <w:rFonts w:ascii="Times New Roman" w:eastAsia="楷体" w:hAnsi="Times New Roman" w:hint="eastAsia"/>
        <w:b/>
        <w:bCs/>
        <w:noProof/>
        <w:color w:val="833C0B"/>
        <w:sz w:val="21"/>
      </w:rPr>
      <w:t>月</w:t>
    </w:r>
    <w:r w:rsidR="00032A7A">
      <w:rPr>
        <w:rFonts w:ascii="Times New Roman" w:eastAsia="楷体" w:hAnsi="Times New Roman" w:hint="eastAsia"/>
        <w:b/>
        <w:bCs/>
        <w:noProof/>
        <w:color w:val="833C0B"/>
        <w:sz w:val="21"/>
      </w:rPr>
      <w:t>14</w:t>
    </w:r>
    <w:r w:rsidR="00032A7A">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36C51-7CA2-4A2F-931D-27AB69DB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10</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88</cp:revision>
  <cp:lastPrinted>2023-06-08T02:23:00Z</cp:lastPrinted>
  <dcterms:created xsi:type="dcterms:W3CDTF">2022-11-15T10:06:00Z</dcterms:created>
  <dcterms:modified xsi:type="dcterms:W3CDTF">2023-09-14T03:18:00Z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