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EA444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EA4444" w:rsidRPr="00A02D58">
            <w:rPr>
              <w:rStyle w:val="a9"/>
              <w:noProof/>
            </w:rPr>
            <w:fldChar w:fldCharType="begin"/>
          </w:r>
          <w:r w:rsidR="00EA4444" w:rsidRPr="00A02D58">
            <w:rPr>
              <w:rStyle w:val="a9"/>
              <w:noProof/>
            </w:rPr>
            <w:instrText xml:space="preserve"> </w:instrText>
          </w:r>
          <w:r w:rsidR="00EA4444">
            <w:rPr>
              <w:noProof/>
            </w:rPr>
            <w:instrText>HYPERLINK \l "_Toc145319641"</w:instrText>
          </w:r>
          <w:r w:rsidR="00EA4444" w:rsidRPr="00A02D58">
            <w:rPr>
              <w:rStyle w:val="a9"/>
              <w:noProof/>
            </w:rPr>
            <w:instrText xml:space="preserve"> </w:instrText>
          </w:r>
          <w:r w:rsidR="00EA4444" w:rsidRPr="00A02D58">
            <w:rPr>
              <w:rStyle w:val="a9"/>
              <w:noProof/>
            </w:rPr>
          </w:r>
          <w:r w:rsidR="00EA4444" w:rsidRPr="00A02D58">
            <w:rPr>
              <w:rStyle w:val="a9"/>
              <w:noProof/>
            </w:rPr>
            <w:fldChar w:fldCharType="separate"/>
          </w:r>
          <w:r w:rsidR="00EA4444" w:rsidRPr="00A02D58">
            <w:rPr>
              <w:rStyle w:val="a9"/>
              <w:rFonts w:ascii="Times New Roman" w:eastAsia="楷体" w:hAnsi="Times New Roman"/>
              <w:b/>
              <w:noProof/>
            </w:rPr>
            <w:t>[</w:t>
          </w:r>
          <w:r w:rsidR="00EA4444" w:rsidRPr="00A02D58">
            <w:rPr>
              <w:rStyle w:val="a9"/>
              <w:rFonts w:ascii="Times New Roman" w:eastAsia="楷体" w:hAnsi="Times New Roman"/>
              <w:b/>
              <w:noProof/>
            </w:rPr>
            <w:t>金融</w:t>
          </w:r>
          <w:r w:rsidR="00EA4444" w:rsidRPr="00A02D58">
            <w:rPr>
              <w:rStyle w:val="a9"/>
              <w:rFonts w:ascii="Times New Roman" w:eastAsia="楷体" w:hAnsi="Times New Roman"/>
              <w:b/>
              <w:noProof/>
            </w:rPr>
            <w:t>]</w:t>
          </w:r>
          <w:r w:rsidR="00EA4444" w:rsidRPr="00A02D58">
            <w:rPr>
              <w:rStyle w:val="a9"/>
              <w:noProof/>
            </w:rPr>
            <w:fldChar w:fldCharType="end"/>
          </w:r>
        </w:p>
        <w:p w:rsidR="00EA4444" w:rsidRDefault="00EA4444">
          <w:pPr>
            <w:pStyle w:val="23"/>
            <w:tabs>
              <w:tab w:val="right" w:leader="dot" w:pos="8296"/>
            </w:tabs>
            <w:rPr>
              <w:rFonts w:eastAsiaTheme="minorEastAsia"/>
              <w:noProof/>
              <w:szCs w:val="22"/>
            </w:rPr>
          </w:pPr>
          <w:hyperlink w:anchor="_Toc145319642" w:history="1">
            <w:r w:rsidRPr="00A02D58">
              <w:rPr>
                <w:rStyle w:val="a9"/>
                <w:rFonts w:ascii="Times New Roman" w:eastAsia="楷体" w:hAnsi="Times New Roman"/>
                <w:b/>
                <w:noProof/>
              </w:rPr>
              <w:t>股指：</w:t>
            </w:r>
            <w:r w:rsidRPr="00A02D58">
              <w:rPr>
                <w:rStyle w:val="a9"/>
                <w:rFonts w:ascii="Times New Roman" w:eastAsia="楷体" w:hAnsi="Times New Roman"/>
                <w:b/>
                <w:noProof/>
              </w:rPr>
              <w:t>IM</w:t>
            </w:r>
            <w:r w:rsidRPr="00A02D58">
              <w:rPr>
                <w:rStyle w:val="a9"/>
                <w:rFonts w:ascii="Times New Roman" w:eastAsia="楷体" w:hAnsi="Times New Roman"/>
                <w:b/>
                <w:noProof/>
              </w:rPr>
              <w:t>多单轻仓持有</w:t>
            </w:r>
          </w:hyperlink>
        </w:p>
        <w:p w:rsidR="00EA4444" w:rsidRDefault="00EA4444">
          <w:pPr>
            <w:pStyle w:val="11"/>
            <w:tabs>
              <w:tab w:val="right" w:leader="dot" w:pos="8296"/>
            </w:tabs>
            <w:rPr>
              <w:rFonts w:eastAsiaTheme="minorEastAsia"/>
              <w:noProof/>
              <w:szCs w:val="22"/>
            </w:rPr>
          </w:pPr>
          <w:hyperlink w:anchor="_Toc145319643" w:history="1">
            <w:r w:rsidRPr="00A02D58">
              <w:rPr>
                <w:rStyle w:val="a9"/>
                <w:rFonts w:ascii="Times New Roman" w:eastAsia="楷体" w:hAnsi="Times New Roman"/>
                <w:b/>
                <w:noProof/>
              </w:rPr>
              <w:t>[</w:t>
            </w:r>
            <w:r w:rsidRPr="00A02D58">
              <w:rPr>
                <w:rStyle w:val="a9"/>
                <w:rFonts w:ascii="Times New Roman" w:eastAsia="楷体" w:hAnsi="Times New Roman"/>
                <w:b/>
                <w:noProof/>
              </w:rPr>
              <w:t>贵金属</w:t>
            </w:r>
            <w:r w:rsidRPr="00A02D58">
              <w:rPr>
                <w:rStyle w:val="a9"/>
                <w:rFonts w:ascii="Times New Roman" w:eastAsia="楷体" w:hAnsi="Times New Roman"/>
                <w:b/>
                <w:noProof/>
              </w:rPr>
              <w:t>]</w:t>
            </w:r>
          </w:hyperlink>
        </w:p>
        <w:p w:rsidR="00EA4444" w:rsidRDefault="00EA4444">
          <w:pPr>
            <w:pStyle w:val="23"/>
            <w:tabs>
              <w:tab w:val="right" w:leader="dot" w:pos="8296"/>
            </w:tabs>
            <w:rPr>
              <w:rFonts w:eastAsiaTheme="minorEastAsia"/>
              <w:noProof/>
              <w:szCs w:val="22"/>
            </w:rPr>
          </w:pPr>
          <w:hyperlink w:anchor="_Toc145319644" w:history="1">
            <w:r w:rsidRPr="00A02D58">
              <w:rPr>
                <w:rStyle w:val="a9"/>
                <w:rFonts w:ascii="Times New Roman" w:eastAsia="楷体" w:hAnsi="Times New Roman"/>
                <w:b/>
                <w:noProof/>
              </w:rPr>
              <w:t>贵金属：美联储官员提示</w:t>
            </w:r>
            <w:r w:rsidRPr="00A02D58">
              <w:rPr>
                <w:rStyle w:val="a9"/>
                <w:rFonts w:ascii="Times New Roman" w:eastAsia="楷体" w:hAnsi="Times New Roman"/>
                <w:b/>
                <w:noProof/>
              </w:rPr>
              <w:t>9</w:t>
            </w:r>
            <w:r w:rsidRPr="00A02D58">
              <w:rPr>
                <w:rStyle w:val="a9"/>
                <w:rFonts w:ascii="Times New Roman" w:eastAsia="楷体" w:hAnsi="Times New Roman"/>
                <w:b/>
                <w:noProof/>
              </w:rPr>
              <w:t>月或暂缓加息，金价持续上涨</w:t>
            </w:r>
          </w:hyperlink>
        </w:p>
        <w:p w:rsidR="00EA4444" w:rsidRDefault="00EA4444">
          <w:pPr>
            <w:pStyle w:val="11"/>
            <w:tabs>
              <w:tab w:val="right" w:leader="dot" w:pos="8296"/>
            </w:tabs>
            <w:rPr>
              <w:rFonts w:eastAsiaTheme="minorEastAsia"/>
              <w:noProof/>
              <w:szCs w:val="22"/>
            </w:rPr>
          </w:pPr>
          <w:hyperlink w:anchor="_Toc145319645" w:history="1">
            <w:r w:rsidRPr="00A02D58">
              <w:rPr>
                <w:rStyle w:val="a9"/>
                <w:rFonts w:ascii="Times New Roman" w:eastAsia="楷体" w:hAnsi="Times New Roman"/>
                <w:b/>
                <w:noProof/>
              </w:rPr>
              <w:t>[</w:t>
            </w:r>
            <w:r w:rsidRPr="00A02D58">
              <w:rPr>
                <w:rStyle w:val="a9"/>
                <w:rFonts w:ascii="Times New Roman" w:eastAsia="楷体" w:hAnsi="Times New Roman"/>
                <w:b/>
                <w:noProof/>
              </w:rPr>
              <w:t>金属</w:t>
            </w:r>
            <w:r w:rsidRPr="00A02D58">
              <w:rPr>
                <w:rStyle w:val="a9"/>
                <w:rFonts w:ascii="Times New Roman" w:eastAsia="楷体" w:hAnsi="Times New Roman"/>
                <w:b/>
                <w:noProof/>
              </w:rPr>
              <w:t>]</w:t>
            </w:r>
          </w:hyperlink>
        </w:p>
        <w:p w:rsidR="00EA4444" w:rsidRDefault="00EA4444">
          <w:pPr>
            <w:pStyle w:val="23"/>
            <w:tabs>
              <w:tab w:val="right" w:leader="dot" w:pos="8296"/>
            </w:tabs>
            <w:rPr>
              <w:rFonts w:eastAsiaTheme="minorEastAsia"/>
              <w:noProof/>
              <w:szCs w:val="22"/>
            </w:rPr>
          </w:pPr>
          <w:hyperlink w:anchor="_Toc145319646" w:history="1">
            <w:r w:rsidRPr="00A02D58">
              <w:rPr>
                <w:rStyle w:val="a9"/>
                <w:rFonts w:ascii="楷体" w:eastAsia="楷体" w:hAnsi="楷体"/>
                <w:b/>
                <w:noProof/>
              </w:rPr>
              <w:t>碳酸锂：短期需求偏弱，锂盐现货价格维持跌势</w:t>
            </w:r>
          </w:hyperlink>
        </w:p>
        <w:p w:rsidR="00EA4444" w:rsidRDefault="00EA4444">
          <w:pPr>
            <w:pStyle w:val="23"/>
            <w:tabs>
              <w:tab w:val="right" w:leader="dot" w:pos="8296"/>
            </w:tabs>
            <w:rPr>
              <w:rFonts w:eastAsiaTheme="minorEastAsia"/>
              <w:noProof/>
              <w:szCs w:val="22"/>
            </w:rPr>
          </w:pPr>
          <w:hyperlink w:anchor="_Toc145319647" w:history="1">
            <w:r w:rsidRPr="00A02D58">
              <w:rPr>
                <w:rStyle w:val="a9"/>
                <w:rFonts w:ascii="楷体" w:eastAsia="楷体" w:hAnsi="楷体"/>
                <w:b/>
                <w:noProof/>
              </w:rPr>
              <w:t>螺纹钢：产量压力对表外钢材价格冲击明显，成本支撑下偏弱震荡</w:t>
            </w:r>
          </w:hyperlink>
        </w:p>
        <w:p w:rsidR="00EA4444" w:rsidRDefault="00EA4444">
          <w:pPr>
            <w:pStyle w:val="23"/>
            <w:tabs>
              <w:tab w:val="right" w:leader="dot" w:pos="8296"/>
            </w:tabs>
            <w:rPr>
              <w:rFonts w:eastAsiaTheme="minorEastAsia"/>
              <w:noProof/>
              <w:szCs w:val="22"/>
            </w:rPr>
          </w:pPr>
          <w:hyperlink w:anchor="_Toc145319648" w:history="1">
            <w:r w:rsidRPr="00A02D58">
              <w:rPr>
                <w:rStyle w:val="a9"/>
                <w:rFonts w:ascii="楷体" w:eastAsia="楷体" w:hAnsi="楷体"/>
                <w:b/>
                <w:noProof/>
              </w:rPr>
              <w:t>焦炭：供需缺口走阔，成本支撑下偏强震荡</w:t>
            </w:r>
          </w:hyperlink>
        </w:p>
        <w:p w:rsidR="00EA4444" w:rsidRDefault="00EA4444">
          <w:pPr>
            <w:pStyle w:val="23"/>
            <w:tabs>
              <w:tab w:val="right" w:leader="dot" w:pos="8296"/>
            </w:tabs>
            <w:rPr>
              <w:rFonts w:eastAsiaTheme="minorEastAsia"/>
              <w:noProof/>
              <w:szCs w:val="22"/>
            </w:rPr>
          </w:pPr>
          <w:hyperlink w:anchor="_Toc145319649" w:history="1">
            <w:r w:rsidRPr="00A02D58">
              <w:rPr>
                <w:rStyle w:val="a9"/>
                <w:rFonts w:ascii="楷体" w:eastAsia="楷体" w:hAnsi="楷体"/>
                <w:b/>
                <w:noProof/>
              </w:rPr>
              <w:t>焦煤：短期高位偏强震荡，国庆前补库情况或成为主要驱动</w:t>
            </w:r>
          </w:hyperlink>
        </w:p>
        <w:p w:rsidR="00EA4444" w:rsidRDefault="00EA4444">
          <w:pPr>
            <w:pStyle w:val="23"/>
            <w:tabs>
              <w:tab w:val="right" w:leader="dot" w:pos="8296"/>
            </w:tabs>
            <w:rPr>
              <w:rFonts w:eastAsiaTheme="minorEastAsia"/>
              <w:noProof/>
              <w:szCs w:val="22"/>
            </w:rPr>
          </w:pPr>
          <w:hyperlink w:anchor="_Toc145319650" w:history="1">
            <w:r w:rsidRPr="00A02D58">
              <w:rPr>
                <w:rStyle w:val="a9"/>
                <w:rFonts w:ascii="楷体" w:eastAsia="楷体" w:hAnsi="楷体"/>
                <w:b/>
                <w:noProof/>
              </w:rPr>
              <w:t>铜：区间震荡承压运行</w:t>
            </w:r>
          </w:hyperlink>
        </w:p>
        <w:p w:rsidR="00EA4444" w:rsidRDefault="00EA4444">
          <w:pPr>
            <w:pStyle w:val="23"/>
            <w:tabs>
              <w:tab w:val="right" w:leader="dot" w:pos="8296"/>
            </w:tabs>
            <w:rPr>
              <w:rFonts w:eastAsiaTheme="minorEastAsia"/>
              <w:noProof/>
              <w:szCs w:val="22"/>
            </w:rPr>
          </w:pPr>
          <w:hyperlink w:anchor="_Toc145319651" w:history="1">
            <w:r w:rsidRPr="00A02D58">
              <w:rPr>
                <w:rStyle w:val="a9"/>
                <w:rFonts w:ascii="楷体" w:eastAsia="楷体" w:hAnsi="楷体"/>
                <w:b/>
                <w:noProof/>
              </w:rPr>
              <w:t>铝：多空因素交织影响，铝价上下仍存压力</w:t>
            </w:r>
          </w:hyperlink>
        </w:p>
        <w:p w:rsidR="00EA4444" w:rsidRDefault="00EA4444">
          <w:pPr>
            <w:pStyle w:val="23"/>
            <w:tabs>
              <w:tab w:val="right" w:leader="dot" w:pos="8296"/>
            </w:tabs>
            <w:rPr>
              <w:rFonts w:eastAsiaTheme="minorEastAsia"/>
              <w:noProof/>
              <w:szCs w:val="22"/>
            </w:rPr>
          </w:pPr>
          <w:hyperlink w:anchor="_Toc145319652" w:history="1">
            <w:r w:rsidRPr="00A02D58">
              <w:rPr>
                <w:rStyle w:val="a9"/>
                <w:rFonts w:ascii="楷体" w:eastAsia="楷体" w:hAnsi="楷体"/>
                <w:b/>
                <w:noProof/>
              </w:rPr>
              <w:t>锌：锌价高位震荡为主</w:t>
            </w:r>
          </w:hyperlink>
        </w:p>
        <w:p w:rsidR="00EA4444" w:rsidRDefault="00EA4444">
          <w:pPr>
            <w:pStyle w:val="23"/>
            <w:tabs>
              <w:tab w:val="right" w:leader="dot" w:pos="8296"/>
            </w:tabs>
            <w:rPr>
              <w:rFonts w:eastAsiaTheme="minorEastAsia"/>
              <w:noProof/>
              <w:szCs w:val="22"/>
            </w:rPr>
          </w:pPr>
          <w:hyperlink w:anchor="_Toc145319653" w:history="1">
            <w:r w:rsidRPr="00A02D58">
              <w:rPr>
                <w:rStyle w:val="a9"/>
                <w:rFonts w:ascii="楷体" w:eastAsia="楷体" w:hAnsi="楷体"/>
                <w:b/>
                <w:noProof/>
              </w:rPr>
              <w:t>镍：基本面维持弱势，镍价承压运行</w:t>
            </w:r>
          </w:hyperlink>
        </w:p>
        <w:p w:rsidR="00EA4444" w:rsidRDefault="00EA4444">
          <w:pPr>
            <w:pStyle w:val="23"/>
            <w:tabs>
              <w:tab w:val="right" w:leader="dot" w:pos="8296"/>
            </w:tabs>
            <w:rPr>
              <w:rFonts w:eastAsiaTheme="minorEastAsia"/>
              <w:noProof/>
              <w:szCs w:val="22"/>
            </w:rPr>
          </w:pPr>
          <w:hyperlink w:anchor="_Toc145319654" w:history="1">
            <w:r w:rsidRPr="00A02D58">
              <w:rPr>
                <w:rStyle w:val="a9"/>
                <w:rFonts w:ascii="楷体" w:eastAsia="楷体" w:hAnsi="楷体"/>
                <w:b/>
                <w:noProof/>
              </w:rPr>
              <w:t>铅：铝市供需双修，观望价格上方压力位</w:t>
            </w:r>
          </w:hyperlink>
        </w:p>
        <w:p w:rsidR="00EA4444" w:rsidRDefault="00EA4444">
          <w:pPr>
            <w:pStyle w:val="23"/>
            <w:tabs>
              <w:tab w:val="right" w:leader="dot" w:pos="8296"/>
            </w:tabs>
            <w:rPr>
              <w:rFonts w:eastAsiaTheme="minorEastAsia"/>
              <w:noProof/>
              <w:szCs w:val="22"/>
            </w:rPr>
          </w:pPr>
          <w:hyperlink w:anchor="_Toc145319655" w:history="1">
            <w:r w:rsidRPr="00A02D58">
              <w:rPr>
                <w:rStyle w:val="a9"/>
                <w:rFonts w:ascii="楷体" w:eastAsia="楷体" w:hAnsi="楷体"/>
                <w:b/>
                <w:noProof/>
              </w:rPr>
              <w:t>不锈钢：需求表现不旺，短期在成本支撑下或窄幅震荡偏弱</w:t>
            </w:r>
          </w:hyperlink>
        </w:p>
        <w:p w:rsidR="00EA4444" w:rsidRDefault="00EA4444">
          <w:pPr>
            <w:pStyle w:val="23"/>
            <w:tabs>
              <w:tab w:val="right" w:leader="dot" w:pos="8296"/>
            </w:tabs>
            <w:rPr>
              <w:rFonts w:eastAsiaTheme="minorEastAsia"/>
              <w:noProof/>
              <w:szCs w:val="22"/>
            </w:rPr>
          </w:pPr>
          <w:hyperlink w:anchor="_Toc145319656" w:history="1">
            <w:r w:rsidRPr="00A02D58">
              <w:rPr>
                <w:rStyle w:val="a9"/>
                <w:rFonts w:ascii="楷体" w:eastAsia="楷体" w:hAnsi="楷体"/>
                <w:b/>
                <w:noProof/>
              </w:rPr>
              <w:t>工业硅：现货挺价情绪较浓，短期对盘面或仍有支撑</w:t>
            </w:r>
          </w:hyperlink>
        </w:p>
        <w:p w:rsidR="00EA4444" w:rsidRDefault="00EA4444">
          <w:pPr>
            <w:pStyle w:val="11"/>
            <w:tabs>
              <w:tab w:val="right" w:leader="dot" w:pos="8296"/>
            </w:tabs>
            <w:rPr>
              <w:rFonts w:eastAsiaTheme="minorEastAsia"/>
              <w:noProof/>
              <w:szCs w:val="22"/>
            </w:rPr>
          </w:pPr>
          <w:hyperlink w:anchor="_Toc145319657" w:history="1">
            <w:r w:rsidRPr="00A02D58">
              <w:rPr>
                <w:rStyle w:val="a9"/>
                <w:rFonts w:ascii="Times New Roman" w:eastAsia="楷体" w:hAnsi="Times New Roman"/>
                <w:b/>
                <w:noProof/>
              </w:rPr>
              <w:t>[</w:t>
            </w:r>
            <w:r w:rsidRPr="00A02D58">
              <w:rPr>
                <w:rStyle w:val="a9"/>
                <w:rFonts w:ascii="Times New Roman" w:eastAsia="楷体" w:hAnsi="Times New Roman"/>
                <w:b/>
                <w:noProof/>
              </w:rPr>
              <w:t>化工</w:t>
            </w:r>
            <w:r w:rsidRPr="00A02D58">
              <w:rPr>
                <w:rStyle w:val="a9"/>
                <w:rFonts w:ascii="Times New Roman" w:eastAsia="楷体" w:hAnsi="Times New Roman"/>
                <w:b/>
                <w:noProof/>
              </w:rPr>
              <w:t>]</w:t>
            </w:r>
          </w:hyperlink>
        </w:p>
        <w:p w:rsidR="00EA4444" w:rsidRDefault="00EA4444">
          <w:pPr>
            <w:pStyle w:val="23"/>
            <w:tabs>
              <w:tab w:val="right" w:leader="dot" w:pos="8296"/>
            </w:tabs>
            <w:rPr>
              <w:rFonts w:eastAsiaTheme="minorEastAsia"/>
              <w:noProof/>
              <w:szCs w:val="22"/>
            </w:rPr>
          </w:pPr>
          <w:hyperlink w:anchor="_Toc145319658" w:history="1">
            <w:r w:rsidRPr="00A02D58">
              <w:rPr>
                <w:rStyle w:val="a9"/>
                <w:rFonts w:ascii="Times New Roman" w:eastAsia="楷体" w:hAnsi="Times New Roman"/>
                <w:b/>
                <w:noProof/>
              </w:rPr>
              <w:t>天然橡胶</w:t>
            </w:r>
            <w:r w:rsidRPr="00A02D58">
              <w:rPr>
                <w:rStyle w:val="a9"/>
                <w:rFonts w:ascii="Times New Roman" w:eastAsia="楷体" w:hAnsi="Times New Roman"/>
                <w:b/>
                <w:noProof/>
              </w:rPr>
              <w:t>:</w:t>
            </w:r>
            <w:r w:rsidRPr="00A02D58">
              <w:rPr>
                <w:rStyle w:val="a9"/>
                <w:rFonts w:ascii="楷体" w:eastAsia="楷体" w:hAnsi="楷体"/>
                <w:b/>
                <w:noProof/>
              </w:rPr>
              <w:t xml:space="preserve"> 利好因素有所消化 RU上行压力较大</w:t>
            </w:r>
          </w:hyperlink>
        </w:p>
        <w:p w:rsidR="00EA4444" w:rsidRDefault="00EA4444">
          <w:pPr>
            <w:pStyle w:val="23"/>
            <w:tabs>
              <w:tab w:val="right" w:leader="dot" w:pos="8296"/>
            </w:tabs>
            <w:rPr>
              <w:rFonts w:eastAsiaTheme="minorEastAsia"/>
              <w:noProof/>
              <w:szCs w:val="22"/>
            </w:rPr>
          </w:pPr>
          <w:hyperlink w:anchor="_Toc145319659" w:history="1">
            <w:r w:rsidRPr="00A02D58">
              <w:rPr>
                <w:rStyle w:val="a9"/>
                <w:rFonts w:ascii="楷体" w:eastAsia="楷体" w:hAnsi="楷体"/>
                <w:b/>
                <w:noProof/>
              </w:rPr>
              <w:t>PTA：低加工费及成本端支撑仍偏强</w:t>
            </w:r>
          </w:hyperlink>
        </w:p>
        <w:p w:rsidR="00EA4444" w:rsidRDefault="00EA4444">
          <w:pPr>
            <w:pStyle w:val="23"/>
            <w:tabs>
              <w:tab w:val="right" w:leader="dot" w:pos="8296"/>
            </w:tabs>
            <w:rPr>
              <w:rFonts w:eastAsiaTheme="minorEastAsia"/>
              <w:noProof/>
              <w:szCs w:val="22"/>
            </w:rPr>
          </w:pPr>
          <w:hyperlink w:anchor="_Toc145319660" w:history="1">
            <w:r w:rsidRPr="00A02D58">
              <w:rPr>
                <w:rStyle w:val="a9"/>
                <w:rFonts w:ascii="楷体" w:eastAsia="楷体" w:hAnsi="楷体"/>
                <w:b/>
                <w:noProof/>
              </w:rPr>
              <w:t>PVC：高库存+弱复苏 驱动不足</w:t>
            </w:r>
          </w:hyperlink>
        </w:p>
        <w:p w:rsidR="00EA4444" w:rsidRDefault="00EA4444">
          <w:pPr>
            <w:pStyle w:val="23"/>
            <w:tabs>
              <w:tab w:val="right" w:leader="dot" w:pos="8296"/>
            </w:tabs>
            <w:rPr>
              <w:rFonts w:eastAsiaTheme="minorEastAsia"/>
              <w:noProof/>
              <w:szCs w:val="22"/>
            </w:rPr>
          </w:pPr>
          <w:hyperlink w:anchor="_Toc145319661" w:history="1">
            <w:r w:rsidRPr="00A02D58">
              <w:rPr>
                <w:rStyle w:val="a9"/>
                <w:rFonts w:ascii="楷体" w:eastAsia="楷体" w:hAnsi="楷体"/>
                <w:b/>
                <w:noProof/>
              </w:rPr>
              <w:t>聚烯烃：需求面延续恢复 聚烯烃横盘震荡为主</w:t>
            </w:r>
          </w:hyperlink>
        </w:p>
        <w:p w:rsidR="00EA4444" w:rsidRDefault="00EA4444">
          <w:pPr>
            <w:pStyle w:val="23"/>
            <w:tabs>
              <w:tab w:val="right" w:leader="dot" w:pos="8296"/>
            </w:tabs>
            <w:rPr>
              <w:rFonts w:eastAsiaTheme="minorEastAsia"/>
              <w:noProof/>
              <w:szCs w:val="22"/>
            </w:rPr>
          </w:pPr>
          <w:hyperlink w:anchor="_Toc145319662" w:history="1">
            <w:r w:rsidRPr="00A02D58">
              <w:rPr>
                <w:rStyle w:val="a9"/>
                <w:rFonts w:ascii="楷体" w:eastAsia="楷体" w:hAnsi="楷体"/>
                <w:b/>
                <w:noProof/>
              </w:rPr>
              <w:t>MEG：成本提振但高库存压制反弹空间</w:t>
            </w:r>
          </w:hyperlink>
        </w:p>
        <w:p w:rsidR="00EA4444" w:rsidRDefault="00EA4444">
          <w:pPr>
            <w:pStyle w:val="23"/>
            <w:tabs>
              <w:tab w:val="right" w:leader="dot" w:pos="8296"/>
            </w:tabs>
            <w:rPr>
              <w:rFonts w:eastAsiaTheme="minorEastAsia"/>
              <w:noProof/>
              <w:szCs w:val="22"/>
            </w:rPr>
          </w:pPr>
          <w:hyperlink w:anchor="_Toc145319663" w:history="1">
            <w:r w:rsidRPr="00A02D58">
              <w:rPr>
                <w:rStyle w:val="a9"/>
                <w:rFonts w:ascii="楷体" w:eastAsia="楷体" w:hAnsi="楷体"/>
                <w:b/>
                <w:noProof/>
              </w:rPr>
              <w:t>玻璃：贸易商小幅补库后，震荡走弱</w:t>
            </w:r>
          </w:hyperlink>
        </w:p>
        <w:p w:rsidR="00EA4444" w:rsidRDefault="00EA4444">
          <w:pPr>
            <w:pStyle w:val="23"/>
            <w:tabs>
              <w:tab w:val="right" w:leader="dot" w:pos="8296"/>
            </w:tabs>
            <w:rPr>
              <w:rFonts w:eastAsiaTheme="minorEastAsia"/>
              <w:noProof/>
              <w:szCs w:val="22"/>
            </w:rPr>
          </w:pPr>
          <w:hyperlink w:anchor="_Toc145319664" w:history="1">
            <w:r w:rsidRPr="00A02D58">
              <w:rPr>
                <w:rStyle w:val="a9"/>
                <w:rFonts w:ascii="楷体" w:eastAsia="楷体" w:hAnsi="楷体"/>
                <w:b/>
                <w:noProof/>
              </w:rPr>
              <w:t>纯碱：供给压力减缓，库存接近临界点</w:t>
            </w:r>
          </w:hyperlink>
        </w:p>
        <w:p w:rsidR="00EA4444" w:rsidRDefault="00EA4444">
          <w:pPr>
            <w:pStyle w:val="11"/>
            <w:tabs>
              <w:tab w:val="right" w:leader="dot" w:pos="8296"/>
            </w:tabs>
            <w:rPr>
              <w:rFonts w:eastAsiaTheme="minorEastAsia"/>
              <w:noProof/>
              <w:szCs w:val="22"/>
            </w:rPr>
          </w:pPr>
          <w:hyperlink w:anchor="_Toc145319665" w:history="1">
            <w:r w:rsidRPr="00A02D58">
              <w:rPr>
                <w:rStyle w:val="a9"/>
                <w:rFonts w:ascii="Times New Roman" w:eastAsia="楷体" w:hAnsi="Times New Roman"/>
                <w:b/>
                <w:noProof/>
              </w:rPr>
              <w:t>[</w:t>
            </w:r>
            <w:r w:rsidRPr="00A02D58">
              <w:rPr>
                <w:rStyle w:val="a9"/>
                <w:rFonts w:ascii="Times New Roman" w:eastAsia="楷体" w:hAnsi="Times New Roman"/>
                <w:b/>
                <w:noProof/>
              </w:rPr>
              <w:t>农产品</w:t>
            </w:r>
            <w:r w:rsidRPr="00A02D58">
              <w:rPr>
                <w:rStyle w:val="a9"/>
                <w:rFonts w:ascii="Times New Roman" w:eastAsia="楷体" w:hAnsi="Times New Roman"/>
                <w:b/>
                <w:noProof/>
              </w:rPr>
              <w:t>]</w:t>
            </w:r>
          </w:hyperlink>
        </w:p>
        <w:p w:rsidR="00EA4444" w:rsidRDefault="00EA4444">
          <w:pPr>
            <w:pStyle w:val="23"/>
            <w:tabs>
              <w:tab w:val="right" w:leader="dot" w:pos="8296"/>
            </w:tabs>
            <w:rPr>
              <w:rFonts w:eastAsiaTheme="minorEastAsia"/>
              <w:noProof/>
              <w:szCs w:val="22"/>
            </w:rPr>
          </w:pPr>
          <w:hyperlink w:anchor="_Toc145319666" w:history="1">
            <w:r w:rsidRPr="00A02D58">
              <w:rPr>
                <w:rStyle w:val="a9"/>
                <w:rFonts w:ascii="楷体" w:eastAsia="楷体" w:hAnsi="楷体"/>
                <w:b/>
                <w:noProof/>
              </w:rPr>
              <w:t>豆粕/菜粕：短期震荡整理，等待美农报告进一步指引</w:t>
            </w:r>
          </w:hyperlink>
        </w:p>
        <w:p w:rsidR="00EA4444" w:rsidRDefault="00EA4444">
          <w:pPr>
            <w:pStyle w:val="23"/>
            <w:tabs>
              <w:tab w:val="right" w:leader="dot" w:pos="8296"/>
            </w:tabs>
            <w:rPr>
              <w:rFonts w:eastAsiaTheme="minorEastAsia"/>
              <w:noProof/>
              <w:szCs w:val="22"/>
            </w:rPr>
          </w:pPr>
          <w:hyperlink w:anchor="_Toc145319667" w:history="1">
            <w:r w:rsidRPr="00A02D58">
              <w:rPr>
                <w:rStyle w:val="a9"/>
                <w:rFonts w:ascii="楷体" w:eastAsia="楷体" w:hAnsi="楷体"/>
                <w:b/>
                <w:noProof/>
              </w:rPr>
              <w:t>油脂：维持宽幅震荡，单边缺乏有效驱动</w:t>
            </w:r>
          </w:hyperlink>
        </w:p>
        <w:p w:rsidR="00EA4444" w:rsidRDefault="00EA4444">
          <w:pPr>
            <w:pStyle w:val="23"/>
            <w:tabs>
              <w:tab w:val="right" w:leader="dot" w:pos="8296"/>
            </w:tabs>
            <w:rPr>
              <w:rFonts w:eastAsiaTheme="minorEastAsia"/>
              <w:noProof/>
              <w:szCs w:val="22"/>
            </w:rPr>
          </w:pPr>
          <w:hyperlink w:anchor="_Toc145319668" w:history="1">
            <w:r w:rsidRPr="00A02D58">
              <w:rPr>
                <w:rStyle w:val="a9"/>
                <w:rFonts w:ascii="楷体" w:eastAsia="楷体" w:hAnsi="楷体"/>
                <w:b/>
                <w:bCs/>
                <w:noProof/>
              </w:rPr>
              <w:t>玉米与淀粉：</w:t>
            </w:r>
            <w:r w:rsidRPr="00A02D58">
              <w:rPr>
                <w:rStyle w:val="a9"/>
                <w:rFonts w:ascii="楷体" w:eastAsia="楷体" w:hAnsi="楷体"/>
                <w:b/>
                <w:noProof/>
              </w:rPr>
              <w:t>新作上市压力与期价深度贴水</w:t>
            </w:r>
          </w:hyperlink>
        </w:p>
        <w:p w:rsidR="00EA4444" w:rsidRDefault="00EA4444">
          <w:pPr>
            <w:pStyle w:val="23"/>
            <w:tabs>
              <w:tab w:val="right" w:leader="dot" w:pos="8296"/>
            </w:tabs>
            <w:rPr>
              <w:rFonts w:eastAsiaTheme="minorEastAsia"/>
              <w:noProof/>
              <w:szCs w:val="22"/>
            </w:rPr>
          </w:pPr>
          <w:hyperlink w:anchor="_Toc145319669" w:history="1">
            <w:r w:rsidRPr="00A02D58">
              <w:rPr>
                <w:rStyle w:val="a9"/>
                <w:rFonts w:ascii="楷体" w:eastAsia="楷体" w:hAnsi="楷体"/>
                <w:b/>
                <w:bCs/>
                <w:noProof/>
              </w:rPr>
              <w:t>畜禽养殖：现货带动期价表现不一</w:t>
            </w:r>
          </w:hyperlink>
        </w:p>
        <w:p w:rsidR="00EA4444" w:rsidRDefault="00EA4444">
          <w:pPr>
            <w:pStyle w:val="23"/>
            <w:tabs>
              <w:tab w:val="right" w:leader="dot" w:pos="8296"/>
            </w:tabs>
            <w:rPr>
              <w:rFonts w:eastAsiaTheme="minorEastAsia"/>
              <w:noProof/>
              <w:szCs w:val="22"/>
            </w:rPr>
          </w:pPr>
          <w:hyperlink w:anchor="_Toc145319670" w:history="1">
            <w:r w:rsidRPr="00A02D58">
              <w:rPr>
                <w:rStyle w:val="a9"/>
                <w:rFonts w:ascii="楷体" w:eastAsia="楷体" w:hAnsi="楷体"/>
                <w:b/>
                <w:noProof/>
              </w:rPr>
              <w:t>郑棉：多单或看跌期权卖权持有</w:t>
            </w:r>
          </w:hyperlink>
        </w:p>
        <w:p w:rsidR="00EA4444" w:rsidRDefault="00EA4444">
          <w:pPr>
            <w:pStyle w:val="23"/>
            <w:tabs>
              <w:tab w:val="right" w:leader="dot" w:pos="8296"/>
            </w:tabs>
            <w:rPr>
              <w:rFonts w:eastAsiaTheme="minorEastAsia"/>
              <w:noProof/>
              <w:szCs w:val="22"/>
            </w:rPr>
          </w:pPr>
          <w:hyperlink w:anchor="_Toc145319671" w:history="1">
            <w:r w:rsidRPr="00A02D58">
              <w:rPr>
                <w:rStyle w:val="a9"/>
                <w:rFonts w:ascii="楷体" w:eastAsia="楷体" w:hAnsi="楷体"/>
                <w:b/>
                <w:noProof/>
              </w:rPr>
              <w:t>白糖：多单暂止盈离场，看跌期权卖权持有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53196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5319642"/>
      <w:bookmarkEnd w:id="4"/>
      <w:r>
        <w:rPr>
          <w:rFonts w:ascii="Times New Roman" w:eastAsia="楷体" w:hAnsi="Times New Roman" w:hint="eastAsia"/>
          <w:b/>
          <w:color w:val="000000" w:themeColor="text1"/>
          <w:sz w:val="24"/>
          <w:szCs w:val="24"/>
        </w:rPr>
        <w:t>股指：</w:t>
      </w:r>
      <w:bookmarkEnd w:id="6"/>
      <w:bookmarkEnd w:id="7"/>
      <w:r w:rsidR="00EA4444" w:rsidRPr="00EA4444">
        <w:rPr>
          <w:rFonts w:ascii="Times New Roman" w:eastAsia="楷体" w:hAnsi="Times New Roman" w:hint="eastAsia"/>
          <w:b/>
          <w:color w:val="000000" w:themeColor="text1"/>
          <w:sz w:val="24"/>
          <w:szCs w:val="24"/>
        </w:rPr>
        <w:t>IM</w:t>
      </w:r>
      <w:r w:rsidR="00EA4444" w:rsidRPr="00EA4444">
        <w:rPr>
          <w:rFonts w:ascii="Times New Roman" w:eastAsia="楷体" w:hAnsi="Times New Roman" w:hint="eastAsia"/>
          <w:b/>
          <w:color w:val="000000" w:themeColor="text1"/>
          <w:sz w:val="24"/>
          <w:szCs w:val="24"/>
        </w:rPr>
        <w:t>多单轻仓持有</w:t>
      </w:r>
      <w:bookmarkEnd w:id="8"/>
    </w:p>
    <w:p w:rsidR="003F56A5" w:rsidRDefault="00EA4444" w:rsidP="00D14B3E">
      <w:pPr>
        <w:ind w:leftChars="300" w:left="630"/>
        <w:rPr>
          <w:rFonts w:ascii="Times New Roman" w:eastAsia="楷体" w:hAnsi="Times New Roman"/>
          <w:color w:val="000000" w:themeColor="text1"/>
          <w:sz w:val="24"/>
          <w:szCs w:val="24"/>
        </w:rPr>
      </w:pPr>
      <w:r w:rsidRPr="00EA4444">
        <w:rPr>
          <w:rFonts w:ascii="Times New Roman" w:eastAsia="楷体" w:hAnsi="Times New Roman" w:hint="eastAsia"/>
          <w:color w:val="000000" w:themeColor="text1"/>
          <w:sz w:val="24"/>
          <w:szCs w:val="24"/>
        </w:rPr>
        <w:t>两融资金比例调整实施，保险资金投资新规进一步打开入市空间并引导险资加大对科技创新的支持力度，</w:t>
      </w:r>
      <w:r w:rsidRPr="00EA4444">
        <w:rPr>
          <w:rFonts w:ascii="Times New Roman" w:eastAsia="楷体" w:hAnsi="Times New Roman" w:hint="eastAsia"/>
          <w:color w:val="000000" w:themeColor="text1"/>
          <w:sz w:val="24"/>
          <w:szCs w:val="24"/>
        </w:rPr>
        <w:t>A</w:t>
      </w:r>
      <w:r w:rsidRPr="00EA4444">
        <w:rPr>
          <w:rFonts w:ascii="Times New Roman" w:eastAsia="楷体" w:hAnsi="Times New Roman" w:hint="eastAsia"/>
          <w:color w:val="000000" w:themeColor="text1"/>
          <w:sz w:val="24"/>
          <w:szCs w:val="24"/>
        </w:rPr>
        <w:t>股迎长期增量资金，提振市场信心和活跃度</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53196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5319644"/>
      <w:r>
        <w:rPr>
          <w:rFonts w:ascii="Times New Roman" w:eastAsia="楷体" w:hAnsi="Times New Roman" w:hint="eastAsia"/>
          <w:b/>
          <w:color w:val="000000" w:themeColor="text1"/>
          <w:sz w:val="24"/>
          <w:szCs w:val="24"/>
        </w:rPr>
        <w:t>贵金属：</w:t>
      </w:r>
      <w:r w:rsidR="00EA4444" w:rsidRPr="00EA4444">
        <w:rPr>
          <w:rFonts w:ascii="Times New Roman" w:eastAsia="楷体" w:hAnsi="Times New Roman" w:hint="eastAsia"/>
          <w:b/>
          <w:color w:val="000000" w:themeColor="text1"/>
          <w:sz w:val="24"/>
          <w:szCs w:val="24"/>
        </w:rPr>
        <w:t>美联储官员提示</w:t>
      </w:r>
      <w:r w:rsidR="00EA4444" w:rsidRPr="00EA4444">
        <w:rPr>
          <w:rFonts w:ascii="Times New Roman" w:eastAsia="楷体" w:hAnsi="Times New Roman" w:hint="eastAsia"/>
          <w:b/>
          <w:color w:val="000000" w:themeColor="text1"/>
          <w:sz w:val="24"/>
          <w:szCs w:val="24"/>
        </w:rPr>
        <w:t>9</w:t>
      </w:r>
      <w:r w:rsidR="00EA4444" w:rsidRPr="00EA4444">
        <w:rPr>
          <w:rFonts w:ascii="Times New Roman" w:eastAsia="楷体" w:hAnsi="Times New Roman" w:hint="eastAsia"/>
          <w:b/>
          <w:color w:val="000000" w:themeColor="text1"/>
          <w:sz w:val="24"/>
          <w:szCs w:val="24"/>
        </w:rPr>
        <w:t>月或暂缓加息，金价持续上涨</w:t>
      </w:r>
      <w:bookmarkEnd w:id="10"/>
    </w:p>
    <w:p w:rsidR="003F56A5" w:rsidRDefault="00EA4444">
      <w:pPr>
        <w:ind w:leftChars="300" w:left="630"/>
        <w:rPr>
          <w:rFonts w:ascii="Times New Roman" w:eastAsia="楷体" w:hAnsi="Times New Roman"/>
          <w:sz w:val="24"/>
          <w:szCs w:val="24"/>
        </w:rPr>
      </w:pPr>
      <w:r w:rsidRPr="00EA4444">
        <w:rPr>
          <w:rFonts w:ascii="Times New Roman" w:eastAsia="楷体" w:hAnsi="Times New Roman" w:hint="eastAsia"/>
          <w:color w:val="000000" w:themeColor="text1"/>
          <w:sz w:val="24"/>
          <w:szCs w:val="24"/>
        </w:rPr>
        <w:t>美联储洛根表示，</w:t>
      </w:r>
      <w:r w:rsidRPr="00EA4444">
        <w:rPr>
          <w:rFonts w:ascii="Times New Roman" w:eastAsia="楷体" w:hAnsi="Times New Roman" w:hint="eastAsia"/>
          <w:color w:val="000000" w:themeColor="text1"/>
          <w:sz w:val="24"/>
          <w:szCs w:val="24"/>
        </w:rPr>
        <w:t>9</w:t>
      </w:r>
      <w:r w:rsidRPr="00EA4444">
        <w:rPr>
          <w:rFonts w:ascii="Times New Roman" w:eastAsia="楷体" w:hAnsi="Times New Roman" w:hint="eastAsia"/>
          <w:color w:val="000000" w:themeColor="text1"/>
          <w:sz w:val="24"/>
          <w:szCs w:val="24"/>
        </w:rPr>
        <w:t>月跳过加息可能是合适的，但这不意味着停止加息和通胀风险已经消除。短线投机资金相对看好金价后市表现，白银</w:t>
      </w:r>
      <w:r w:rsidRPr="00EA4444">
        <w:rPr>
          <w:rFonts w:ascii="Times New Roman" w:eastAsia="楷体" w:hAnsi="Times New Roman" w:hint="eastAsia"/>
          <w:color w:val="000000" w:themeColor="text1"/>
          <w:sz w:val="24"/>
          <w:szCs w:val="24"/>
        </w:rPr>
        <w:t>ETF</w:t>
      </w:r>
      <w:r w:rsidRPr="00EA4444">
        <w:rPr>
          <w:rFonts w:ascii="Times New Roman" w:eastAsia="楷体" w:hAnsi="Times New Roman" w:hint="eastAsia"/>
          <w:color w:val="000000" w:themeColor="text1"/>
          <w:sz w:val="24"/>
          <w:szCs w:val="24"/>
        </w:rPr>
        <w:t>持仓正向流入。截至</w:t>
      </w:r>
      <w:r w:rsidRPr="00EA4444">
        <w:rPr>
          <w:rFonts w:ascii="Times New Roman" w:eastAsia="楷体" w:hAnsi="Times New Roman" w:hint="eastAsia"/>
          <w:color w:val="000000" w:themeColor="text1"/>
          <w:sz w:val="24"/>
          <w:szCs w:val="24"/>
        </w:rPr>
        <w:t>9</w:t>
      </w:r>
      <w:r w:rsidRPr="00EA4444">
        <w:rPr>
          <w:rFonts w:ascii="Times New Roman" w:eastAsia="楷体" w:hAnsi="Times New Roman" w:hint="eastAsia"/>
          <w:color w:val="000000" w:themeColor="text1"/>
          <w:sz w:val="24"/>
          <w:szCs w:val="24"/>
        </w:rPr>
        <w:t>月</w:t>
      </w:r>
      <w:r w:rsidRPr="00EA4444">
        <w:rPr>
          <w:rFonts w:ascii="Times New Roman" w:eastAsia="楷体" w:hAnsi="Times New Roman" w:hint="eastAsia"/>
          <w:color w:val="000000" w:themeColor="text1"/>
          <w:sz w:val="24"/>
          <w:szCs w:val="24"/>
        </w:rPr>
        <w:t>5</w:t>
      </w:r>
      <w:r w:rsidRPr="00EA4444">
        <w:rPr>
          <w:rFonts w:ascii="Times New Roman" w:eastAsia="楷体" w:hAnsi="Times New Roman" w:hint="eastAsia"/>
          <w:color w:val="000000" w:themeColor="text1"/>
          <w:sz w:val="24"/>
          <w:szCs w:val="24"/>
        </w:rPr>
        <w:t>日当周，</w:t>
      </w:r>
      <w:r w:rsidRPr="00EA4444">
        <w:rPr>
          <w:rFonts w:ascii="Times New Roman" w:eastAsia="楷体" w:hAnsi="Times New Roman" w:hint="eastAsia"/>
          <w:color w:val="000000" w:themeColor="text1"/>
          <w:sz w:val="24"/>
          <w:szCs w:val="24"/>
        </w:rPr>
        <w:t>COMEX</w:t>
      </w:r>
      <w:r w:rsidRPr="00EA4444">
        <w:rPr>
          <w:rFonts w:ascii="Times New Roman" w:eastAsia="楷体" w:hAnsi="Times New Roman" w:hint="eastAsia"/>
          <w:color w:val="000000" w:themeColor="text1"/>
          <w:sz w:val="24"/>
          <w:szCs w:val="24"/>
        </w:rPr>
        <w:t>黄金期货管理基金净多持仓增加</w:t>
      </w:r>
      <w:r w:rsidRPr="00EA4444">
        <w:rPr>
          <w:rFonts w:ascii="Times New Roman" w:eastAsia="楷体" w:hAnsi="Times New Roman" w:hint="eastAsia"/>
          <w:color w:val="000000" w:themeColor="text1"/>
          <w:sz w:val="24"/>
          <w:szCs w:val="24"/>
        </w:rPr>
        <w:t>11123</w:t>
      </w:r>
      <w:r w:rsidRPr="00EA4444">
        <w:rPr>
          <w:rFonts w:ascii="Times New Roman" w:eastAsia="楷体" w:hAnsi="Times New Roman" w:hint="eastAsia"/>
          <w:color w:val="000000" w:themeColor="text1"/>
          <w:sz w:val="24"/>
          <w:szCs w:val="24"/>
        </w:rPr>
        <w:t>手至</w:t>
      </w:r>
      <w:r w:rsidRPr="00EA4444">
        <w:rPr>
          <w:rFonts w:ascii="Times New Roman" w:eastAsia="楷体" w:hAnsi="Times New Roman" w:hint="eastAsia"/>
          <w:color w:val="000000" w:themeColor="text1"/>
          <w:sz w:val="24"/>
          <w:szCs w:val="24"/>
        </w:rPr>
        <w:t>50365</w:t>
      </w:r>
      <w:r w:rsidRPr="00EA4444">
        <w:rPr>
          <w:rFonts w:ascii="Times New Roman" w:eastAsia="楷体" w:hAnsi="Times New Roman" w:hint="eastAsia"/>
          <w:color w:val="000000" w:themeColor="text1"/>
          <w:sz w:val="24"/>
          <w:szCs w:val="24"/>
        </w:rPr>
        <w:t>手，</w:t>
      </w:r>
      <w:r w:rsidRPr="00EA4444">
        <w:rPr>
          <w:rFonts w:ascii="Times New Roman" w:eastAsia="楷体" w:hAnsi="Times New Roman" w:hint="eastAsia"/>
          <w:color w:val="000000" w:themeColor="text1"/>
          <w:sz w:val="24"/>
          <w:szCs w:val="24"/>
        </w:rPr>
        <w:t>COMEX</w:t>
      </w:r>
      <w:r w:rsidRPr="00EA4444">
        <w:rPr>
          <w:rFonts w:ascii="Times New Roman" w:eastAsia="楷体" w:hAnsi="Times New Roman" w:hint="eastAsia"/>
          <w:color w:val="000000" w:themeColor="text1"/>
          <w:sz w:val="24"/>
          <w:szCs w:val="24"/>
        </w:rPr>
        <w:t>白银期货管理基金净多持仓减少</w:t>
      </w:r>
      <w:r w:rsidRPr="00EA4444">
        <w:rPr>
          <w:rFonts w:ascii="Times New Roman" w:eastAsia="楷体" w:hAnsi="Times New Roman" w:hint="eastAsia"/>
          <w:color w:val="000000" w:themeColor="text1"/>
          <w:sz w:val="24"/>
          <w:szCs w:val="24"/>
        </w:rPr>
        <w:t>3131</w:t>
      </w:r>
      <w:r w:rsidRPr="00EA4444">
        <w:rPr>
          <w:rFonts w:ascii="Times New Roman" w:eastAsia="楷体" w:hAnsi="Times New Roman" w:hint="eastAsia"/>
          <w:color w:val="000000" w:themeColor="text1"/>
          <w:sz w:val="24"/>
          <w:szCs w:val="24"/>
        </w:rPr>
        <w:t>手至</w:t>
      </w:r>
      <w:r w:rsidRPr="00EA4444">
        <w:rPr>
          <w:rFonts w:ascii="Times New Roman" w:eastAsia="楷体" w:hAnsi="Times New Roman" w:hint="eastAsia"/>
          <w:color w:val="000000" w:themeColor="text1"/>
          <w:sz w:val="24"/>
          <w:szCs w:val="24"/>
        </w:rPr>
        <w:t>13348</w:t>
      </w:r>
      <w:r w:rsidRPr="00EA4444">
        <w:rPr>
          <w:rFonts w:ascii="Times New Roman" w:eastAsia="楷体" w:hAnsi="Times New Roman" w:hint="eastAsia"/>
          <w:color w:val="000000" w:themeColor="text1"/>
          <w:sz w:val="24"/>
          <w:szCs w:val="24"/>
        </w:rPr>
        <w:t>手。截至</w:t>
      </w:r>
      <w:r w:rsidRPr="00EA4444">
        <w:rPr>
          <w:rFonts w:ascii="Times New Roman" w:eastAsia="楷体" w:hAnsi="Times New Roman" w:hint="eastAsia"/>
          <w:color w:val="000000" w:themeColor="text1"/>
          <w:sz w:val="24"/>
          <w:szCs w:val="24"/>
        </w:rPr>
        <w:t>9</w:t>
      </w:r>
      <w:r w:rsidRPr="00EA4444">
        <w:rPr>
          <w:rFonts w:ascii="Times New Roman" w:eastAsia="楷体" w:hAnsi="Times New Roman" w:hint="eastAsia"/>
          <w:color w:val="000000" w:themeColor="text1"/>
          <w:sz w:val="24"/>
          <w:szCs w:val="24"/>
        </w:rPr>
        <w:t>月</w:t>
      </w:r>
      <w:r w:rsidRPr="00EA4444">
        <w:rPr>
          <w:rFonts w:ascii="Times New Roman" w:eastAsia="楷体" w:hAnsi="Times New Roman" w:hint="eastAsia"/>
          <w:color w:val="000000" w:themeColor="text1"/>
          <w:sz w:val="24"/>
          <w:szCs w:val="24"/>
        </w:rPr>
        <w:t>8</w:t>
      </w:r>
      <w:r w:rsidRPr="00EA4444">
        <w:rPr>
          <w:rFonts w:ascii="Times New Roman" w:eastAsia="楷体" w:hAnsi="Times New Roman" w:hint="eastAsia"/>
          <w:color w:val="000000" w:themeColor="text1"/>
          <w:sz w:val="24"/>
          <w:szCs w:val="24"/>
        </w:rPr>
        <w:t>日，</w:t>
      </w:r>
      <w:r w:rsidRPr="00EA4444">
        <w:rPr>
          <w:rFonts w:ascii="Times New Roman" w:eastAsia="楷体" w:hAnsi="Times New Roman" w:hint="eastAsia"/>
          <w:color w:val="000000" w:themeColor="text1"/>
          <w:sz w:val="24"/>
          <w:szCs w:val="24"/>
        </w:rPr>
        <w:t>SPDR</w:t>
      </w:r>
      <w:r w:rsidRPr="00EA4444">
        <w:rPr>
          <w:rFonts w:ascii="Times New Roman" w:eastAsia="楷体" w:hAnsi="Times New Roman" w:hint="eastAsia"/>
          <w:color w:val="000000" w:themeColor="text1"/>
          <w:sz w:val="24"/>
          <w:szCs w:val="24"/>
        </w:rPr>
        <w:t>黄金</w:t>
      </w:r>
      <w:r w:rsidRPr="00EA4444">
        <w:rPr>
          <w:rFonts w:ascii="Times New Roman" w:eastAsia="楷体" w:hAnsi="Times New Roman" w:hint="eastAsia"/>
          <w:color w:val="000000" w:themeColor="text1"/>
          <w:sz w:val="24"/>
          <w:szCs w:val="24"/>
        </w:rPr>
        <w:t>ETF</w:t>
      </w:r>
      <w:r w:rsidRPr="00EA4444">
        <w:rPr>
          <w:rFonts w:ascii="Times New Roman" w:eastAsia="楷体" w:hAnsi="Times New Roman" w:hint="eastAsia"/>
          <w:color w:val="000000" w:themeColor="text1"/>
          <w:sz w:val="24"/>
          <w:szCs w:val="24"/>
        </w:rPr>
        <w:t>持仓</w:t>
      </w:r>
      <w:r w:rsidRPr="00EA4444">
        <w:rPr>
          <w:rFonts w:ascii="Times New Roman" w:eastAsia="楷体" w:hAnsi="Times New Roman" w:hint="eastAsia"/>
          <w:color w:val="000000" w:themeColor="text1"/>
          <w:sz w:val="24"/>
          <w:szCs w:val="24"/>
        </w:rPr>
        <w:t>886.64</w:t>
      </w:r>
      <w:r w:rsidRPr="00EA4444">
        <w:rPr>
          <w:rFonts w:ascii="Times New Roman" w:eastAsia="楷体" w:hAnsi="Times New Roman" w:hint="eastAsia"/>
          <w:color w:val="000000" w:themeColor="text1"/>
          <w:sz w:val="24"/>
          <w:szCs w:val="24"/>
        </w:rPr>
        <w:t>吨，周内流出</w:t>
      </w:r>
      <w:r w:rsidRPr="00EA4444">
        <w:rPr>
          <w:rFonts w:ascii="Times New Roman" w:eastAsia="楷体" w:hAnsi="Times New Roman" w:hint="eastAsia"/>
          <w:color w:val="000000" w:themeColor="text1"/>
          <w:sz w:val="24"/>
          <w:szCs w:val="24"/>
        </w:rPr>
        <w:t>3.46</w:t>
      </w:r>
      <w:r w:rsidRPr="00EA4444">
        <w:rPr>
          <w:rFonts w:ascii="Times New Roman" w:eastAsia="楷体" w:hAnsi="Times New Roman" w:hint="eastAsia"/>
          <w:color w:val="000000" w:themeColor="text1"/>
          <w:sz w:val="24"/>
          <w:szCs w:val="24"/>
        </w:rPr>
        <w:t>吨。截至</w:t>
      </w:r>
      <w:r w:rsidRPr="00EA4444">
        <w:rPr>
          <w:rFonts w:ascii="Times New Roman" w:eastAsia="楷体" w:hAnsi="Times New Roman" w:hint="eastAsia"/>
          <w:color w:val="000000" w:themeColor="text1"/>
          <w:sz w:val="24"/>
          <w:szCs w:val="24"/>
        </w:rPr>
        <w:t>9</w:t>
      </w:r>
      <w:r w:rsidRPr="00EA4444">
        <w:rPr>
          <w:rFonts w:ascii="Times New Roman" w:eastAsia="楷体" w:hAnsi="Times New Roman" w:hint="eastAsia"/>
          <w:color w:val="000000" w:themeColor="text1"/>
          <w:sz w:val="24"/>
          <w:szCs w:val="24"/>
        </w:rPr>
        <w:t>月</w:t>
      </w:r>
      <w:r w:rsidRPr="00EA4444">
        <w:rPr>
          <w:rFonts w:ascii="Times New Roman" w:eastAsia="楷体" w:hAnsi="Times New Roman" w:hint="eastAsia"/>
          <w:color w:val="000000" w:themeColor="text1"/>
          <w:sz w:val="24"/>
          <w:szCs w:val="24"/>
        </w:rPr>
        <w:t>8</w:t>
      </w:r>
      <w:r w:rsidRPr="00EA4444">
        <w:rPr>
          <w:rFonts w:ascii="Times New Roman" w:eastAsia="楷体" w:hAnsi="Times New Roman" w:hint="eastAsia"/>
          <w:color w:val="000000" w:themeColor="text1"/>
          <w:sz w:val="24"/>
          <w:szCs w:val="24"/>
        </w:rPr>
        <w:t>日，</w:t>
      </w:r>
      <w:r w:rsidRPr="00EA4444">
        <w:rPr>
          <w:rFonts w:ascii="Times New Roman" w:eastAsia="楷体" w:hAnsi="Times New Roman" w:hint="eastAsia"/>
          <w:color w:val="000000" w:themeColor="text1"/>
          <w:sz w:val="24"/>
          <w:szCs w:val="24"/>
        </w:rPr>
        <w:t>SLV</w:t>
      </w:r>
      <w:r w:rsidRPr="00EA4444">
        <w:rPr>
          <w:rFonts w:ascii="Times New Roman" w:eastAsia="楷体" w:hAnsi="Times New Roman" w:hint="eastAsia"/>
          <w:color w:val="000000" w:themeColor="text1"/>
          <w:sz w:val="24"/>
          <w:szCs w:val="24"/>
        </w:rPr>
        <w:t>白银</w:t>
      </w:r>
      <w:r w:rsidRPr="00EA4444">
        <w:rPr>
          <w:rFonts w:ascii="Times New Roman" w:eastAsia="楷体" w:hAnsi="Times New Roman" w:hint="eastAsia"/>
          <w:color w:val="000000" w:themeColor="text1"/>
          <w:sz w:val="24"/>
          <w:szCs w:val="24"/>
        </w:rPr>
        <w:t>ETF</w:t>
      </w:r>
      <w:r w:rsidRPr="00EA4444">
        <w:rPr>
          <w:rFonts w:ascii="Times New Roman" w:eastAsia="楷体" w:hAnsi="Times New Roman" w:hint="eastAsia"/>
          <w:color w:val="000000" w:themeColor="text1"/>
          <w:sz w:val="24"/>
          <w:szCs w:val="24"/>
        </w:rPr>
        <w:t>持仓</w:t>
      </w:r>
      <w:r w:rsidRPr="00EA4444">
        <w:rPr>
          <w:rFonts w:ascii="Times New Roman" w:eastAsia="楷体" w:hAnsi="Times New Roman" w:hint="eastAsia"/>
          <w:color w:val="000000" w:themeColor="text1"/>
          <w:sz w:val="24"/>
          <w:szCs w:val="24"/>
        </w:rPr>
        <w:t>13677.06</w:t>
      </w:r>
      <w:r w:rsidRPr="00EA4444">
        <w:rPr>
          <w:rFonts w:ascii="Times New Roman" w:eastAsia="楷体" w:hAnsi="Times New Roman" w:hint="eastAsia"/>
          <w:color w:val="000000" w:themeColor="text1"/>
          <w:sz w:val="24"/>
          <w:szCs w:val="24"/>
        </w:rPr>
        <w:t>吨，周内流入</w:t>
      </w:r>
      <w:r w:rsidRPr="00EA4444">
        <w:rPr>
          <w:rFonts w:ascii="Times New Roman" w:eastAsia="楷体" w:hAnsi="Times New Roman" w:hint="eastAsia"/>
          <w:color w:val="000000" w:themeColor="text1"/>
          <w:sz w:val="24"/>
          <w:szCs w:val="24"/>
        </w:rPr>
        <w:t>57.11</w:t>
      </w:r>
      <w:r w:rsidRPr="00EA4444">
        <w:rPr>
          <w:rFonts w:ascii="Times New Roman" w:eastAsia="楷体" w:hAnsi="Times New Roman" w:hint="eastAsia"/>
          <w:color w:val="000000" w:themeColor="text1"/>
          <w:sz w:val="24"/>
          <w:szCs w:val="24"/>
        </w:rPr>
        <w:t>吨。美元指数录得</w:t>
      </w:r>
      <w:r w:rsidRPr="00EA4444">
        <w:rPr>
          <w:rFonts w:ascii="Times New Roman" w:eastAsia="楷体" w:hAnsi="Times New Roman" w:hint="eastAsia"/>
          <w:color w:val="000000" w:themeColor="text1"/>
          <w:sz w:val="24"/>
          <w:szCs w:val="24"/>
        </w:rPr>
        <w:t>105.06</w:t>
      </w:r>
      <w:r w:rsidRPr="00EA4444">
        <w:rPr>
          <w:rFonts w:ascii="Times New Roman" w:eastAsia="楷体" w:hAnsi="Times New Roman" w:hint="eastAsia"/>
          <w:color w:val="000000" w:themeColor="text1"/>
          <w:sz w:val="24"/>
          <w:szCs w:val="24"/>
        </w:rPr>
        <w:t>，周环比上涨</w:t>
      </w:r>
      <w:r w:rsidRPr="00EA4444">
        <w:rPr>
          <w:rFonts w:ascii="Times New Roman" w:eastAsia="楷体" w:hAnsi="Times New Roman" w:hint="eastAsia"/>
          <w:color w:val="000000" w:themeColor="text1"/>
          <w:sz w:val="24"/>
          <w:szCs w:val="24"/>
        </w:rPr>
        <w:t>0.75%</w:t>
      </w:r>
      <w:r w:rsidRPr="00EA4444">
        <w:rPr>
          <w:rFonts w:ascii="Times New Roman" w:eastAsia="楷体" w:hAnsi="Times New Roman" w:hint="eastAsia"/>
          <w:color w:val="000000" w:themeColor="text1"/>
          <w:sz w:val="24"/>
          <w:szCs w:val="24"/>
        </w:rPr>
        <w:t>。美十债收益率录得</w:t>
      </w:r>
      <w:r w:rsidRPr="00EA4444">
        <w:rPr>
          <w:rFonts w:ascii="Times New Roman" w:eastAsia="楷体" w:hAnsi="Times New Roman" w:hint="eastAsia"/>
          <w:color w:val="000000" w:themeColor="text1"/>
          <w:sz w:val="24"/>
          <w:szCs w:val="24"/>
        </w:rPr>
        <w:t>4.26%</w:t>
      </w:r>
      <w:r w:rsidRPr="00EA4444">
        <w:rPr>
          <w:rFonts w:ascii="Times New Roman" w:eastAsia="楷体" w:hAnsi="Times New Roman" w:hint="eastAsia"/>
          <w:color w:val="000000" w:themeColor="text1"/>
          <w:sz w:val="24"/>
          <w:szCs w:val="24"/>
        </w:rPr>
        <w:t>，周环比上涨</w:t>
      </w:r>
      <w:r w:rsidRPr="00EA4444">
        <w:rPr>
          <w:rFonts w:ascii="Times New Roman" w:eastAsia="楷体" w:hAnsi="Times New Roman" w:hint="eastAsia"/>
          <w:color w:val="000000" w:themeColor="text1"/>
          <w:sz w:val="24"/>
          <w:szCs w:val="24"/>
        </w:rPr>
        <w:t>17bp</w:t>
      </w:r>
      <w:r w:rsidRPr="00EA4444">
        <w:rPr>
          <w:rFonts w:ascii="Times New Roman" w:eastAsia="楷体" w:hAnsi="Times New Roman" w:hint="eastAsia"/>
          <w:color w:val="000000" w:themeColor="text1"/>
          <w:sz w:val="24"/>
          <w:szCs w:val="24"/>
        </w:rPr>
        <w:t>。市场预期美国利率水平将长期维持高位，相对看好沪金后市表现，建议以逢低做多思路为主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53196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5319646"/>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EA4444" w:rsidRPr="00EA4444">
        <w:rPr>
          <w:rFonts w:ascii="楷体" w:eastAsia="楷体" w:hAnsi="楷体" w:hint="eastAsia"/>
          <w:b/>
          <w:color w:val="000000" w:themeColor="text1"/>
          <w:sz w:val="24"/>
          <w:szCs w:val="24"/>
        </w:rPr>
        <w:t>短期需求偏弱，锂盐现货价格维持跌势</w:t>
      </w:r>
      <w:bookmarkEnd w:id="18"/>
    </w:p>
    <w:p w:rsidR="00F50569" w:rsidRDefault="00EA4444" w:rsidP="00F50569">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矿石端价格跌幅放缓，海外锂辉石价格偏高难以形成成交，碳酸锂现货价格维持下跌，期价上周尾盘跌至18万元/吨下方。上周碳酸锂库存约33360吨，周环比增2.54%。下游备货量减少，锂盐厂降价出货意愿降低，多数大厂开工维持稳定，上游逐步累库。下游需求仍略显不足，终端需求未见改善，下游采购仍维持谨慎观望，暂未启动批量采购，压价情绪浓厚，锂价或维持偏弱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5319647"/>
      <w:r>
        <w:rPr>
          <w:rFonts w:ascii="楷体" w:eastAsia="楷体" w:hAnsi="楷体" w:hint="eastAsia"/>
          <w:b/>
          <w:color w:val="000000" w:themeColor="text1"/>
          <w:sz w:val="24"/>
          <w:szCs w:val="24"/>
        </w:rPr>
        <w:t>螺纹钢：</w:t>
      </w:r>
      <w:bookmarkEnd w:id="16"/>
      <w:bookmarkEnd w:id="17"/>
      <w:r w:rsidR="00EA4444" w:rsidRPr="00EA4444">
        <w:rPr>
          <w:rFonts w:ascii="楷体" w:eastAsia="楷体" w:hAnsi="楷体" w:hint="eastAsia"/>
          <w:b/>
          <w:color w:val="000000" w:themeColor="text1"/>
          <w:sz w:val="24"/>
          <w:szCs w:val="24"/>
        </w:rPr>
        <w:t>产量压力对表外钢材价格冲击明显，成本支撑下偏弱震荡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EA4444" w:rsidP="00201944">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下游对高价承接力量较弱，但低价成交较好。钢厂厂库、社库继续去化，需求上升期减产压力不大。当前产量短期压制成材价格，但目前钢厂去库、亏损压力不大，铁水高位下成本支撑较强，预计价格偏弱震荡</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5319648"/>
      <w:r>
        <w:rPr>
          <w:rFonts w:ascii="楷体" w:eastAsia="楷体" w:hAnsi="楷体" w:hint="eastAsia"/>
          <w:b/>
          <w:color w:val="000000" w:themeColor="text1"/>
          <w:sz w:val="24"/>
          <w:szCs w:val="24"/>
        </w:rPr>
        <w:t>焦炭：</w:t>
      </w:r>
      <w:bookmarkEnd w:id="20"/>
      <w:bookmarkEnd w:id="21"/>
      <w:r w:rsidR="00EA4444" w:rsidRPr="00EA4444">
        <w:rPr>
          <w:rFonts w:ascii="楷体" w:eastAsia="楷体" w:hAnsi="楷体" w:hint="eastAsia"/>
          <w:b/>
          <w:color w:val="000000" w:themeColor="text1"/>
          <w:sz w:val="24"/>
          <w:szCs w:val="24"/>
        </w:rPr>
        <w:t>供需缺口走阔，成本支撑下偏强震荡</w:t>
      </w:r>
      <w:bookmarkEnd w:id="22"/>
    </w:p>
    <w:p w:rsidR="003F56A5" w:rsidRDefault="00EA4444" w:rsidP="00572E35">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港口现货价格持续反弹，成本驱动较强，但部分成材处于亏损，提涨或需博弈较长时间。焦炭供需缺口再次走阔，焦煤驱动，但下游价格压制下，现货提涨或较为曲折，整体或震荡偏强运行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5319649"/>
      <w:r>
        <w:rPr>
          <w:rFonts w:ascii="楷体" w:eastAsia="楷体" w:hAnsi="楷体" w:hint="eastAsia"/>
          <w:b/>
          <w:color w:val="000000" w:themeColor="text1"/>
          <w:sz w:val="24"/>
          <w:szCs w:val="24"/>
        </w:rPr>
        <w:t>焦煤：</w:t>
      </w:r>
      <w:r w:rsidR="00EA4444" w:rsidRPr="00EA4444">
        <w:rPr>
          <w:rFonts w:ascii="楷体" w:eastAsia="楷体" w:hAnsi="楷体" w:hint="eastAsia"/>
          <w:b/>
          <w:sz w:val="24"/>
          <w:szCs w:val="24"/>
        </w:rPr>
        <w:t>短期高位偏强震荡，国庆前补库情况或成为主要驱动</w:t>
      </w:r>
      <w:bookmarkEnd w:id="23"/>
    </w:p>
    <w:p w:rsidR="003F56A5" w:rsidRDefault="00EA4444">
      <w:pPr>
        <w:ind w:leftChars="300" w:left="630"/>
        <w:rPr>
          <w:rFonts w:ascii="楷体" w:eastAsia="楷体" w:hAnsi="楷体"/>
          <w:bCs/>
          <w:sz w:val="24"/>
          <w:szCs w:val="24"/>
        </w:rPr>
      </w:pPr>
      <w:r w:rsidRPr="00EA4444">
        <w:rPr>
          <w:rFonts w:ascii="楷体" w:eastAsia="楷体" w:hAnsi="楷体" w:hint="eastAsia"/>
          <w:sz w:val="24"/>
          <w:szCs w:val="24"/>
        </w:rPr>
        <w:lastRenderedPageBreak/>
        <w:t>短期现货价格大幅度上涨后，价格偏稳运行，当前焦煤仍处于一定供应缺口，缺口随煤矿复产或逐步收缩，国庆前下游补库或成为价格主要驱动。焦煤供需缺口在节仍处于高位，复产速度偏慢，节前补库或仍支撑价格，短期价格高位偏强震荡，回调企稳后或可短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5319650"/>
      <w:r>
        <w:rPr>
          <w:rFonts w:ascii="楷体" w:eastAsia="楷体" w:hAnsi="楷体" w:hint="eastAsia"/>
          <w:b/>
          <w:color w:val="000000" w:themeColor="text1"/>
          <w:sz w:val="24"/>
          <w:szCs w:val="24"/>
        </w:rPr>
        <w:t>铜：</w:t>
      </w:r>
      <w:bookmarkEnd w:id="24"/>
      <w:bookmarkEnd w:id="25"/>
      <w:r w:rsidR="00EA4444" w:rsidRPr="00EA4444">
        <w:rPr>
          <w:rFonts w:ascii="楷体" w:eastAsia="楷体" w:hAnsi="楷体" w:hint="eastAsia"/>
          <w:b/>
          <w:color w:val="000000" w:themeColor="text1"/>
          <w:sz w:val="24"/>
          <w:szCs w:val="24"/>
        </w:rPr>
        <w:t>区间震荡承压运行</w:t>
      </w:r>
      <w:bookmarkEnd w:id="26"/>
    </w:p>
    <w:p w:rsidR="00EA4444" w:rsidRPr="00EA4444" w:rsidRDefault="00EA4444" w:rsidP="00EA4444">
      <w:pPr>
        <w:ind w:leftChars="300" w:left="630"/>
        <w:rPr>
          <w:rFonts w:ascii="楷体" w:eastAsia="楷体" w:hAnsi="楷体" w:hint="eastAsia"/>
          <w:color w:val="000000" w:themeColor="text1"/>
          <w:sz w:val="24"/>
          <w:szCs w:val="24"/>
        </w:rPr>
      </w:pPr>
      <w:r w:rsidRPr="00EA4444">
        <w:rPr>
          <w:rFonts w:ascii="楷体" w:eastAsia="楷体" w:hAnsi="楷体" w:hint="eastAsia"/>
          <w:color w:val="000000" w:themeColor="text1"/>
          <w:sz w:val="24"/>
          <w:szCs w:val="24"/>
        </w:rPr>
        <w:t>(1)宏观：中国8月CPI同比上涨0.1%，前值下降0.3%；PPI同比降3.0%，前值降4.4%。</w:t>
      </w:r>
    </w:p>
    <w:p w:rsidR="00EA4444" w:rsidRPr="00EA4444" w:rsidRDefault="00EA4444" w:rsidP="00EA4444">
      <w:pPr>
        <w:ind w:leftChars="300" w:left="630"/>
        <w:rPr>
          <w:rFonts w:ascii="楷体" w:eastAsia="楷体" w:hAnsi="楷体" w:hint="eastAsia"/>
          <w:color w:val="000000" w:themeColor="text1"/>
          <w:sz w:val="24"/>
          <w:szCs w:val="24"/>
        </w:rPr>
      </w:pPr>
      <w:r w:rsidRPr="00EA4444">
        <w:rPr>
          <w:rFonts w:ascii="楷体" w:eastAsia="楷体" w:hAnsi="楷体" w:hint="eastAsia"/>
          <w:color w:val="000000" w:themeColor="text1"/>
          <w:sz w:val="24"/>
          <w:szCs w:val="24"/>
        </w:rPr>
        <w:t>(2)库存：9月8日，SHFE周库存54955吨，较上周五增8364吨；LME仓单库存134125吨，较上周五增29850吨。</w:t>
      </w:r>
    </w:p>
    <w:p w:rsidR="00EA4444" w:rsidRPr="00EA4444" w:rsidRDefault="00EA4444" w:rsidP="00EA4444">
      <w:pPr>
        <w:ind w:leftChars="300" w:left="630"/>
        <w:rPr>
          <w:rFonts w:ascii="楷体" w:eastAsia="楷体" w:hAnsi="楷体" w:hint="eastAsia"/>
          <w:color w:val="000000" w:themeColor="text1"/>
          <w:sz w:val="24"/>
          <w:szCs w:val="24"/>
        </w:rPr>
      </w:pPr>
      <w:r w:rsidRPr="00EA4444">
        <w:rPr>
          <w:rFonts w:ascii="楷体" w:eastAsia="楷体" w:hAnsi="楷体" w:hint="eastAsia"/>
          <w:color w:val="000000" w:themeColor="text1"/>
          <w:sz w:val="24"/>
          <w:szCs w:val="24"/>
        </w:rPr>
        <w:t>(3)精废价差：9月8日，Mysteel精废价差1305，收窄98。目前价差在合理价差1392之下。</w:t>
      </w:r>
    </w:p>
    <w:p w:rsidR="00EA4444" w:rsidRPr="00EA4444" w:rsidRDefault="00EA4444" w:rsidP="00EA4444">
      <w:pPr>
        <w:ind w:leftChars="300" w:left="630"/>
        <w:rPr>
          <w:rFonts w:ascii="楷体" w:eastAsia="楷体" w:hAnsi="楷体"/>
          <w:color w:val="000000" w:themeColor="text1"/>
          <w:sz w:val="24"/>
          <w:szCs w:val="24"/>
        </w:rPr>
      </w:pPr>
    </w:p>
    <w:p w:rsidR="00127803" w:rsidRPr="00127803" w:rsidRDefault="00EA4444" w:rsidP="00EA4444">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综述：近日美元指数维持强势对铜价形成明显压力，且国内旺季需求不及预期，进口铜持续流入，国内外库存均现累增，现货升水走低至平水附近，基本面支撑有所减弱。国内政策预期下，9-10月现实消费仍待进一步验证，短期趋势性行情难以出现。本周海内外重要经济数据密集，铜价不确定性较大，沪铜主力关注68000-70000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5319651"/>
      <w:r>
        <w:rPr>
          <w:rFonts w:ascii="楷体" w:eastAsia="楷体" w:hAnsi="楷体" w:hint="eastAsia"/>
          <w:b/>
          <w:color w:val="000000" w:themeColor="text1"/>
          <w:sz w:val="24"/>
          <w:szCs w:val="24"/>
        </w:rPr>
        <w:t>铝：</w:t>
      </w:r>
      <w:bookmarkEnd w:id="27"/>
      <w:bookmarkEnd w:id="28"/>
      <w:r w:rsidR="00EA4444" w:rsidRPr="00EA4444">
        <w:rPr>
          <w:rFonts w:ascii="楷体" w:eastAsia="楷体" w:hAnsi="楷体" w:hint="eastAsia"/>
          <w:b/>
          <w:color w:val="000000" w:themeColor="text1"/>
          <w:sz w:val="24"/>
          <w:szCs w:val="24"/>
        </w:rPr>
        <w:t>多空因素交织影响，铝价上下仍存压力</w:t>
      </w:r>
      <w:bookmarkEnd w:id="29"/>
    </w:p>
    <w:p w:rsidR="003F56A5" w:rsidRDefault="00EA4444" w:rsidP="00127803">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英国城市破产，欧洲PMI数据连续3年下降，表明欧洲经济不佳，美国8月PMI及就业数据表现强韧，欧美经济表现差异导致美元指数震荡上行，国内多项利多消费政策出台，随着各地政府不断发布“认房不认贷”政策，市场情绪提振。电解铝运行产能维持高位，供应投放仍有增量，新投及复产多为铝水，铝棒库存维持低位小幅走增，铝锭社库库存出现累库拐点后又再度去库，铝市低库存现状仍未缓解。近期氧化铝价格走增，电解铝完全生产成本支撑抬升，但电解铝冶炼利润丰厚影响不大。下游在国家政策大力刺激及传统旺季支撑的情况下市场存有较高预期，实际下游需求暂未出现明显改善。铝市利多有低库存现实叠加下游需求改善预期支撑，利空有供应增量压制上方价格，铝价突破区间上沿19500后重回震荡区间，若需求驱动不足或出现库存累库，铝价或再度回落至17000-19500的中值区间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5319652"/>
      <w:r>
        <w:rPr>
          <w:rFonts w:ascii="楷体" w:eastAsia="楷体" w:hAnsi="楷体" w:hint="eastAsia"/>
          <w:b/>
          <w:color w:val="000000" w:themeColor="text1"/>
          <w:sz w:val="24"/>
          <w:szCs w:val="24"/>
        </w:rPr>
        <w:t>锌：</w:t>
      </w:r>
      <w:r w:rsidR="00EA4444" w:rsidRPr="00EA4444">
        <w:rPr>
          <w:rFonts w:ascii="楷体" w:eastAsia="楷体" w:hAnsi="楷体" w:hint="eastAsia"/>
          <w:b/>
          <w:color w:val="000000" w:themeColor="text1"/>
          <w:sz w:val="24"/>
          <w:szCs w:val="24"/>
        </w:rPr>
        <w:t>锌价高位震荡为主</w:t>
      </w:r>
      <w:bookmarkEnd w:id="30"/>
    </w:p>
    <w:p w:rsidR="003F56A5" w:rsidRDefault="00EA4444" w:rsidP="000B0648">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美元指数强势运行，欧美经济表现分化，海外经济风险仍存，国内利多政策持续出台，实际市场落地效果仍待验证。进入9月，国内矿端因进口TC下降及四季度矿产进入淡季及冬储需求有走紧预期，前期部分冶炼厂检修产能恢复，进口供应维持高位，冶炼利润尚可维持厂家投产意愿，精炼性供应仍维持偏多观点。近期锌价快速走升，下游企业慎重采购，订单量未有明显改善，镀锌开工率周度环比走弱，压铸锌及氧化锌开工周度环比略有修复，整体需求未体现明显走增，关注后续政策对实际消费的刺激情况</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5319653"/>
      <w:r>
        <w:rPr>
          <w:rFonts w:ascii="楷体" w:eastAsia="楷体" w:hAnsi="楷体" w:hint="eastAsia"/>
          <w:b/>
          <w:color w:val="000000" w:themeColor="text1"/>
          <w:sz w:val="24"/>
          <w:szCs w:val="24"/>
        </w:rPr>
        <w:t>镍：</w:t>
      </w:r>
      <w:r w:rsidR="00EA4444" w:rsidRPr="00EA4444">
        <w:rPr>
          <w:rFonts w:ascii="楷体" w:eastAsia="楷体" w:hAnsi="楷体" w:hint="eastAsia"/>
          <w:b/>
          <w:color w:val="000000" w:themeColor="text1"/>
          <w:sz w:val="24"/>
          <w:szCs w:val="24"/>
        </w:rPr>
        <w:t>基本面维持弱势，镍价承压运行</w:t>
      </w:r>
      <w:bookmarkEnd w:id="31"/>
    </w:p>
    <w:p w:rsidR="003F56A5" w:rsidRDefault="00EA4444">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宏观方面，美国经济数据显示韧性，美联储官员最新发言偏鹰派，市场对</w:t>
      </w:r>
      <w:r w:rsidRPr="00EA4444">
        <w:rPr>
          <w:rFonts w:ascii="楷体" w:eastAsia="楷体" w:hAnsi="楷体" w:hint="eastAsia"/>
          <w:color w:val="000000" w:themeColor="text1"/>
          <w:sz w:val="24"/>
          <w:szCs w:val="24"/>
        </w:rPr>
        <w:lastRenderedPageBreak/>
        <w:t>美联储9月暂停加息预期达成共识，对11月加息预期升温。8月我国居民消费价格CPI从降转涨，反映消费需求不断恢复，经济持续好转。国内宏观利好政策密集出台，提振市场信心，比如降低存量首套住房贷款、减半征收印花税、下调外汇存款准备金率等。成本方面，印尼镍矿RKAB事件仍在持续，且工厂季节性备库需求强烈，镍矿和镍铁价格坚挺，支撑镍产业链成本。供应方面，镍的存量项目和新投产项目产量逐步释放，据SMM数据显示，8月精炼镍产量环比上升1.39%，印尼青美邦镍资源项目二期建设计划镍资源产能扩产9.3万吨金属镍，镍中长期显著过剩预期较明晰。步入9月以来，需求尚未有明显起色，但在政策的助推下市场对于传统旺季持有需求修复预期。现货市场货源充足，贸易商降价出货，现货升水持续承压下跌。精炼镍社会库存呈累库，但低位库存对镍价支撑仍在。综合来看，宏观利好政策效果的显现尚需等待，供应持续放量而需求未见明显好转的基本面对镍价存在压制，预计短期区间震荡偏弱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531965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5319655"/>
      <w:r>
        <w:rPr>
          <w:rFonts w:ascii="楷体" w:eastAsia="楷体" w:hAnsi="楷体" w:hint="eastAsia"/>
          <w:b/>
          <w:color w:val="000000" w:themeColor="text1"/>
          <w:sz w:val="24"/>
          <w:szCs w:val="24"/>
        </w:rPr>
        <w:t>不锈钢：</w:t>
      </w:r>
      <w:r w:rsidR="00EA4444" w:rsidRPr="00EA4444">
        <w:rPr>
          <w:rFonts w:ascii="楷体" w:eastAsia="楷体" w:hAnsi="楷体" w:hint="eastAsia"/>
          <w:b/>
          <w:color w:val="000000" w:themeColor="text1"/>
          <w:sz w:val="24"/>
          <w:szCs w:val="24"/>
        </w:rPr>
        <w:t>需求表现不旺，短期在成本支撑下或窄幅震荡偏弱</w:t>
      </w:r>
      <w:bookmarkEnd w:id="33"/>
    </w:p>
    <w:p w:rsidR="003F56A5" w:rsidRDefault="00EA4444">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成本端：印尼矿端RKAB事件造成的镍矿供应紧缺局面仍在持续，印尼RKAB审批的简化程序将被取消，目前已换回旧审批程序，镍矿配额签发继续推迟，加上目前处于雨季前的备库期，许多工厂加价询购镍矿，镍矿价格坚挺，高镍铁价格预计维持高位，且高碳铬铁价格也居高不下，成本端为不锈钢价提供强有力支撑。供应端，不锈钢排产高位稳定，据Mysteel调研，8-9月排产已超320万吨，同比居于历史高位。需求端，在地产政策的提振下，月初市场对不锈钢旺季需求持有乐观情绪浓厚，但下游成交氛围仅稍有回暖，仍然处于疲弱状态。库存方面，据Mysteel统计，9月7日全国主流市场不锈钢78仓库口径社会库存减少1.09万吨，周环比下降1.04%，原因在于成交略有好转，且到货受台风影响。综合而言，供应维持高排产，需求表现不及预期，但成本支撑下不锈钢下跌空间有限，短期或窄幅震荡偏弱，建议暂时观望。关注需求变化情况及印尼镍矿政策变动</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5319656"/>
      <w:r>
        <w:rPr>
          <w:rFonts w:ascii="楷体" w:eastAsia="楷体" w:hAnsi="楷体" w:hint="eastAsia"/>
          <w:b/>
          <w:color w:val="000000" w:themeColor="text1"/>
          <w:sz w:val="24"/>
          <w:szCs w:val="24"/>
        </w:rPr>
        <w:t>工业硅：</w:t>
      </w:r>
      <w:r w:rsidR="00EA4444" w:rsidRPr="00EA4444">
        <w:rPr>
          <w:rFonts w:ascii="楷体" w:eastAsia="楷体" w:hAnsi="楷体" w:hint="eastAsia"/>
          <w:b/>
          <w:sz w:val="24"/>
          <w:szCs w:val="24"/>
        </w:rPr>
        <w:t>现货挺价情绪较浓，短期对盘面或仍有支撑</w:t>
      </w:r>
      <w:bookmarkEnd w:id="34"/>
    </w:p>
    <w:p w:rsidR="003F56A5" w:rsidRDefault="00EA4444" w:rsidP="00827E8A">
      <w:pPr>
        <w:ind w:leftChars="300" w:left="630"/>
        <w:rPr>
          <w:rFonts w:ascii="楷体" w:eastAsia="楷体" w:hAnsi="楷体"/>
          <w:sz w:val="24"/>
          <w:szCs w:val="24"/>
        </w:rPr>
      </w:pPr>
      <w:r w:rsidRPr="00EA4444">
        <w:rPr>
          <w:rFonts w:ascii="楷体" w:eastAsia="楷体" w:hAnsi="楷体" w:hint="eastAsia"/>
          <w:sz w:val="24"/>
          <w:szCs w:val="24"/>
        </w:rPr>
        <w:t>9月8日，Si2311主力合约呈反弹走势，收盘价14240元/吨，较上一收盘价涨跌幅+0.81%。目前市场对基本面存在改善预期，主要体现在有机硅、多晶硅两个方面。从有机硅来看，8月底多家单体生产企业重启的装置负荷继续提升中，行业整体开工提升，对工业硅需求增加;从多晶硅来看，市</w:t>
      </w:r>
      <w:r w:rsidRPr="00EA4444">
        <w:rPr>
          <w:rFonts w:ascii="楷体" w:eastAsia="楷体" w:hAnsi="楷体" w:hint="eastAsia"/>
          <w:sz w:val="24"/>
          <w:szCs w:val="24"/>
        </w:rPr>
        <w:lastRenderedPageBreak/>
        <w:t>场持续反弹，部分新增产能陆续投产，例如弘元能源5万吨产量成功投产，后续仍有合盛、宝丰、东立等项目即将投产，对工业硅需求增加且预期较好。在此背景下，目前现货流通整体偏紧，市场挺价情绪较浓，预计盘面仍将偏强运行。策略上，建议以逢低做多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53196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531965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EA4444" w:rsidRPr="00EA4444">
        <w:rPr>
          <w:rFonts w:ascii="楷体" w:eastAsia="楷体" w:hAnsi="楷体" w:hint="eastAsia"/>
          <w:b/>
          <w:sz w:val="24"/>
          <w:szCs w:val="24"/>
        </w:rPr>
        <w:t>利好因素有所消化 RU上行压力较大</w:t>
      </w:r>
      <w:bookmarkEnd w:id="37"/>
    </w:p>
    <w:p w:rsidR="003F56A5" w:rsidRDefault="00EA4444">
      <w:pPr>
        <w:ind w:leftChars="300" w:left="630"/>
        <w:rPr>
          <w:rFonts w:ascii="楷体" w:eastAsia="楷体" w:hAnsi="楷体"/>
          <w:sz w:val="24"/>
          <w:szCs w:val="24"/>
        </w:rPr>
      </w:pPr>
      <w:r w:rsidRPr="00EA4444">
        <w:rPr>
          <w:rFonts w:ascii="楷体" w:eastAsia="楷体" w:hAnsi="楷体" w:hint="eastAsia"/>
          <w:sz w:val="24"/>
          <w:szCs w:val="24"/>
        </w:rPr>
        <w:t>点评：在经历前两周大幅上涨后，预计短期天胶市场利好因素有所消化，上行压力较大。。目前看，供给端，尽管全球即将进入季节性增产阶段，但近期主产区泰国、越南受到大面积降雨干扰，割胶工作开展受限，原料产出维持偏少状态，加之乳胶制品需求回暖拉涨原料价格，对胶价存一定支撑。8-9月份天胶到港量偏少，近四周港口库存延续小幅去库态势，提振市场信心。需求端来看，下游轮胎企业开工率高位维持，半钢胎略好于全钢胎，国内稳经济政策将有利于轮胎替换及配套需求的改善。此外，半钢胎外贸雪地胎需求旺盛，将进一步支撑半钢胎开工率高位运行。前期检修的全钢胎厂目前也恢复生产，因此近两周全钢胎开工率提升明显。整体看，轮胎平稳排产、表现强劲。终端汽车方面，7月数据同环比均有所走弱，但仍处于近十年同期次高位。整体看，橡胶供应压力小幅缓解，浓乳下游需求季节性补库，下游轮胎排产顺畅，国内深色胶库存延续去库。供需支撑天胶市场回归现货价值后企稳运行，但场内做多氛围有所消化，继续上探或仍有压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531965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A4444" w:rsidRPr="00EA4444">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EA4444" w:rsidP="002C73FE">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受原油及商品氛围等影响，聚酯原料端整体延续偏强走势。供给方面，本周恒力3线计划内检修，嘉兴石化150万吨重启，英力士125万吨装置短停后恢复，其他个别装置负荷小幅波动，PTA负荷在81.2%附近。需求方面，本周聚酯装置负荷基本持稳，综合负荷整体浮动不大，截至9.7，初步核算国内大陆地区聚酯负荷在92.7%。市场对9-10月份旺季有预期，低库存下预计近期聚酯不会轻易减停产。而前期因上游原料成本走高导致减产的长丝和切片企业后期存负荷提升预期。终端方面，近期织造、印染开机有明显提升，秋冬季订单陆下单有所增多，坯布出货增加，需求边际季节性改善。展望后市，成本端支撑仍存+聚酯因库存低位高开工维持需求韧性尚可，旺季逐步兑现PTA期价易涨难跌。关注PTA正套机会及卖看跌期权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531966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w:t>
      </w:r>
      <w:r w:rsidRPr="00E34EAB">
        <w:rPr>
          <w:rFonts w:ascii="楷体" w:eastAsia="楷体" w:hAnsi="楷体" w:hint="eastAsia"/>
          <w:color w:val="000000" w:themeColor="text1"/>
          <w:sz w:val="24"/>
          <w:szCs w:val="24"/>
        </w:rPr>
        <w:lastRenderedPageBreak/>
        <w:t>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A4444" w:rsidRDefault="00CC3FFA" w:rsidP="00EA4444">
      <w:pPr>
        <w:ind w:leftChars="200" w:left="420"/>
        <w:outlineLvl w:val="1"/>
        <w:rPr>
          <w:rFonts w:ascii="楷体" w:eastAsia="楷体" w:hAnsi="楷体"/>
          <w:b/>
          <w:color w:val="000000" w:themeColor="text1"/>
          <w:sz w:val="24"/>
          <w:szCs w:val="24"/>
        </w:rPr>
      </w:pPr>
      <w:bookmarkStart w:id="40" w:name="_Toc145319661"/>
      <w:r>
        <w:rPr>
          <w:rFonts w:ascii="楷体" w:eastAsia="楷体" w:hAnsi="楷体" w:hint="eastAsia"/>
          <w:b/>
          <w:color w:val="000000" w:themeColor="text1"/>
          <w:sz w:val="24"/>
          <w:szCs w:val="24"/>
        </w:rPr>
        <w:t>聚烯烃：</w:t>
      </w:r>
      <w:r w:rsidR="00EA4444" w:rsidRPr="00EA4444">
        <w:rPr>
          <w:rFonts w:ascii="楷体" w:eastAsia="楷体" w:hAnsi="楷体" w:hint="eastAsia"/>
          <w:b/>
          <w:color w:val="000000" w:themeColor="text1"/>
          <w:sz w:val="24"/>
          <w:szCs w:val="24"/>
        </w:rPr>
        <w:t>需求面延续恢复 聚烯烃横盘震荡为主</w:t>
      </w:r>
      <w:bookmarkEnd w:id="40"/>
    </w:p>
    <w:p w:rsidR="003F56A5" w:rsidRDefault="00EA4444">
      <w:pPr>
        <w:ind w:leftChars="300" w:left="630"/>
        <w:rPr>
          <w:rFonts w:ascii="楷体" w:eastAsia="楷体" w:hAnsi="楷体"/>
          <w:bCs/>
          <w:sz w:val="24"/>
          <w:szCs w:val="24"/>
        </w:rPr>
      </w:pPr>
      <w:r w:rsidRPr="00EA4444">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对供应紧张担忧超过了对全球经济需求的担忧，欧美原油期货上涨至九个月高点。需求方面，PE下游方面，农膜整体需求平平，工厂生产清淡。棚膜工厂多停机检修；PP下游方面，BOPP市场成交刚需有量，整体量较上一交易日增加，BOPP企业未交付订单多数在一周以内，个别可至八月中。综合来看，PE方面，成本端，本周原油及煤炭持续支撑，聚乙烯现货价格或受成本端影响持续高位；需求端，预计本周农膜开工率预计增加2%。综上所述，预计本周聚乙烯现货价格维持震荡为主。PP方面，国际油价上涨，成本支撑增强，限制聚丙烯下方空间。东华茂名、宁夏宝丰二期即将投产，市场供应压力届时将升级。金九旺季需求回暖，下游开工提升，订单出现好转。近期宏观刺激消费政策频出，今日聚丙烯市场或小幅偏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5319662"/>
      <w:r>
        <w:rPr>
          <w:rFonts w:ascii="楷体" w:eastAsia="楷体" w:hAnsi="楷体" w:hint="eastAsia"/>
          <w:b/>
          <w:color w:val="000000" w:themeColor="text1"/>
          <w:sz w:val="24"/>
          <w:szCs w:val="24"/>
        </w:rPr>
        <w:t>MEG：</w:t>
      </w:r>
      <w:r w:rsidR="00EA4444" w:rsidRPr="00EA4444">
        <w:rPr>
          <w:rFonts w:ascii="楷体" w:eastAsia="楷体" w:hAnsi="楷体" w:hint="eastAsia"/>
          <w:b/>
          <w:color w:val="000000" w:themeColor="text1"/>
          <w:sz w:val="24"/>
          <w:szCs w:val="24"/>
        </w:rPr>
        <w:t>成本提振但高库存压制反弹空间</w:t>
      </w:r>
      <w:bookmarkEnd w:id="41"/>
    </w:p>
    <w:p w:rsidR="003F56A5" w:rsidRDefault="00EA4444" w:rsidP="00115EEA">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供需情况，9.4华东主港地区MEG港口库存约119.6万吨附近，环比上期增加2.9万吨。截至9月7日，中国大陆地区乙二醇整体开工负荷在64.13%（-1.31%），其中煤制乙二醇开工负荷在66.81%（-1.10%）。 目前盛虹炼化1#仍在提负中，榆林化学单线小幅超负荷运行，陕煤渭化停车中，国内开工仍有上行空间，整体供应表现宽松。聚酯下游方面，截至9.7，初步核算国内大陆地区聚酯负荷在92.7%附近。终端开工大幅提升，局部订单良好。江浙加弹综合开工率83%（+5%），江浙织机综合开工率77%（+5%），江浙印染综合开工率81%（+4%）。展望后市，原油及煤炭价格高位，乙二醇成本支撑力度仍强，但高供应及高库存压制盘面反弹空间。聚酯开工高位，但9月仍是累库格局乙二醇走势高位承压。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531966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A4444" w:rsidRPr="00EA4444">
        <w:rPr>
          <w:rFonts w:ascii="楷体" w:eastAsia="楷体" w:hAnsi="楷体" w:hint="eastAsia"/>
          <w:b/>
          <w:color w:val="000000" w:themeColor="text1"/>
          <w:sz w:val="24"/>
          <w:szCs w:val="24"/>
        </w:rPr>
        <w:t>贸易商小幅补库后，震荡走弱</w:t>
      </w:r>
      <w:bookmarkEnd w:id="42"/>
    </w:p>
    <w:p w:rsidR="00A71A7E" w:rsidRDefault="00EA4444" w:rsidP="001F79C6">
      <w:pPr>
        <w:ind w:leftChars="300" w:left="630"/>
        <w:rPr>
          <w:rFonts w:ascii="楷体" w:eastAsia="楷体" w:hAnsi="楷体"/>
          <w:color w:val="000000" w:themeColor="text1"/>
          <w:sz w:val="24"/>
          <w:szCs w:val="24"/>
        </w:rPr>
      </w:pPr>
      <w:r w:rsidRPr="00EA4444">
        <w:rPr>
          <w:rFonts w:ascii="楷体" w:eastAsia="楷体" w:hAnsi="楷体" w:hint="eastAsia"/>
          <w:color w:val="000000" w:themeColor="text1"/>
          <w:sz w:val="24"/>
          <w:szCs w:val="24"/>
        </w:rPr>
        <w:t>玻璃当前供需矛盾并不突出，9月首周由于月初贸易商库节较低，旺季预期和政策刺激下推动中下游小幅补库，但持续性较差，周内日度平均产销再次回落，阶段性补库告一段落。供给上，冷修与点火并存，点火产线暂未起量，周内产量下滑；需求上，主产区华北原片厂库存不高，现货价格由于旺季预期支撑高位震荡，主要以稳价为主，华南地区区域价差较低，涨价情绪较强，下游观望情绪为主，基本按需采购。宏观上近期房地产支持政策进入落地阶段。盘面上，近月随着产销回落而回落，前期基差修复</w:t>
      </w:r>
      <w:r w:rsidRPr="00EA4444">
        <w:rPr>
          <w:rFonts w:ascii="楷体" w:eastAsia="楷体" w:hAnsi="楷体" w:hint="eastAsia"/>
          <w:color w:val="000000" w:themeColor="text1"/>
          <w:sz w:val="24"/>
          <w:szCs w:val="24"/>
        </w:rPr>
        <w:lastRenderedPageBreak/>
        <w:t>以后，短期矛盾并不突出。远月估值仍处于年内高位，供给上行，需求回落，盘面进入震荡整理期，但由于下游地产旺季预期未打破，下有支撑，整体仍处于（1650，1850）区间震荡，短期偏弱整理</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531966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A4444" w:rsidRPr="00EA4444">
        <w:rPr>
          <w:rFonts w:ascii="楷体" w:eastAsia="楷体" w:hAnsi="楷体" w:hint="eastAsia"/>
          <w:b/>
          <w:color w:val="000000" w:themeColor="text1"/>
          <w:sz w:val="24"/>
          <w:szCs w:val="24"/>
        </w:rPr>
        <w:t>供给压力减缓，库存接近临界点</w:t>
      </w:r>
      <w:bookmarkEnd w:id="43"/>
    </w:p>
    <w:p w:rsidR="00A71A7E" w:rsidRDefault="00EA4444" w:rsidP="00A71A7E">
      <w:pPr>
        <w:ind w:leftChars="300" w:left="630"/>
        <w:rPr>
          <w:rFonts w:ascii="楷体" w:eastAsia="楷体" w:hAnsi="楷体"/>
          <w:bCs/>
          <w:sz w:val="24"/>
          <w:szCs w:val="24"/>
        </w:rPr>
      </w:pPr>
      <w:r w:rsidRPr="00EA4444">
        <w:rPr>
          <w:rFonts w:ascii="楷体" w:eastAsia="楷体" w:hAnsi="楷体" w:hint="eastAsia"/>
          <w:color w:val="000000" w:themeColor="text1"/>
          <w:sz w:val="24"/>
          <w:szCs w:val="24"/>
        </w:rPr>
        <w:t>当前纯碱现货价格高位震荡，产量开始抬升，库存临近拐点。9月首周，供给上，虽然周内新增投产增量开始上量，但由于检修较为集中，难以完全对冲，库存继续创新低，已经接近去无可去的地步。需求上，下游终端玻璃厂安全库存不断压缩，备货由刚需转向积极，需求上行，现货价格快速上涨至3200元-3300元/吨左右。按当前产量计算，到9月中旬以后，检修恢复叠加远兴一二线产量抬升，短期库存或将临界拐点，但盘面上已经提前交易库存拐点的预期，如果本周库存没有见到累库，盘面或将因为基差和月间价差较大情绪反赚，短期谨慎追空。盘面受消息刺激多空博弈，波动较大，建议观望，等待有反弹后再高空。主力合约参考区间（1750，1950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531966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531966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A4444" w:rsidRPr="00EA4444">
        <w:rPr>
          <w:rFonts w:ascii="楷体" w:eastAsia="楷体" w:hAnsi="楷体" w:hint="eastAsia"/>
          <w:b/>
          <w:sz w:val="24"/>
          <w:szCs w:val="24"/>
        </w:rPr>
        <w:t>短期震荡整理，等待美农报告进一步指引</w:t>
      </w:r>
      <w:bookmarkEnd w:id="45"/>
    </w:p>
    <w:p w:rsidR="003F56A5" w:rsidRDefault="00EA4444">
      <w:pPr>
        <w:ind w:leftChars="300" w:left="630"/>
        <w:rPr>
          <w:rFonts w:ascii="楷体" w:eastAsia="楷体" w:hAnsi="楷体"/>
          <w:sz w:val="24"/>
          <w:szCs w:val="24"/>
        </w:rPr>
      </w:pPr>
      <w:r w:rsidRPr="00EA4444">
        <w:rPr>
          <w:rFonts w:ascii="楷体" w:eastAsia="楷体" w:hAnsi="楷体" w:hint="eastAsia"/>
          <w:sz w:val="24"/>
          <w:szCs w:val="24"/>
        </w:rPr>
        <w:t>国际方面，受巴西产量创纪录及美国收割提前影响，美豆价格有所承压。在8月中下旬后北美天气持续转干下，市场也非常关注美农9月对美豆供需数据的调整，与PF49.7的单产预估有多大的出入，等待9月报告指引。最新美豆优良率处于历史低位，截至9月5日当周，美国大豆优良率为53%，前一周为58%，上年同期为57%，低于市场预估。国内现货基差小幅承压，但整体延续高位，海关的严格政策还在进行，进口大豆入关速度较慢，当前油厂大豆库存有所回升，近一周油厂开机情况有所好转，在成交清淡下油厂豆粕周度库存回升至74万吨，当前沿海主流油厂豆粕现货报价小幅下调至4870-4970元/吨。大豆6-8月到港量仍较充裕，8月进口935万吨大豆，今年1-8个月大豆进口量达到7165万吨，同比增长17.9%，但9-10月进口到港预期减少，远月供应担忧支撑11-1基差报价坚挺，关注9月实际到港是否符合预期。需求，下游生猪养殖利润近期有所改善，叠加存栏高位，下游维持刚需备货，但近一周下游对高现货基差接受度不高，成交清淡。菜粕当前供需基本面改善，随着6月份后菜籽到港减少，油厂压榨也在逐步下滑，因需求不及预期，库存连续三周回升。而需求方面，水产消费旺季即将结束，菜粕需求预计减少，但随着菜粕价格下跌或提振替代需求。策略方面，当前仍处于上行趋势，短期预计维持高位震荡，建议短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5319667"/>
      <w:r>
        <w:rPr>
          <w:rFonts w:ascii="楷体" w:eastAsia="楷体" w:hAnsi="楷体" w:hint="eastAsia"/>
          <w:b/>
          <w:color w:val="000000" w:themeColor="text1"/>
          <w:sz w:val="24"/>
          <w:szCs w:val="24"/>
        </w:rPr>
        <w:t>油脂：</w:t>
      </w:r>
      <w:r w:rsidR="00EA4444" w:rsidRPr="00EA4444">
        <w:rPr>
          <w:rFonts w:ascii="楷体" w:eastAsia="楷体" w:hAnsi="楷体" w:hint="eastAsia"/>
          <w:b/>
          <w:sz w:val="24"/>
          <w:szCs w:val="24"/>
        </w:rPr>
        <w:t>维持宽幅震荡，单边缺乏有效驱动</w:t>
      </w:r>
      <w:bookmarkEnd w:id="46"/>
    </w:p>
    <w:p w:rsidR="003F56A5" w:rsidRDefault="00EA4444" w:rsidP="00792D31">
      <w:pPr>
        <w:ind w:leftChars="300" w:left="630"/>
        <w:rPr>
          <w:rFonts w:ascii="楷体" w:eastAsia="楷体" w:hAnsi="楷体"/>
          <w:sz w:val="24"/>
          <w:szCs w:val="24"/>
        </w:rPr>
      </w:pPr>
      <w:r w:rsidRPr="00EA4444">
        <w:rPr>
          <w:rFonts w:ascii="楷体" w:eastAsia="楷体" w:hAnsi="楷体" w:hint="eastAsia"/>
          <w:sz w:val="24"/>
          <w:szCs w:val="24"/>
        </w:rPr>
        <w:t>油脂基本面当前驱动不强，虽受原油走强及需求端提振，但在产地季节性增产周期及国内三大油脂库存偏高水平下，仍抑制价格上方空间。棕榈油，产地在供需两旺下库存未见实质增量，印尼棕榈油6月份在产量环比下滑及出口增加下，库存降幅较大。而马棕产量7月显著改善，8-9月份仍处</w:t>
      </w:r>
      <w:r w:rsidRPr="00EA4444">
        <w:rPr>
          <w:rFonts w:ascii="楷体" w:eastAsia="楷体" w:hAnsi="楷体" w:hint="eastAsia"/>
          <w:sz w:val="24"/>
          <w:szCs w:val="24"/>
        </w:rPr>
        <w:lastRenderedPageBreak/>
        <w:t>于产量的季节性增产阶段，关注后续产量修复情况；但7月库存增幅不及预期，因出口环比增加，且根据船运机构数据，马来8月1-31日棕榈油出口量为1201488吨，环比减少2.98%，关注马棕8-9月累库情况。国内棕榈油7-8月份进口到港预计维持高位，库存维持同期高位，最新商业库存为67.6万吨，较前一周增加。需求端，当前在豆棕价差拉大下，利好棕榈油下游消费需求，但四季度为棕榈油消费淡季，预计四季度北方地区需求仍将转向豆油。豆油存去库预期。国内7-8月进口大豆到港量仍不少，但受海关检验趋严影响，大豆到厂时间延迟，整体压榨水平不高，在消费改善下，将逐步去库。需求端，当前各大学校已结束备货，但双节前备货仍在继续，需求端或能逐步好转。菜油在进口菜籽减少下，供应压力减轻。当前主产地菜籽还未集中上市，全球菜籽新作产量不确定性仍存，但当前加籽收割进度加快，上市压力也抑制期价走势。随着8-9月份进口加籽到港量的减少，菜籽开机及压榨水平也有所降低，7月菜籽进口环比下滑64.8%。需求方面，当前去库速度缓慢，与豆油价差持续收窄，库存去化仍需看到替代需求出现。短期建议波段操作，中长期对于油脂维持谨慎看多观点，可关注油脂间套利，空配菜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5319668"/>
      <w:r>
        <w:rPr>
          <w:rFonts w:ascii="楷体" w:eastAsia="楷体" w:hAnsi="楷体" w:hint="eastAsia"/>
          <w:b/>
          <w:bCs/>
          <w:color w:val="000000" w:themeColor="text1"/>
        </w:rPr>
        <w:t>玉米与淀粉：</w:t>
      </w:r>
      <w:r w:rsidR="00EA4444" w:rsidRPr="00EA4444">
        <w:rPr>
          <w:rFonts w:ascii="楷体" w:eastAsia="楷体" w:hAnsi="楷体" w:hint="eastAsia"/>
          <w:b/>
        </w:rPr>
        <w:t>新作上市压力与期价深度贴水</w:t>
      </w:r>
      <w:bookmarkEnd w:id="47"/>
    </w:p>
    <w:p w:rsidR="00EA4444" w:rsidRPr="00EA4444" w:rsidRDefault="00EA4444" w:rsidP="00EA4444">
      <w:pPr>
        <w:pStyle w:val="paragraph"/>
        <w:spacing w:before="60" w:after="60"/>
        <w:ind w:leftChars="300" w:left="630"/>
        <w:rPr>
          <w:rFonts w:ascii="楷体" w:eastAsia="楷体" w:hAnsi="楷体" w:hint="eastAsia"/>
        </w:rPr>
      </w:pPr>
      <w:r w:rsidRPr="00EA4444">
        <w:rPr>
          <w:rFonts w:ascii="楷体" w:eastAsia="楷体" w:hAnsi="楷体" w:hint="eastAsia"/>
        </w:rPr>
        <w:t>对于玉米而言，近期期价滞涨回落，主要源于新作上市压力，由于小麦特别是芽麦及其陈化水稻抛储成交后带来替代供应，市场担心新作玉米上市后现货有望趋于下跌，但在我们看来，在基差高企在很大程度上反映现货下跌预期的情况下，期价继续下跌的空间或有限，主要原因仍然源于前期报告提及的三个方面，即陈化水稻拍卖底价支撑、小麦价格上涨及其中下游库存偏低。与此同时，也应该认识到，当前市场缺乏上涨驱动，据此我们倾向于期价或在8月中旬价格区间内震荡运行。在这种情况下，观点由谨慎看多转为中性，建议谨慎投资者观望，激进投资者可考虑背靠7月持续区间震荡后的起涨点继续持有前期多单。</w:t>
      </w:r>
    </w:p>
    <w:p w:rsidR="003F56A5" w:rsidRDefault="00EA4444" w:rsidP="00EA4444">
      <w:pPr>
        <w:pStyle w:val="paragraph"/>
        <w:spacing w:before="60" w:beforeAutospacing="0" w:after="60" w:afterAutospacing="0"/>
        <w:ind w:leftChars="300" w:left="630"/>
        <w:rPr>
          <w:rFonts w:ascii="楷体" w:eastAsia="楷体" w:hAnsi="楷体"/>
        </w:rPr>
      </w:pPr>
      <w:r w:rsidRPr="00EA4444">
        <w:rPr>
          <w:rFonts w:ascii="楷体" w:eastAsia="楷体" w:hAnsi="楷体" w:hint="eastAsia"/>
        </w:rPr>
        <w:t>对于淀粉而言，近期淀粉-玉米价差影响因素相对偏利多，一方面淀粉副产品价格虽蛋白粕出现回落，另一方面行业出库量高于往年同期，带动行业库存连续环比下滑，供需有所改善。但当前市场不确定性更多源于玉米原料端，即新作上市能带动玉米原料端下跌的空间，与此同时，期价深度贴水有望抑制其下方空间。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5319669"/>
      <w:r>
        <w:rPr>
          <w:rFonts w:ascii="楷体" w:eastAsia="楷体" w:hAnsi="楷体" w:hint="eastAsia"/>
          <w:b/>
          <w:bCs/>
          <w:color w:val="000000" w:themeColor="text1"/>
        </w:rPr>
        <w:t>畜禽养殖：</w:t>
      </w:r>
      <w:r w:rsidR="00EA4444" w:rsidRPr="00EA4444">
        <w:rPr>
          <w:rFonts w:ascii="楷体" w:eastAsia="楷体" w:hAnsi="楷体" w:hint="eastAsia"/>
          <w:b/>
          <w:bCs/>
          <w:color w:val="000000" w:themeColor="text1"/>
        </w:rPr>
        <w:t>现货带动期价表现不一</w:t>
      </w:r>
      <w:bookmarkEnd w:id="48"/>
    </w:p>
    <w:p w:rsidR="00EA4444" w:rsidRPr="00EA4444" w:rsidRDefault="00EA4444" w:rsidP="00EA4444">
      <w:pPr>
        <w:pStyle w:val="paragraph"/>
        <w:spacing w:before="60" w:after="60"/>
        <w:ind w:leftChars="300" w:left="630"/>
        <w:rPr>
          <w:rFonts w:ascii="楷体" w:eastAsia="楷体" w:hAnsi="楷体" w:hint="eastAsia"/>
        </w:rPr>
      </w:pPr>
      <w:r w:rsidRPr="00EA4444">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w:t>
      </w:r>
      <w:r w:rsidRPr="00EA4444">
        <w:rPr>
          <w:rFonts w:ascii="楷体" w:eastAsia="楷体" w:hAnsi="楷体" w:hint="eastAsia"/>
        </w:rPr>
        <w:lastRenderedPageBreak/>
        <w:t>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从近期现货表现来看，市场供需依旧宽松，涌益咨询数据显示9月计划出栏量环比有较大增幅，期现货继续震荡偏弱的可能性较大，但由于下半年供需改善及其春节前需求预期带来的二次育肥，预计下方空间亦有限。考虑到接下来现货波动的节奏存在分歧，不确定性较大，观点转为中性，不建议投资者单边操作，可少量参与反套交易。</w:t>
      </w:r>
    </w:p>
    <w:p w:rsidR="003F56A5" w:rsidRDefault="00EA4444" w:rsidP="00EA4444">
      <w:pPr>
        <w:pStyle w:val="paragraph"/>
        <w:spacing w:before="60" w:beforeAutospacing="0" w:after="60" w:afterAutospacing="0"/>
        <w:ind w:leftChars="300" w:left="630"/>
        <w:rPr>
          <w:rFonts w:ascii="楷体" w:eastAsia="楷体" w:hAnsi="楷体"/>
        </w:rPr>
      </w:pPr>
      <w:r w:rsidRPr="00EA4444">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短期暂维持谨慎看多观点，后期观点或转为中性，甚至转为看空，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5319670"/>
      <w:r>
        <w:rPr>
          <w:rFonts w:ascii="楷体" w:eastAsia="楷体" w:hAnsi="楷体" w:hint="eastAsia"/>
          <w:b/>
          <w:sz w:val="24"/>
          <w:szCs w:val="24"/>
        </w:rPr>
        <w:t>郑棉：</w:t>
      </w:r>
      <w:r w:rsidR="007E1660" w:rsidRPr="007E1660">
        <w:rPr>
          <w:rFonts w:ascii="楷体" w:eastAsia="楷体" w:hAnsi="楷体" w:hint="eastAsia"/>
          <w:b/>
          <w:sz w:val="24"/>
          <w:szCs w:val="24"/>
        </w:rPr>
        <w:t>多单或看跌期权卖权持有</w:t>
      </w:r>
      <w:bookmarkEnd w:id="49"/>
    </w:p>
    <w:p w:rsidR="003F56A5" w:rsidRDefault="007E1660" w:rsidP="007B3290">
      <w:pPr>
        <w:ind w:leftChars="300" w:left="630"/>
        <w:rPr>
          <w:rFonts w:ascii="楷体" w:eastAsia="楷体" w:hAnsi="楷体"/>
          <w:sz w:val="24"/>
          <w:szCs w:val="24"/>
        </w:rPr>
      </w:pPr>
      <w:r w:rsidRPr="007E1660">
        <w:rPr>
          <w:rFonts w:ascii="楷体" w:eastAsia="楷体" w:hAnsi="楷体" w:hint="eastAsia"/>
          <w:sz w:val="24"/>
          <w:szCs w:val="24"/>
        </w:rPr>
        <w:t>日度轮出量提升至2万吨后，轮出依然维持100%成交，市场对储备棉热情不减。下游进入传统旺季期，订单少量增加，但压价较为明显，纺织企业延续亏损状况。不过，纺织企业对后市仍抱有期待。本年度新棉种植进度滞后10-20天，往年籽棉开秤又多是低开高走，前期棉农惜售概率较大。新棉上市时间较晚，叠加较低的库存，现货有望维持强势。在期现基差支撑下，01合约止跌企稳，预计围绕17500关口继续争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5319671"/>
      <w:r>
        <w:rPr>
          <w:rFonts w:ascii="楷体" w:eastAsia="楷体" w:hAnsi="楷体" w:hint="eastAsia"/>
          <w:b/>
          <w:sz w:val="24"/>
          <w:szCs w:val="24"/>
        </w:rPr>
        <w:t>白糖：</w:t>
      </w:r>
      <w:r w:rsidR="007E1660" w:rsidRPr="007E1660">
        <w:rPr>
          <w:rFonts w:ascii="楷体" w:eastAsia="楷体" w:hAnsi="楷体" w:hint="eastAsia"/>
          <w:b/>
          <w:sz w:val="24"/>
          <w:szCs w:val="24"/>
        </w:rPr>
        <w:t>多单暂止盈离场，看跌期权卖权持有</w:t>
      </w:r>
      <w:bookmarkEnd w:id="50"/>
    </w:p>
    <w:p w:rsidR="00296325" w:rsidRDefault="007E1660" w:rsidP="00296325">
      <w:pPr>
        <w:ind w:leftChars="300" w:left="630"/>
        <w:rPr>
          <w:rFonts w:ascii="楷体" w:eastAsia="楷体" w:hAnsi="楷体"/>
          <w:sz w:val="24"/>
          <w:szCs w:val="24"/>
        </w:rPr>
      </w:pPr>
      <w:r w:rsidRPr="007E1660">
        <w:rPr>
          <w:rFonts w:ascii="楷体" w:eastAsia="楷体" w:hAnsi="楷体" w:hint="eastAsia"/>
          <w:sz w:val="24"/>
          <w:szCs w:val="24"/>
        </w:rPr>
        <w:t>根据中国糖业协会，本制糖期全国共生产食糖897万吨，比上个制糖期减少59万吨。2023年截至8月底，全国累计销售食糖809万吨，同比增加20万吨;累计销糖率90.1%，同比加快7.7%。全国制糖工业企业成品白糖累计平均销售价格6213元/吨，同比回升435元/吨，2023年8月成品白糖平均销售价格7035元/吨。国内白糖进口增加的预期未能得到数据佐证。当前白糖库存极低，供需面极为紧张，但短期或有技术性回调，多单暂止盈离场，等待重新低位买入机会，或看跌期权卖权持有</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19" w:rsidRDefault="00FE7219">
      <w:r>
        <w:separator/>
      </w:r>
    </w:p>
  </w:endnote>
  <w:endnote w:type="continuationSeparator" w:id="0">
    <w:p w:rsidR="00FE7219" w:rsidRDefault="00FE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D07BFAD" wp14:editId="2D5149C2">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A444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A444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19" w:rsidRDefault="00FE7219">
      <w:r>
        <w:separator/>
      </w:r>
    </w:p>
  </w:footnote>
  <w:footnote w:type="continuationSeparator" w:id="0">
    <w:p w:rsidR="00FE7219" w:rsidRDefault="00FE72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8912729" wp14:editId="0398191A">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2875F56" wp14:editId="3E612123">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A4444">
      <w:rPr>
        <w:rFonts w:ascii="Times New Roman" w:eastAsia="楷体" w:hAnsi="Times New Roman" w:hint="eastAsia"/>
        <w:b/>
        <w:bCs/>
        <w:noProof/>
        <w:color w:val="833C0B"/>
        <w:sz w:val="21"/>
      </w:rPr>
      <w:t>2023</w:t>
    </w:r>
    <w:r w:rsidR="00EA4444">
      <w:rPr>
        <w:rFonts w:ascii="Times New Roman" w:eastAsia="楷体" w:hAnsi="Times New Roman" w:hint="eastAsia"/>
        <w:b/>
        <w:bCs/>
        <w:noProof/>
        <w:color w:val="833C0B"/>
        <w:sz w:val="21"/>
      </w:rPr>
      <w:t>年</w:t>
    </w:r>
    <w:r w:rsidR="00EA4444">
      <w:rPr>
        <w:rFonts w:ascii="Times New Roman" w:eastAsia="楷体" w:hAnsi="Times New Roman" w:hint="eastAsia"/>
        <w:b/>
        <w:bCs/>
        <w:noProof/>
        <w:color w:val="833C0B"/>
        <w:sz w:val="21"/>
      </w:rPr>
      <w:t>9</w:t>
    </w:r>
    <w:r w:rsidR="00EA4444">
      <w:rPr>
        <w:rFonts w:ascii="Times New Roman" w:eastAsia="楷体" w:hAnsi="Times New Roman" w:hint="eastAsia"/>
        <w:b/>
        <w:bCs/>
        <w:noProof/>
        <w:color w:val="833C0B"/>
        <w:sz w:val="21"/>
      </w:rPr>
      <w:t>月</w:t>
    </w:r>
    <w:r w:rsidR="00EA4444">
      <w:rPr>
        <w:rFonts w:ascii="Times New Roman" w:eastAsia="楷体" w:hAnsi="Times New Roman" w:hint="eastAsia"/>
        <w:b/>
        <w:bCs/>
        <w:noProof/>
        <w:color w:val="833C0B"/>
        <w:sz w:val="21"/>
      </w:rPr>
      <w:t>11</w:t>
    </w:r>
    <w:r w:rsidR="00EA4444">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2959"/>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93850-C098-4F73-A8D0-8710B66C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10</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84</cp:revision>
  <cp:lastPrinted>2023-06-08T02:23:00Z</cp:lastPrinted>
  <dcterms:created xsi:type="dcterms:W3CDTF">2022-11-15T10:06:00Z</dcterms:created>
  <dcterms:modified xsi:type="dcterms:W3CDTF">2023-09-11T02:13:00Z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