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E52CE0"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E52CE0" w:rsidRPr="00DB4799">
            <w:rPr>
              <w:rStyle w:val="a9"/>
              <w:noProof/>
            </w:rPr>
            <w:fldChar w:fldCharType="begin"/>
          </w:r>
          <w:r w:rsidR="00E52CE0" w:rsidRPr="00DB4799">
            <w:rPr>
              <w:rStyle w:val="a9"/>
              <w:noProof/>
            </w:rPr>
            <w:instrText xml:space="preserve"> </w:instrText>
          </w:r>
          <w:r w:rsidR="00E52CE0">
            <w:rPr>
              <w:noProof/>
            </w:rPr>
            <w:instrText>HYPERLINK \l "_Toc144805625"</w:instrText>
          </w:r>
          <w:r w:rsidR="00E52CE0" w:rsidRPr="00DB4799">
            <w:rPr>
              <w:rStyle w:val="a9"/>
              <w:noProof/>
            </w:rPr>
            <w:instrText xml:space="preserve"> </w:instrText>
          </w:r>
          <w:r w:rsidR="00E52CE0" w:rsidRPr="00DB4799">
            <w:rPr>
              <w:rStyle w:val="a9"/>
              <w:noProof/>
            </w:rPr>
          </w:r>
          <w:r w:rsidR="00E52CE0" w:rsidRPr="00DB4799">
            <w:rPr>
              <w:rStyle w:val="a9"/>
              <w:noProof/>
            </w:rPr>
            <w:fldChar w:fldCharType="separate"/>
          </w:r>
          <w:r w:rsidR="00E52CE0" w:rsidRPr="00DB4799">
            <w:rPr>
              <w:rStyle w:val="a9"/>
              <w:rFonts w:ascii="Times New Roman" w:eastAsia="楷体" w:hAnsi="Times New Roman"/>
              <w:b/>
              <w:noProof/>
            </w:rPr>
            <w:t>[</w:t>
          </w:r>
          <w:r w:rsidR="00E52CE0" w:rsidRPr="00DB4799">
            <w:rPr>
              <w:rStyle w:val="a9"/>
              <w:rFonts w:ascii="Times New Roman" w:eastAsia="楷体" w:hAnsi="Times New Roman"/>
              <w:b/>
              <w:noProof/>
            </w:rPr>
            <w:t>金融</w:t>
          </w:r>
          <w:r w:rsidR="00E52CE0" w:rsidRPr="00DB4799">
            <w:rPr>
              <w:rStyle w:val="a9"/>
              <w:rFonts w:ascii="Times New Roman" w:eastAsia="楷体" w:hAnsi="Times New Roman"/>
              <w:b/>
              <w:noProof/>
            </w:rPr>
            <w:t>]</w:t>
          </w:r>
          <w:r w:rsidR="00E52CE0" w:rsidRPr="00DB4799">
            <w:rPr>
              <w:rStyle w:val="a9"/>
              <w:noProof/>
            </w:rPr>
            <w:fldChar w:fldCharType="end"/>
          </w:r>
        </w:p>
        <w:p w:rsidR="00E52CE0" w:rsidRDefault="00E52CE0">
          <w:pPr>
            <w:pStyle w:val="23"/>
            <w:tabs>
              <w:tab w:val="right" w:leader="dot" w:pos="8296"/>
            </w:tabs>
            <w:rPr>
              <w:rFonts w:eastAsiaTheme="minorEastAsia"/>
              <w:noProof/>
              <w:szCs w:val="22"/>
            </w:rPr>
          </w:pPr>
          <w:hyperlink w:anchor="_Toc144805626" w:history="1">
            <w:r w:rsidRPr="00DB4799">
              <w:rPr>
                <w:rStyle w:val="a9"/>
                <w:rFonts w:ascii="Times New Roman" w:eastAsia="楷体" w:hAnsi="Times New Roman"/>
                <w:b/>
                <w:noProof/>
              </w:rPr>
              <w:t>股指：指数多单继续持有</w:t>
            </w:r>
          </w:hyperlink>
        </w:p>
        <w:p w:rsidR="00E52CE0" w:rsidRDefault="00E52CE0">
          <w:pPr>
            <w:pStyle w:val="11"/>
            <w:tabs>
              <w:tab w:val="right" w:leader="dot" w:pos="8296"/>
            </w:tabs>
            <w:rPr>
              <w:rFonts w:eastAsiaTheme="minorEastAsia"/>
              <w:noProof/>
              <w:szCs w:val="22"/>
            </w:rPr>
          </w:pPr>
          <w:hyperlink w:anchor="_Toc144805627" w:history="1">
            <w:r w:rsidRPr="00DB4799">
              <w:rPr>
                <w:rStyle w:val="a9"/>
                <w:rFonts w:ascii="Times New Roman" w:eastAsia="楷体" w:hAnsi="Times New Roman"/>
                <w:b/>
                <w:noProof/>
              </w:rPr>
              <w:t>[</w:t>
            </w:r>
            <w:r w:rsidRPr="00DB4799">
              <w:rPr>
                <w:rStyle w:val="a9"/>
                <w:rFonts w:ascii="Times New Roman" w:eastAsia="楷体" w:hAnsi="Times New Roman"/>
                <w:b/>
                <w:noProof/>
              </w:rPr>
              <w:t>贵金属</w:t>
            </w:r>
            <w:r w:rsidRPr="00DB4799">
              <w:rPr>
                <w:rStyle w:val="a9"/>
                <w:rFonts w:ascii="Times New Roman" w:eastAsia="楷体" w:hAnsi="Times New Roman"/>
                <w:b/>
                <w:noProof/>
              </w:rPr>
              <w:t>]</w:t>
            </w:r>
          </w:hyperlink>
        </w:p>
        <w:p w:rsidR="00E52CE0" w:rsidRDefault="00E52CE0">
          <w:pPr>
            <w:pStyle w:val="23"/>
            <w:tabs>
              <w:tab w:val="right" w:leader="dot" w:pos="8296"/>
            </w:tabs>
            <w:rPr>
              <w:rFonts w:eastAsiaTheme="minorEastAsia"/>
              <w:noProof/>
              <w:szCs w:val="22"/>
            </w:rPr>
          </w:pPr>
          <w:hyperlink w:anchor="_Toc144805628" w:history="1">
            <w:r w:rsidRPr="00DB4799">
              <w:rPr>
                <w:rStyle w:val="a9"/>
                <w:rFonts w:ascii="Times New Roman" w:eastAsia="楷体" w:hAnsi="Times New Roman"/>
                <w:b/>
                <w:noProof/>
              </w:rPr>
              <w:t>贵金属：欧央行行长提示通胀风险，贵金属价格小幅回落</w:t>
            </w:r>
          </w:hyperlink>
        </w:p>
        <w:p w:rsidR="00E52CE0" w:rsidRDefault="00E52CE0">
          <w:pPr>
            <w:pStyle w:val="11"/>
            <w:tabs>
              <w:tab w:val="right" w:leader="dot" w:pos="8296"/>
            </w:tabs>
            <w:rPr>
              <w:rFonts w:eastAsiaTheme="minorEastAsia"/>
              <w:noProof/>
              <w:szCs w:val="22"/>
            </w:rPr>
          </w:pPr>
          <w:hyperlink w:anchor="_Toc144805629" w:history="1">
            <w:r w:rsidRPr="00DB4799">
              <w:rPr>
                <w:rStyle w:val="a9"/>
                <w:rFonts w:ascii="Times New Roman" w:eastAsia="楷体" w:hAnsi="Times New Roman"/>
                <w:b/>
                <w:noProof/>
              </w:rPr>
              <w:t>[</w:t>
            </w:r>
            <w:r w:rsidRPr="00DB4799">
              <w:rPr>
                <w:rStyle w:val="a9"/>
                <w:rFonts w:ascii="Times New Roman" w:eastAsia="楷体" w:hAnsi="Times New Roman"/>
                <w:b/>
                <w:noProof/>
              </w:rPr>
              <w:t>金属</w:t>
            </w:r>
            <w:r w:rsidRPr="00DB4799">
              <w:rPr>
                <w:rStyle w:val="a9"/>
                <w:rFonts w:ascii="Times New Roman" w:eastAsia="楷体" w:hAnsi="Times New Roman"/>
                <w:b/>
                <w:noProof/>
              </w:rPr>
              <w:t>]</w:t>
            </w:r>
          </w:hyperlink>
        </w:p>
        <w:p w:rsidR="00E52CE0" w:rsidRDefault="00E52CE0">
          <w:pPr>
            <w:pStyle w:val="23"/>
            <w:tabs>
              <w:tab w:val="right" w:leader="dot" w:pos="8296"/>
            </w:tabs>
            <w:rPr>
              <w:rFonts w:eastAsiaTheme="minorEastAsia"/>
              <w:noProof/>
              <w:szCs w:val="22"/>
            </w:rPr>
          </w:pPr>
          <w:hyperlink w:anchor="_Toc144805630" w:history="1">
            <w:r w:rsidRPr="00DB4799">
              <w:rPr>
                <w:rStyle w:val="a9"/>
                <w:rFonts w:ascii="楷体" w:eastAsia="楷体" w:hAnsi="楷体"/>
                <w:b/>
                <w:noProof/>
              </w:rPr>
              <w:t>碳酸锂：江西省发布行动方案推动产业发展，期价小幅回升</w:t>
            </w:r>
          </w:hyperlink>
        </w:p>
        <w:p w:rsidR="00E52CE0" w:rsidRDefault="00E52CE0">
          <w:pPr>
            <w:pStyle w:val="23"/>
            <w:tabs>
              <w:tab w:val="right" w:leader="dot" w:pos="8296"/>
            </w:tabs>
            <w:rPr>
              <w:rFonts w:eastAsiaTheme="minorEastAsia"/>
              <w:noProof/>
              <w:szCs w:val="22"/>
            </w:rPr>
          </w:pPr>
          <w:hyperlink w:anchor="_Toc144805631" w:history="1">
            <w:r w:rsidRPr="00DB4799">
              <w:rPr>
                <w:rStyle w:val="a9"/>
                <w:rFonts w:ascii="楷体" w:eastAsia="楷体" w:hAnsi="楷体"/>
                <w:b/>
                <w:noProof/>
              </w:rPr>
              <w:t>螺纹钢：期现冲高回落，下方成本支撑仍偏强，预计短期或震荡整理</w:t>
            </w:r>
          </w:hyperlink>
        </w:p>
        <w:p w:rsidR="00E52CE0" w:rsidRDefault="00E52CE0">
          <w:pPr>
            <w:pStyle w:val="23"/>
            <w:tabs>
              <w:tab w:val="right" w:leader="dot" w:pos="8296"/>
            </w:tabs>
            <w:rPr>
              <w:rFonts w:eastAsiaTheme="minorEastAsia"/>
              <w:noProof/>
              <w:szCs w:val="22"/>
            </w:rPr>
          </w:pPr>
          <w:hyperlink w:anchor="_Toc144805632" w:history="1">
            <w:r w:rsidRPr="00DB4799">
              <w:rPr>
                <w:rStyle w:val="a9"/>
                <w:rFonts w:ascii="楷体" w:eastAsia="楷体" w:hAnsi="楷体"/>
                <w:b/>
                <w:noProof/>
              </w:rPr>
              <w:t>焦炭：现货价格继续小幅度跟涨，盘面涨幅过快下震荡整理</w:t>
            </w:r>
          </w:hyperlink>
        </w:p>
        <w:p w:rsidR="00E52CE0" w:rsidRDefault="00E52CE0">
          <w:pPr>
            <w:pStyle w:val="23"/>
            <w:tabs>
              <w:tab w:val="right" w:leader="dot" w:pos="8296"/>
            </w:tabs>
            <w:rPr>
              <w:rFonts w:eastAsiaTheme="minorEastAsia"/>
              <w:noProof/>
              <w:szCs w:val="22"/>
            </w:rPr>
          </w:pPr>
          <w:hyperlink w:anchor="_Toc144805633" w:history="1">
            <w:r w:rsidRPr="00DB4799">
              <w:rPr>
                <w:rStyle w:val="a9"/>
                <w:rFonts w:ascii="楷体" w:eastAsia="楷体" w:hAnsi="楷体"/>
                <w:b/>
                <w:noProof/>
              </w:rPr>
              <w:t>焦煤：蒙煤价格继续上涨，盘面涨幅过快下震荡整理</w:t>
            </w:r>
          </w:hyperlink>
        </w:p>
        <w:p w:rsidR="00E52CE0" w:rsidRDefault="00E52CE0">
          <w:pPr>
            <w:pStyle w:val="23"/>
            <w:tabs>
              <w:tab w:val="right" w:leader="dot" w:pos="8296"/>
            </w:tabs>
            <w:rPr>
              <w:rFonts w:eastAsiaTheme="minorEastAsia"/>
              <w:noProof/>
              <w:szCs w:val="22"/>
            </w:rPr>
          </w:pPr>
          <w:hyperlink w:anchor="_Toc144805634" w:history="1">
            <w:r w:rsidRPr="00DB4799">
              <w:rPr>
                <w:rStyle w:val="a9"/>
                <w:rFonts w:ascii="楷体" w:eastAsia="楷体" w:hAnsi="楷体"/>
                <w:b/>
                <w:noProof/>
              </w:rPr>
              <w:t>铜：区间内震荡偏强运行</w:t>
            </w:r>
          </w:hyperlink>
        </w:p>
        <w:p w:rsidR="00E52CE0" w:rsidRDefault="00E52CE0">
          <w:pPr>
            <w:pStyle w:val="23"/>
            <w:tabs>
              <w:tab w:val="right" w:leader="dot" w:pos="8296"/>
            </w:tabs>
            <w:rPr>
              <w:rFonts w:eastAsiaTheme="minorEastAsia"/>
              <w:noProof/>
              <w:szCs w:val="22"/>
            </w:rPr>
          </w:pPr>
          <w:hyperlink w:anchor="_Toc144805635" w:history="1">
            <w:r w:rsidRPr="00DB4799">
              <w:rPr>
                <w:rStyle w:val="a9"/>
                <w:rFonts w:ascii="楷体" w:eastAsia="楷体" w:hAnsi="楷体"/>
                <w:b/>
                <w:noProof/>
              </w:rPr>
              <w:t>铝：铝价区间偏强震荡</w:t>
            </w:r>
          </w:hyperlink>
        </w:p>
        <w:p w:rsidR="00E52CE0" w:rsidRDefault="00E52CE0">
          <w:pPr>
            <w:pStyle w:val="23"/>
            <w:tabs>
              <w:tab w:val="right" w:leader="dot" w:pos="8296"/>
            </w:tabs>
            <w:rPr>
              <w:rFonts w:eastAsiaTheme="minorEastAsia"/>
              <w:noProof/>
              <w:szCs w:val="22"/>
            </w:rPr>
          </w:pPr>
          <w:hyperlink w:anchor="_Toc144805636" w:history="1">
            <w:r w:rsidRPr="00DB4799">
              <w:rPr>
                <w:rStyle w:val="a9"/>
                <w:rFonts w:ascii="楷体" w:eastAsia="楷体" w:hAnsi="楷体"/>
                <w:b/>
                <w:noProof/>
              </w:rPr>
              <w:t>锌：观望锌价上方压力位</w:t>
            </w:r>
          </w:hyperlink>
        </w:p>
        <w:p w:rsidR="00E52CE0" w:rsidRDefault="00E52CE0">
          <w:pPr>
            <w:pStyle w:val="23"/>
            <w:tabs>
              <w:tab w:val="right" w:leader="dot" w:pos="8296"/>
            </w:tabs>
            <w:rPr>
              <w:rFonts w:eastAsiaTheme="minorEastAsia"/>
              <w:noProof/>
              <w:szCs w:val="22"/>
            </w:rPr>
          </w:pPr>
          <w:hyperlink w:anchor="_Toc144805637" w:history="1">
            <w:r w:rsidRPr="00DB4799">
              <w:rPr>
                <w:rStyle w:val="a9"/>
                <w:rFonts w:ascii="楷体" w:eastAsia="楷体" w:hAnsi="楷体"/>
                <w:b/>
                <w:noProof/>
              </w:rPr>
              <w:t>镍：供增需弱现实因素压制镍价上行空间</w:t>
            </w:r>
          </w:hyperlink>
        </w:p>
        <w:p w:rsidR="00E52CE0" w:rsidRDefault="00E52CE0">
          <w:pPr>
            <w:pStyle w:val="23"/>
            <w:tabs>
              <w:tab w:val="right" w:leader="dot" w:pos="8296"/>
            </w:tabs>
            <w:rPr>
              <w:rFonts w:eastAsiaTheme="minorEastAsia"/>
              <w:noProof/>
              <w:szCs w:val="22"/>
            </w:rPr>
          </w:pPr>
          <w:hyperlink w:anchor="_Toc144805638" w:history="1">
            <w:r w:rsidRPr="00DB4799">
              <w:rPr>
                <w:rStyle w:val="a9"/>
                <w:rFonts w:ascii="楷体" w:eastAsia="楷体" w:hAnsi="楷体"/>
                <w:b/>
                <w:noProof/>
              </w:rPr>
              <w:t>铅：铝市供需双修，观望价格上方压力位</w:t>
            </w:r>
          </w:hyperlink>
        </w:p>
        <w:p w:rsidR="00E52CE0" w:rsidRDefault="00E52CE0">
          <w:pPr>
            <w:pStyle w:val="23"/>
            <w:tabs>
              <w:tab w:val="right" w:leader="dot" w:pos="8296"/>
            </w:tabs>
            <w:rPr>
              <w:rFonts w:eastAsiaTheme="minorEastAsia"/>
              <w:noProof/>
              <w:szCs w:val="22"/>
            </w:rPr>
          </w:pPr>
          <w:hyperlink w:anchor="_Toc144805639" w:history="1">
            <w:r w:rsidRPr="00DB4799">
              <w:rPr>
                <w:rStyle w:val="a9"/>
                <w:rFonts w:ascii="楷体" w:eastAsia="楷体" w:hAnsi="楷体"/>
                <w:b/>
                <w:noProof/>
              </w:rPr>
              <w:t>不锈钢：政策利多情绪叠加旺季需求增量预期，短期或震荡偏强</w:t>
            </w:r>
          </w:hyperlink>
        </w:p>
        <w:p w:rsidR="00E52CE0" w:rsidRDefault="00E52CE0">
          <w:pPr>
            <w:pStyle w:val="23"/>
            <w:tabs>
              <w:tab w:val="right" w:leader="dot" w:pos="8296"/>
            </w:tabs>
            <w:rPr>
              <w:rFonts w:eastAsiaTheme="minorEastAsia"/>
              <w:noProof/>
              <w:szCs w:val="22"/>
            </w:rPr>
          </w:pPr>
          <w:hyperlink w:anchor="_Toc144805640" w:history="1">
            <w:r w:rsidRPr="00DB4799">
              <w:rPr>
                <w:rStyle w:val="a9"/>
                <w:rFonts w:ascii="楷体" w:eastAsia="楷体" w:hAnsi="楷体"/>
                <w:b/>
                <w:noProof/>
              </w:rPr>
              <w:t>工业硅：传统旺季来临，盘面或将偏强运行</w:t>
            </w:r>
          </w:hyperlink>
        </w:p>
        <w:p w:rsidR="00E52CE0" w:rsidRDefault="00E52CE0">
          <w:pPr>
            <w:pStyle w:val="11"/>
            <w:tabs>
              <w:tab w:val="right" w:leader="dot" w:pos="8296"/>
            </w:tabs>
            <w:rPr>
              <w:rFonts w:eastAsiaTheme="minorEastAsia"/>
              <w:noProof/>
              <w:szCs w:val="22"/>
            </w:rPr>
          </w:pPr>
          <w:hyperlink w:anchor="_Toc144805641" w:history="1">
            <w:r w:rsidRPr="00DB4799">
              <w:rPr>
                <w:rStyle w:val="a9"/>
                <w:rFonts w:ascii="Times New Roman" w:eastAsia="楷体" w:hAnsi="Times New Roman"/>
                <w:b/>
                <w:noProof/>
              </w:rPr>
              <w:t>[</w:t>
            </w:r>
            <w:r w:rsidRPr="00DB4799">
              <w:rPr>
                <w:rStyle w:val="a9"/>
                <w:rFonts w:ascii="Times New Roman" w:eastAsia="楷体" w:hAnsi="Times New Roman"/>
                <w:b/>
                <w:noProof/>
              </w:rPr>
              <w:t>化工</w:t>
            </w:r>
            <w:r w:rsidRPr="00DB4799">
              <w:rPr>
                <w:rStyle w:val="a9"/>
                <w:rFonts w:ascii="Times New Roman" w:eastAsia="楷体" w:hAnsi="Times New Roman"/>
                <w:b/>
                <w:noProof/>
              </w:rPr>
              <w:t>]</w:t>
            </w:r>
          </w:hyperlink>
        </w:p>
        <w:p w:rsidR="00E52CE0" w:rsidRDefault="00E52CE0">
          <w:pPr>
            <w:pStyle w:val="23"/>
            <w:tabs>
              <w:tab w:val="right" w:leader="dot" w:pos="8296"/>
            </w:tabs>
            <w:rPr>
              <w:rFonts w:eastAsiaTheme="minorEastAsia"/>
              <w:noProof/>
              <w:szCs w:val="22"/>
            </w:rPr>
          </w:pPr>
          <w:hyperlink w:anchor="_Toc144805642" w:history="1">
            <w:r w:rsidRPr="00DB4799">
              <w:rPr>
                <w:rStyle w:val="a9"/>
                <w:rFonts w:ascii="Times New Roman" w:eastAsia="楷体" w:hAnsi="Times New Roman"/>
                <w:b/>
                <w:noProof/>
              </w:rPr>
              <w:t>天然橡胶</w:t>
            </w:r>
            <w:r w:rsidRPr="00DB4799">
              <w:rPr>
                <w:rStyle w:val="a9"/>
                <w:rFonts w:ascii="Times New Roman" w:eastAsia="楷体" w:hAnsi="Times New Roman"/>
                <w:b/>
                <w:noProof/>
              </w:rPr>
              <w:t>:</w:t>
            </w:r>
            <w:r w:rsidRPr="00DB4799">
              <w:rPr>
                <w:rStyle w:val="a9"/>
                <w:rFonts w:ascii="楷体" w:eastAsia="楷体" w:hAnsi="楷体"/>
                <w:b/>
                <w:noProof/>
              </w:rPr>
              <w:t xml:space="preserve"> 短期海外产区生产节奏偏换 天胶维持偏强企稳</w:t>
            </w:r>
          </w:hyperlink>
        </w:p>
        <w:p w:rsidR="00E52CE0" w:rsidRDefault="00E52CE0">
          <w:pPr>
            <w:pStyle w:val="23"/>
            <w:tabs>
              <w:tab w:val="right" w:leader="dot" w:pos="8296"/>
            </w:tabs>
            <w:rPr>
              <w:rFonts w:eastAsiaTheme="minorEastAsia"/>
              <w:noProof/>
              <w:szCs w:val="22"/>
            </w:rPr>
          </w:pPr>
          <w:hyperlink w:anchor="_Toc144805643" w:history="1">
            <w:r w:rsidRPr="00DB4799">
              <w:rPr>
                <w:rStyle w:val="a9"/>
                <w:rFonts w:ascii="楷体" w:eastAsia="楷体" w:hAnsi="楷体"/>
                <w:b/>
                <w:noProof/>
              </w:rPr>
              <w:t>PTA：低加工费及成本端支撑仍偏强</w:t>
            </w:r>
          </w:hyperlink>
        </w:p>
        <w:p w:rsidR="00E52CE0" w:rsidRDefault="00E52CE0">
          <w:pPr>
            <w:pStyle w:val="23"/>
            <w:tabs>
              <w:tab w:val="right" w:leader="dot" w:pos="8296"/>
            </w:tabs>
            <w:rPr>
              <w:rFonts w:eastAsiaTheme="minorEastAsia"/>
              <w:noProof/>
              <w:szCs w:val="22"/>
            </w:rPr>
          </w:pPr>
          <w:hyperlink w:anchor="_Toc144805644" w:history="1">
            <w:r w:rsidRPr="00DB4799">
              <w:rPr>
                <w:rStyle w:val="a9"/>
                <w:rFonts w:ascii="楷体" w:eastAsia="楷体" w:hAnsi="楷体"/>
                <w:b/>
                <w:noProof/>
              </w:rPr>
              <w:t>PVC：高库存+弱复苏 驱动不足</w:t>
            </w:r>
          </w:hyperlink>
        </w:p>
        <w:p w:rsidR="00E52CE0" w:rsidRDefault="00E52CE0">
          <w:pPr>
            <w:pStyle w:val="23"/>
            <w:tabs>
              <w:tab w:val="right" w:leader="dot" w:pos="8296"/>
            </w:tabs>
            <w:rPr>
              <w:rFonts w:eastAsiaTheme="minorEastAsia"/>
              <w:noProof/>
              <w:szCs w:val="22"/>
            </w:rPr>
          </w:pPr>
          <w:hyperlink w:anchor="_Toc144805645" w:history="1">
            <w:r w:rsidRPr="00DB4799">
              <w:rPr>
                <w:rStyle w:val="a9"/>
                <w:rFonts w:ascii="楷体" w:eastAsia="楷体" w:hAnsi="楷体"/>
                <w:b/>
                <w:noProof/>
              </w:rPr>
              <w:t>聚烯烃：金九旺季强预期下，PP整体强于PE</w:t>
            </w:r>
          </w:hyperlink>
        </w:p>
        <w:p w:rsidR="00E52CE0" w:rsidRDefault="00E52CE0">
          <w:pPr>
            <w:pStyle w:val="23"/>
            <w:tabs>
              <w:tab w:val="right" w:leader="dot" w:pos="8296"/>
            </w:tabs>
            <w:rPr>
              <w:rFonts w:eastAsiaTheme="minorEastAsia"/>
              <w:noProof/>
              <w:szCs w:val="22"/>
            </w:rPr>
          </w:pPr>
          <w:hyperlink w:anchor="_Toc144805646" w:history="1">
            <w:r w:rsidRPr="00DB4799">
              <w:rPr>
                <w:rStyle w:val="a9"/>
                <w:rFonts w:ascii="楷体" w:eastAsia="楷体" w:hAnsi="楷体"/>
                <w:b/>
                <w:noProof/>
              </w:rPr>
              <w:t>MEG：成本提振但高库存压制反弹空间</w:t>
            </w:r>
          </w:hyperlink>
        </w:p>
        <w:p w:rsidR="00E52CE0" w:rsidRDefault="00E52CE0">
          <w:pPr>
            <w:pStyle w:val="23"/>
            <w:tabs>
              <w:tab w:val="right" w:leader="dot" w:pos="8296"/>
            </w:tabs>
            <w:rPr>
              <w:rFonts w:eastAsiaTheme="minorEastAsia"/>
              <w:noProof/>
              <w:szCs w:val="22"/>
            </w:rPr>
          </w:pPr>
          <w:hyperlink w:anchor="_Toc144805647" w:history="1">
            <w:r w:rsidRPr="00DB4799">
              <w:rPr>
                <w:rStyle w:val="a9"/>
                <w:rFonts w:ascii="楷体" w:eastAsia="楷体" w:hAnsi="楷体"/>
                <w:b/>
                <w:noProof/>
              </w:rPr>
              <w:t>玻璃：产销维持强势，期价高位震荡</w:t>
            </w:r>
          </w:hyperlink>
        </w:p>
        <w:p w:rsidR="00E52CE0" w:rsidRDefault="00E52CE0">
          <w:pPr>
            <w:pStyle w:val="23"/>
            <w:tabs>
              <w:tab w:val="right" w:leader="dot" w:pos="8296"/>
            </w:tabs>
            <w:rPr>
              <w:rFonts w:eastAsiaTheme="minorEastAsia"/>
              <w:noProof/>
              <w:szCs w:val="22"/>
            </w:rPr>
          </w:pPr>
          <w:hyperlink w:anchor="_Toc144805648" w:history="1">
            <w:r w:rsidRPr="00DB4799">
              <w:rPr>
                <w:rStyle w:val="a9"/>
                <w:rFonts w:ascii="楷体" w:eastAsia="楷体" w:hAnsi="楷体"/>
                <w:b/>
                <w:noProof/>
              </w:rPr>
              <w:t>纯碱：现货小幅上涨，盘面宽幅震荡</w:t>
            </w:r>
          </w:hyperlink>
        </w:p>
        <w:p w:rsidR="00E52CE0" w:rsidRDefault="00E52CE0">
          <w:pPr>
            <w:pStyle w:val="11"/>
            <w:tabs>
              <w:tab w:val="right" w:leader="dot" w:pos="8296"/>
            </w:tabs>
            <w:rPr>
              <w:rFonts w:eastAsiaTheme="minorEastAsia"/>
              <w:noProof/>
              <w:szCs w:val="22"/>
            </w:rPr>
          </w:pPr>
          <w:hyperlink w:anchor="_Toc144805649" w:history="1">
            <w:r w:rsidRPr="00DB4799">
              <w:rPr>
                <w:rStyle w:val="a9"/>
                <w:rFonts w:ascii="Times New Roman" w:eastAsia="楷体" w:hAnsi="Times New Roman"/>
                <w:b/>
                <w:noProof/>
              </w:rPr>
              <w:t>[</w:t>
            </w:r>
            <w:r w:rsidRPr="00DB4799">
              <w:rPr>
                <w:rStyle w:val="a9"/>
                <w:rFonts w:ascii="Times New Roman" w:eastAsia="楷体" w:hAnsi="Times New Roman"/>
                <w:b/>
                <w:noProof/>
              </w:rPr>
              <w:t>农产品</w:t>
            </w:r>
            <w:r w:rsidRPr="00DB4799">
              <w:rPr>
                <w:rStyle w:val="a9"/>
                <w:rFonts w:ascii="Times New Roman" w:eastAsia="楷体" w:hAnsi="Times New Roman"/>
                <w:b/>
                <w:noProof/>
              </w:rPr>
              <w:t>]</w:t>
            </w:r>
          </w:hyperlink>
        </w:p>
        <w:p w:rsidR="00E52CE0" w:rsidRDefault="00E52CE0">
          <w:pPr>
            <w:pStyle w:val="23"/>
            <w:tabs>
              <w:tab w:val="right" w:leader="dot" w:pos="8296"/>
            </w:tabs>
            <w:rPr>
              <w:rFonts w:eastAsiaTheme="minorEastAsia"/>
              <w:noProof/>
              <w:szCs w:val="22"/>
            </w:rPr>
          </w:pPr>
          <w:hyperlink w:anchor="_Toc144805650" w:history="1">
            <w:r w:rsidRPr="00DB4799">
              <w:rPr>
                <w:rStyle w:val="a9"/>
                <w:rFonts w:ascii="楷体" w:eastAsia="楷体" w:hAnsi="楷体"/>
                <w:b/>
                <w:noProof/>
              </w:rPr>
              <w:t>豆粕/菜粕：豆菜粕价差拉大，短期延续高位震荡</w:t>
            </w:r>
          </w:hyperlink>
        </w:p>
        <w:p w:rsidR="00E52CE0" w:rsidRDefault="00E52CE0">
          <w:pPr>
            <w:pStyle w:val="23"/>
            <w:tabs>
              <w:tab w:val="right" w:leader="dot" w:pos="8296"/>
            </w:tabs>
            <w:rPr>
              <w:rFonts w:eastAsiaTheme="minorEastAsia"/>
              <w:noProof/>
              <w:szCs w:val="22"/>
            </w:rPr>
          </w:pPr>
          <w:hyperlink w:anchor="_Toc144805651" w:history="1">
            <w:r w:rsidRPr="00DB4799">
              <w:rPr>
                <w:rStyle w:val="a9"/>
                <w:rFonts w:ascii="楷体" w:eastAsia="楷体" w:hAnsi="楷体"/>
                <w:b/>
                <w:noProof/>
              </w:rPr>
              <w:t>油脂：维持宽幅震荡，关注需求端提振</w:t>
            </w:r>
          </w:hyperlink>
        </w:p>
        <w:p w:rsidR="00E52CE0" w:rsidRDefault="00E52CE0">
          <w:pPr>
            <w:pStyle w:val="23"/>
            <w:tabs>
              <w:tab w:val="right" w:leader="dot" w:pos="8296"/>
            </w:tabs>
            <w:rPr>
              <w:rFonts w:eastAsiaTheme="minorEastAsia"/>
              <w:noProof/>
              <w:szCs w:val="22"/>
            </w:rPr>
          </w:pPr>
          <w:hyperlink w:anchor="_Toc144805652" w:history="1">
            <w:r w:rsidRPr="00DB4799">
              <w:rPr>
                <w:rStyle w:val="a9"/>
                <w:rFonts w:ascii="楷体" w:eastAsia="楷体" w:hAnsi="楷体"/>
                <w:b/>
                <w:bCs/>
                <w:noProof/>
              </w:rPr>
              <w:t>玉米与淀粉：</w:t>
            </w:r>
            <w:r w:rsidRPr="00DB4799">
              <w:rPr>
                <w:rStyle w:val="a9"/>
                <w:rFonts w:ascii="楷体" w:eastAsia="楷体" w:hAnsi="楷体"/>
                <w:b/>
                <w:noProof/>
              </w:rPr>
              <w:t>期价大幅回落</w:t>
            </w:r>
          </w:hyperlink>
        </w:p>
        <w:p w:rsidR="00E52CE0" w:rsidRDefault="00E52CE0">
          <w:pPr>
            <w:pStyle w:val="23"/>
            <w:tabs>
              <w:tab w:val="right" w:leader="dot" w:pos="8296"/>
            </w:tabs>
            <w:rPr>
              <w:rFonts w:eastAsiaTheme="minorEastAsia"/>
              <w:noProof/>
              <w:szCs w:val="22"/>
            </w:rPr>
          </w:pPr>
          <w:hyperlink w:anchor="_Toc144805653" w:history="1">
            <w:r w:rsidRPr="00DB4799">
              <w:rPr>
                <w:rStyle w:val="a9"/>
                <w:rFonts w:ascii="楷体" w:eastAsia="楷体" w:hAnsi="楷体"/>
                <w:b/>
                <w:bCs/>
                <w:noProof/>
              </w:rPr>
              <w:t>畜禽养殖：期价震荡分化运行</w:t>
            </w:r>
          </w:hyperlink>
        </w:p>
        <w:p w:rsidR="00E52CE0" w:rsidRDefault="00E52CE0">
          <w:pPr>
            <w:pStyle w:val="23"/>
            <w:tabs>
              <w:tab w:val="right" w:leader="dot" w:pos="8296"/>
            </w:tabs>
            <w:rPr>
              <w:rFonts w:eastAsiaTheme="minorEastAsia"/>
              <w:noProof/>
              <w:szCs w:val="22"/>
            </w:rPr>
          </w:pPr>
          <w:hyperlink w:anchor="_Toc144805654" w:history="1">
            <w:r w:rsidRPr="00DB4799">
              <w:rPr>
                <w:rStyle w:val="a9"/>
                <w:rFonts w:ascii="楷体" w:eastAsia="楷体" w:hAnsi="楷体"/>
                <w:b/>
                <w:noProof/>
              </w:rPr>
              <w:t>郑棉：等待企稳后低多机会，看跌期权卖权持有</w:t>
            </w:r>
          </w:hyperlink>
        </w:p>
        <w:p w:rsidR="00E52CE0" w:rsidRDefault="00E52CE0">
          <w:pPr>
            <w:pStyle w:val="23"/>
            <w:tabs>
              <w:tab w:val="right" w:leader="dot" w:pos="8296"/>
            </w:tabs>
            <w:rPr>
              <w:rFonts w:eastAsiaTheme="minorEastAsia"/>
              <w:noProof/>
              <w:szCs w:val="22"/>
            </w:rPr>
          </w:pPr>
          <w:hyperlink w:anchor="_Toc144805655" w:history="1">
            <w:r w:rsidRPr="00DB4799">
              <w:rPr>
                <w:rStyle w:val="a9"/>
                <w:rFonts w:ascii="楷体" w:eastAsia="楷体" w:hAnsi="楷体"/>
                <w:b/>
                <w:noProof/>
              </w:rPr>
              <w:t>白糖：看跌期权卖权持有</w:t>
            </w:r>
          </w:hyperlink>
        </w:p>
        <w:p w:rsidR="003F56A5" w:rsidRPr="008F2A6E" w:rsidRDefault="00CC3FFA">
          <w:r>
            <w:rPr>
              <w:bCs/>
            </w:rPr>
            <w:fldChar w:fldCharType="end"/>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480562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4805626"/>
      <w:bookmarkEnd w:id="4"/>
      <w:r>
        <w:rPr>
          <w:rFonts w:ascii="Times New Roman" w:eastAsia="楷体" w:hAnsi="Times New Roman" w:hint="eastAsia"/>
          <w:b/>
          <w:color w:val="000000" w:themeColor="text1"/>
          <w:sz w:val="24"/>
          <w:szCs w:val="24"/>
        </w:rPr>
        <w:t>股指：</w:t>
      </w:r>
      <w:bookmarkEnd w:id="6"/>
      <w:bookmarkEnd w:id="7"/>
      <w:r w:rsidR="00E72567" w:rsidRPr="00E72567">
        <w:rPr>
          <w:rFonts w:ascii="Times New Roman" w:eastAsia="楷体" w:hAnsi="Times New Roman" w:hint="eastAsia"/>
          <w:b/>
          <w:color w:val="000000" w:themeColor="text1"/>
          <w:sz w:val="24"/>
          <w:szCs w:val="24"/>
        </w:rPr>
        <w:t>指数多单继续持有</w:t>
      </w:r>
      <w:bookmarkEnd w:id="8"/>
    </w:p>
    <w:p w:rsidR="003F56A5" w:rsidRDefault="00E72567" w:rsidP="00D14B3E">
      <w:pPr>
        <w:ind w:leftChars="300" w:left="630"/>
        <w:rPr>
          <w:rFonts w:ascii="Times New Roman" w:eastAsia="楷体" w:hAnsi="Times New Roman"/>
          <w:color w:val="000000" w:themeColor="text1"/>
          <w:sz w:val="24"/>
          <w:szCs w:val="24"/>
        </w:rPr>
      </w:pPr>
      <w:r w:rsidRPr="00E72567">
        <w:rPr>
          <w:rFonts w:ascii="Times New Roman" w:eastAsia="楷体" w:hAnsi="Times New Roman" w:hint="eastAsia"/>
          <w:color w:val="000000" w:themeColor="text1"/>
          <w:sz w:val="24"/>
          <w:szCs w:val="24"/>
        </w:rPr>
        <w:t>短期</w:t>
      </w:r>
      <w:r w:rsidRPr="00E72567">
        <w:rPr>
          <w:rFonts w:ascii="Times New Roman" w:eastAsia="楷体" w:hAnsi="Times New Roman" w:hint="eastAsia"/>
          <w:color w:val="000000" w:themeColor="text1"/>
          <w:sz w:val="24"/>
          <w:szCs w:val="24"/>
        </w:rPr>
        <w:t>A</w:t>
      </w:r>
      <w:r w:rsidRPr="00E72567">
        <w:rPr>
          <w:rFonts w:ascii="Times New Roman" w:eastAsia="楷体" w:hAnsi="Times New Roman" w:hint="eastAsia"/>
          <w:color w:val="000000" w:themeColor="text1"/>
          <w:sz w:val="24"/>
          <w:szCs w:val="24"/>
        </w:rPr>
        <w:t>股面临的海外环境压力阶段性缓和，北向资金出现回流。国内政策落地层面的悲观预期基本修复，磨底期关注市场博弈后续政策和落地效果，尽管市场尚未完全形成合力，但已逐渐出现底部信号，建议前期指数多单继续持有</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480562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4805628"/>
      <w:r>
        <w:rPr>
          <w:rFonts w:ascii="Times New Roman" w:eastAsia="楷体" w:hAnsi="Times New Roman" w:hint="eastAsia"/>
          <w:b/>
          <w:color w:val="000000" w:themeColor="text1"/>
          <w:sz w:val="24"/>
          <w:szCs w:val="24"/>
        </w:rPr>
        <w:t>贵金属：</w:t>
      </w:r>
      <w:r w:rsidR="00E72567" w:rsidRPr="00E72567">
        <w:rPr>
          <w:rFonts w:ascii="Times New Roman" w:eastAsia="楷体" w:hAnsi="Times New Roman" w:hint="eastAsia"/>
          <w:b/>
          <w:color w:val="000000" w:themeColor="text1"/>
          <w:sz w:val="24"/>
          <w:szCs w:val="24"/>
        </w:rPr>
        <w:t>欧央行行长提示通胀风险，贵金属价格小幅回落</w:t>
      </w:r>
      <w:bookmarkEnd w:id="10"/>
    </w:p>
    <w:p w:rsidR="003F56A5" w:rsidRDefault="00E72567">
      <w:pPr>
        <w:ind w:leftChars="300" w:left="630"/>
        <w:rPr>
          <w:rFonts w:ascii="Times New Roman" w:eastAsia="楷体" w:hAnsi="Times New Roman"/>
          <w:sz w:val="24"/>
          <w:szCs w:val="24"/>
        </w:rPr>
      </w:pPr>
      <w:r w:rsidRPr="00E72567">
        <w:rPr>
          <w:rFonts w:ascii="Times New Roman" w:eastAsia="楷体" w:hAnsi="Times New Roman" w:hint="eastAsia"/>
          <w:color w:val="000000" w:themeColor="text1"/>
          <w:sz w:val="24"/>
          <w:szCs w:val="24"/>
        </w:rPr>
        <w:t>欧央行行长拉加德称，欧元区处于通胀过高的环境中，将及时让通胀回归至</w:t>
      </w:r>
      <w:r w:rsidRPr="00E72567">
        <w:rPr>
          <w:rFonts w:ascii="Times New Roman" w:eastAsia="楷体" w:hAnsi="Times New Roman" w:hint="eastAsia"/>
          <w:color w:val="000000" w:themeColor="text1"/>
          <w:sz w:val="24"/>
          <w:szCs w:val="24"/>
        </w:rPr>
        <w:t>2%</w:t>
      </w:r>
      <w:r w:rsidRPr="00E72567">
        <w:rPr>
          <w:rFonts w:ascii="Times New Roman" w:eastAsia="楷体" w:hAnsi="Times New Roman" w:hint="eastAsia"/>
          <w:color w:val="000000" w:themeColor="text1"/>
          <w:sz w:val="24"/>
          <w:szCs w:val="24"/>
        </w:rPr>
        <w:t>。美元指数下跌</w:t>
      </w:r>
      <w:r w:rsidRPr="00E72567">
        <w:rPr>
          <w:rFonts w:ascii="Times New Roman" w:eastAsia="楷体" w:hAnsi="Times New Roman" w:hint="eastAsia"/>
          <w:color w:val="000000" w:themeColor="text1"/>
          <w:sz w:val="24"/>
          <w:szCs w:val="24"/>
        </w:rPr>
        <w:t>0.15%</w:t>
      </w:r>
      <w:r w:rsidRPr="00E72567">
        <w:rPr>
          <w:rFonts w:ascii="Times New Roman" w:eastAsia="楷体" w:hAnsi="Times New Roman" w:hint="eastAsia"/>
          <w:color w:val="000000" w:themeColor="text1"/>
          <w:sz w:val="24"/>
          <w:szCs w:val="24"/>
        </w:rPr>
        <w:t>至</w:t>
      </w:r>
      <w:r w:rsidRPr="00E72567">
        <w:rPr>
          <w:rFonts w:ascii="Times New Roman" w:eastAsia="楷体" w:hAnsi="Times New Roman" w:hint="eastAsia"/>
          <w:color w:val="000000" w:themeColor="text1"/>
          <w:sz w:val="24"/>
          <w:szCs w:val="24"/>
        </w:rPr>
        <w:t>104.12</w:t>
      </w:r>
      <w:r w:rsidRPr="00E72567">
        <w:rPr>
          <w:rFonts w:ascii="Times New Roman" w:eastAsia="楷体" w:hAnsi="Times New Roman" w:hint="eastAsia"/>
          <w:color w:val="000000" w:themeColor="text1"/>
          <w:sz w:val="24"/>
          <w:szCs w:val="24"/>
        </w:rPr>
        <w:t>。美十债维持高位，暂报</w:t>
      </w:r>
      <w:r w:rsidRPr="00E72567">
        <w:rPr>
          <w:rFonts w:ascii="Times New Roman" w:eastAsia="楷体" w:hAnsi="Times New Roman" w:hint="eastAsia"/>
          <w:color w:val="000000" w:themeColor="text1"/>
          <w:sz w:val="24"/>
          <w:szCs w:val="24"/>
        </w:rPr>
        <w:t>4.211%</w:t>
      </w:r>
      <w:r w:rsidRPr="00E72567">
        <w:rPr>
          <w:rFonts w:ascii="Times New Roman" w:eastAsia="楷体" w:hAnsi="Times New Roman" w:hint="eastAsia"/>
          <w:color w:val="000000" w:themeColor="text1"/>
          <w:sz w:val="24"/>
          <w:szCs w:val="24"/>
        </w:rPr>
        <w:t>，或提示降息交易暂告一段落，市场预期美国利率水平将长期维持高位。非农数据强于预期而美国失业率上行，昨夜沪金、沪银小幅回落，中长线看多思路不变，建议沪金、沪银逢低试多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480562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4805630"/>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E72567" w:rsidRPr="00E72567">
        <w:rPr>
          <w:rFonts w:ascii="楷体" w:eastAsia="楷体" w:hAnsi="楷体" w:hint="eastAsia"/>
          <w:b/>
          <w:color w:val="000000" w:themeColor="text1"/>
          <w:sz w:val="24"/>
          <w:szCs w:val="24"/>
        </w:rPr>
        <w:t>江西省发布行动方案推动产业发展，期价小幅回升</w:t>
      </w:r>
      <w:bookmarkEnd w:id="18"/>
    </w:p>
    <w:p w:rsidR="00F50569" w:rsidRDefault="00E72567" w:rsidP="00F50569">
      <w:pPr>
        <w:ind w:leftChars="300" w:left="630"/>
        <w:rPr>
          <w:rFonts w:ascii="楷体" w:eastAsia="楷体" w:hAnsi="楷体"/>
          <w:color w:val="000000" w:themeColor="text1"/>
          <w:sz w:val="24"/>
          <w:szCs w:val="24"/>
        </w:rPr>
      </w:pPr>
      <w:r w:rsidRPr="00E72567">
        <w:rPr>
          <w:rFonts w:ascii="楷体" w:eastAsia="楷体" w:hAnsi="楷体" w:hint="eastAsia"/>
          <w:color w:val="000000" w:themeColor="text1"/>
          <w:sz w:val="24"/>
          <w:szCs w:val="24"/>
        </w:rPr>
        <w:t>江西省制定新能源产业链现代化建设行动方案（2023-2026年），引导锂电产业有序布局，加强资源综合利用，推进产业基础高级化和产业链现代化，推动全省新能源产业链高质量发展。昨日期价小幅反弹，当前贴近19万元/吨运行，多空维持博弈。因氢氧化锂需求偏弱，部分厂商拟转产碳酸锂。下游仍未启动大规模补库，采购维持谨慎，现货暂稳运行</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4805631"/>
      <w:r>
        <w:rPr>
          <w:rFonts w:ascii="楷体" w:eastAsia="楷体" w:hAnsi="楷体" w:hint="eastAsia"/>
          <w:b/>
          <w:color w:val="000000" w:themeColor="text1"/>
          <w:sz w:val="24"/>
          <w:szCs w:val="24"/>
        </w:rPr>
        <w:t>螺纹钢：</w:t>
      </w:r>
      <w:bookmarkEnd w:id="16"/>
      <w:bookmarkEnd w:id="17"/>
      <w:r w:rsidR="00E72567" w:rsidRPr="00E72567">
        <w:rPr>
          <w:rFonts w:ascii="楷体" w:eastAsia="楷体" w:hAnsi="楷体" w:hint="eastAsia"/>
          <w:b/>
          <w:color w:val="000000" w:themeColor="text1"/>
          <w:sz w:val="24"/>
          <w:szCs w:val="24"/>
        </w:rPr>
        <w:t>期现冲高回落，下方成本支撑仍偏强，预计短期或震荡整理</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E72567" w:rsidP="00201944">
      <w:pPr>
        <w:ind w:leftChars="300" w:left="630"/>
        <w:rPr>
          <w:rFonts w:ascii="楷体" w:eastAsia="楷体" w:hAnsi="楷体"/>
          <w:color w:val="000000" w:themeColor="text1"/>
          <w:sz w:val="24"/>
          <w:szCs w:val="24"/>
        </w:rPr>
      </w:pPr>
      <w:r w:rsidRPr="00E72567">
        <w:rPr>
          <w:rFonts w:ascii="楷体" w:eastAsia="楷体" w:hAnsi="楷体" w:hint="eastAsia"/>
          <w:color w:val="000000" w:themeColor="text1"/>
          <w:sz w:val="24"/>
          <w:szCs w:val="24"/>
        </w:rPr>
        <w:t>昨日杭州、上海现货价格随盘面冲高回落，但低价地区补涨，成交有所放量。短期成本端支撑仍较强，大幅度拉涨后震荡调整，等待现实需求跟进</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4805632"/>
      <w:r>
        <w:rPr>
          <w:rFonts w:ascii="楷体" w:eastAsia="楷体" w:hAnsi="楷体" w:hint="eastAsia"/>
          <w:b/>
          <w:color w:val="000000" w:themeColor="text1"/>
          <w:sz w:val="24"/>
          <w:szCs w:val="24"/>
        </w:rPr>
        <w:t>焦炭：</w:t>
      </w:r>
      <w:bookmarkEnd w:id="20"/>
      <w:bookmarkEnd w:id="21"/>
      <w:r w:rsidR="00E72567" w:rsidRPr="00E72567">
        <w:rPr>
          <w:rFonts w:ascii="楷体" w:eastAsia="楷体" w:hAnsi="楷体" w:hint="eastAsia"/>
          <w:b/>
          <w:color w:val="000000" w:themeColor="text1"/>
          <w:sz w:val="24"/>
          <w:szCs w:val="24"/>
        </w:rPr>
        <w:t>现货价格继续小幅度跟涨，盘面涨幅过快下震荡整理</w:t>
      </w:r>
      <w:bookmarkEnd w:id="22"/>
    </w:p>
    <w:p w:rsidR="003F56A5" w:rsidRDefault="00E72567" w:rsidP="00572E35">
      <w:pPr>
        <w:ind w:leftChars="300" w:left="630"/>
        <w:rPr>
          <w:rFonts w:ascii="楷体" w:eastAsia="楷体" w:hAnsi="楷体"/>
          <w:color w:val="000000" w:themeColor="text1"/>
          <w:sz w:val="24"/>
          <w:szCs w:val="24"/>
        </w:rPr>
      </w:pPr>
      <w:r w:rsidRPr="00E72567">
        <w:rPr>
          <w:rFonts w:ascii="楷体" w:eastAsia="楷体" w:hAnsi="楷体" w:hint="eastAsia"/>
          <w:color w:val="000000" w:themeColor="text1"/>
          <w:sz w:val="24"/>
          <w:szCs w:val="24"/>
        </w:rPr>
        <w:t>港口现上涨20元/吨，上游减产下成本端大幅度上行，但下游现实需求仍具有一定压力，短期面临淡旺季切换及宏观政策利好下，盘面或偏强运行，短期涨幅过快下震荡整理</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4805633"/>
      <w:r>
        <w:rPr>
          <w:rFonts w:ascii="楷体" w:eastAsia="楷体" w:hAnsi="楷体" w:hint="eastAsia"/>
          <w:b/>
          <w:color w:val="000000" w:themeColor="text1"/>
          <w:sz w:val="24"/>
          <w:szCs w:val="24"/>
        </w:rPr>
        <w:t>焦煤：</w:t>
      </w:r>
      <w:r w:rsidR="00E72567" w:rsidRPr="00E72567">
        <w:rPr>
          <w:rFonts w:ascii="楷体" w:eastAsia="楷体" w:hAnsi="楷体" w:hint="eastAsia"/>
          <w:b/>
          <w:sz w:val="24"/>
          <w:szCs w:val="24"/>
        </w:rPr>
        <w:t>蒙煤价格继续上涨，盘面涨幅过快下震荡整理</w:t>
      </w:r>
      <w:bookmarkEnd w:id="23"/>
    </w:p>
    <w:p w:rsidR="003F56A5" w:rsidRDefault="00E72567">
      <w:pPr>
        <w:ind w:leftChars="300" w:left="630"/>
        <w:rPr>
          <w:rFonts w:ascii="楷体" w:eastAsia="楷体" w:hAnsi="楷体"/>
          <w:bCs/>
          <w:sz w:val="24"/>
          <w:szCs w:val="24"/>
        </w:rPr>
      </w:pPr>
      <w:r w:rsidRPr="00E72567">
        <w:rPr>
          <w:rFonts w:ascii="楷体" w:eastAsia="楷体" w:hAnsi="楷体" w:hint="eastAsia"/>
          <w:sz w:val="24"/>
          <w:szCs w:val="24"/>
        </w:rPr>
        <w:t>昨日蒙煤原煤上涨40元/吨，短期下游面临淡旺季切换及宏观政策利好，整体走势偏强。而焦煤短期处于供应偏紧状态，在煤矿未大幅度复产或成材需求证伪情况下，价格仍偏强运行。短期盘面涨幅过快下，冲高回落震荡整理</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4805634"/>
      <w:r>
        <w:rPr>
          <w:rFonts w:ascii="楷体" w:eastAsia="楷体" w:hAnsi="楷体" w:hint="eastAsia"/>
          <w:b/>
          <w:color w:val="000000" w:themeColor="text1"/>
          <w:sz w:val="24"/>
          <w:szCs w:val="24"/>
        </w:rPr>
        <w:lastRenderedPageBreak/>
        <w:t>铜：</w:t>
      </w:r>
      <w:bookmarkEnd w:id="24"/>
      <w:bookmarkEnd w:id="25"/>
      <w:r w:rsidR="00E72567" w:rsidRPr="00E72567">
        <w:rPr>
          <w:rFonts w:ascii="楷体" w:eastAsia="楷体" w:hAnsi="楷体" w:hint="eastAsia"/>
          <w:b/>
          <w:color w:val="000000" w:themeColor="text1"/>
          <w:sz w:val="24"/>
          <w:szCs w:val="24"/>
        </w:rPr>
        <w:t>区间内震荡偏强运行</w:t>
      </w:r>
      <w:bookmarkEnd w:id="26"/>
    </w:p>
    <w:p w:rsidR="00E72567" w:rsidRPr="00E72567" w:rsidRDefault="00E72567" w:rsidP="00E72567">
      <w:pPr>
        <w:ind w:leftChars="300" w:left="630"/>
        <w:rPr>
          <w:rFonts w:ascii="楷体" w:eastAsia="楷体" w:hAnsi="楷体" w:hint="eastAsia"/>
          <w:color w:val="000000" w:themeColor="text1"/>
          <w:sz w:val="24"/>
          <w:szCs w:val="24"/>
        </w:rPr>
      </w:pPr>
      <w:r w:rsidRPr="00E72567">
        <w:rPr>
          <w:rFonts w:ascii="楷体" w:eastAsia="楷体" w:hAnsi="楷体" w:hint="eastAsia"/>
          <w:color w:val="000000" w:themeColor="text1"/>
          <w:sz w:val="24"/>
          <w:szCs w:val="24"/>
        </w:rPr>
        <w:t>(1)库存：9月4日，SHFE仓单库存7285吨，持平；LME仓单库存107425吨，增3150吨。</w:t>
      </w:r>
    </w:p>
    <w:p w:rsidR="00E72567" w:rsidRPr="00E72567" w:rsidRDefault="00E72567" w:rsidP="00E72567">
      <w:pPr>
        <w:ind w:leftChars="300" w:left="630"/>
        <w:rPr>
          <w:rFonts w:ascii="楷体" w:eastAsia="楷体" w:hAnsi="楷体" w:hint="eastAsia"/>
          <w:color w:val="000000" w:themeColor="text1"/>
          <w:sz w:val="24"/>
          <w:szCs w:val="24"/>
        </w:rPr>
      </w:pPr>
      <w:r w:rsidRPr="00E72567">
        <w:rPr>
          <w:rFonts w:ascii="楷体" w:eastAsia="楷体" w:hAnsi="楷体" w:hint="eastAsia"/>
          <w:color w:val="000000" w:themeColor="text1"/>
          <w:sz w:val="24"/>
          <w:szCs w:val="24"/>
        </w:rPr>
        <w:t>(2)精废价差：9月4日，Mysteel精废价差1846，收窄6。目前价差在合理价差1401之上。</w:t>
      </w:r>
    </w:p>
    <w:p w:rsidR="00E72567" w:rsidRPr="00E72567" w:rsidRDefault="00E72567" w:rsidP="00E72567">
      <w:pPr>
        <w:ind w:leftChars="300" w:left="630"/>
        <w:rPr>
          <w:rFonts w:ascii="楷体" w:eastAsia="楷体" w:hAnsi="楷体"/>
          <w:color w:val="000000" w:themeColor="text1"/>
          <w:sz w:val="24"/>
          <w:szCs w:val="24"/>
        </w:rPr>
      </w:pPr>
    </w:p>
    <w:p w:rsidR="00127803" w:rsidRPr="00127803" w:rsidRDefault="00E72567" w:rsidP="00E72567">
      <w:pPr>
        <w:ind w:leftChars="300" w:left="630"/>
        <w:rPr>
          <w:rFonts w:ascii="楷体" w:eastAsia="楷体" w:hAnsi="楷体"/>
          <w:color w:val="000000" w:themeColor="text1"/>
          <w:sz w:val="24"/>
          <w:szCs w:val="24"/>
        </w:rPr>
      </w:pPr>
      <w:r w:rsidRPr="00E72567">
        <w:rPr>
          <w:rFonts w:ascii="楷体" w:eastAsia="楷体" w:hAnsi="楷体" w:hint="eastAsia"/>
          <w:color w:val="000000" w:themeColor="text1"/>
          <w:sz w:val="24"/>
          <w:szCs w:val="24"/>
        </w:rPr>
        <w:t>综述：非农数据显示美国劳动力市场保持韧性。8月薪资环比增速降温，预计9月美联储或暂停加息，未来加息路径依赖数据变动，未来货币政策仍存在不确定性，美元指数维持偏强运行，铜价上限压力仍存。国内“认房不认贷”、降低存量房贷款利率等一系列刺激政策助推消费改善的乐观预期，铜市现货升水结构保持强势，低库存叠加旺季预期，基本面仍有较强支撑。短期维持震荡偏多运行，参考68500-71000</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4805635"/>
      <w:r>
        <w:rPr>
          <w:rFonts w:ascii="楷体" w:eastAsia="楷体" w:hAnsi="楷体" w:hint="eastAsia"/>
          <w:b/>
          <w:color w:val="000000" w:themeColor="text1"/>
          <w:sz w:val="24"/>
          <w:szCs w:val="24"/>
        </w:rPr>
        <w:t>铝：</w:t>
      </w:r>
      <w:bookmarkEnd w:id="27"/>
      <w:bookmarkEnd w:id="28"/>
      <w:r w:rsidR="000C4F17" w:rsidRPr="000C4F17">
        <w:rPr>
          <w:rFonts w:ascii="楷体" w:eastAsia="楷体" w:hAnsi="楷体" w:hint="eastAsia"/>
          <w:b/>
          <w:color w:val="000000" w:themeColor="text1"/>
          <w:sz w:val="24"/>
          <w:szCs w:val="24"/>
        </w:rPr>
        <w:t>铝价区间偏强震荡</w:t>
      </w:r>
      <w:bookmarkEnd w:id="29"/>
    </w:p>
    <w:p w:rsidR="003F56A5" w:rsidRDefault="000C4F17" w:rsidP="00127803">
      <w:pPr>
        <w:ind w:leftChars="300" w:left="630"/>
        <w:rPr>
          <w:rFonts w:ascii="楷体" w:eastAsia="楷体" w:hAnsi="楷体"/>
          <w:color w:val="000000" w:themeColor="text1"/>
          <w:sz w:val="24"/>
          <w:szCs w:val="24"/>
        </w:rPr>
      </w:pPr>
      <w:r w:rsidRPr="000C4F17">
        <w:rPr>
          <w:rFonts w:ascii="楷体" w:eastAsia="楷体" w:hAnsi="楷体" w:hint="eastAsia"/>
          <w:color w:val="000000" w:themeColor="text1"/>
          <w:sz w:val="24"/>
          <w:szCs w:val="24"/>
        </w:rPr>
        <w:t>美国8月ADP新增就业人数低于预期，美国通胀有所抑制，联储加息预期降温，国内出台多项利好政策但市场情绪提振有限。基本面供需双增，云南复产接近尾声，铝水比例维持高位，铝锭产量走低，进口盈利窗口打开，进口铝锭持续补充带来增量，库存依旧表现为季节性偏低位去库，进入金九银十旺季，需求边际回暖预期走强，低库存叠加消费改善预期带动铝价偏强运行</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4805636"/>
      <w:r>
        <w:rPr>
          <w:rFonts w:ascii="楷体" w:eastAsia="楷体" w:hAnsi="楷体" w:hint="eastAsia"/>
          <w:b/>
          <w:color w:val="000000" w:themeColor="text1"/>
          <w:sz w:val="24"/>
          <w:szCs w:val="24"/>
        </w:rPr>
        <w:t>锌：</w:t>
      </w:r>
      <w:r w:rsidR="00E72567" w:rsidRPr="00E72567">
        <w:rPr>
          <w:rFonts w:ascii="楷体" w:eastAsia="楷体" w:hAnsi="楷体" w:hint="eastAsia"/>
          <w:b/>
          <w:color w:val="000000" w:themeColor="text1"/>
          <w:sz w:val="24"/>
          <w:szCs w:val="24"/>
        </w:rPr>
        <w:t>观望锌价上方压力位</w:t>
      </w:r>
      <w:bookmarkEnd w:id="30"/>
    </w:p>
    <w:p w:rsidR="003F56A5" w:rsidRDefault="00E72567" w:rsidP="000B0648">
      <w:pPr>
        <w:ind w:leftChars="300" w:left="630"/>
        <w:rPr>
          <w:rFonts w:ascii="楷体" w:eastAsia="楷体" w:hAnsi="楷体"/>
          <w:color w:val="000000" w:themeColor="text1"/>
          <w:sz w:val="24"/>
          <w:szCs w:val="24"/>
        </w:rPr>
      </w:pPr>
      <w:r w:rsidRPr="00E72567">
        <w:rPr>
          <w:rFonts w:ascii="楷体" w:eastAsia="楷体" w:hAnsi="楷体" w:hint="eastAsia"/>
          <w:color w:val="000000" w:themeColor="text1"/>
          <w:sz w:val="24"/>
          <w:szCs w:val="24"/>
        </w:rPr>
        <w:t>联储加息节奏再度放缓，美国通胀压力缓解但依旧未达到目标要求，美元指数强势运行，国内政策利多情绪释放，宏观情绪多空交织。国内矿端供应宽松偏稳，冶炼方面除常规检修和湖南地区临时检修以外，其他地区正常开产，锌市目前现货偏紧导致市场价格升水，进口锌锭持续补充。需求来看，下游企业逢低采买，但加工企业开工率暂无明显改善，目前锌库维持低位去库。短期在低库存叠加未来进入旺季消费将有改善预期的情况下，锌价在2w上方偏强震荡运行，观望21500压力位置</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4805637"/>
      <w:r>
        <w:rPr>
          <w:rFonts w:ascii="楷体" w:eastAsia="楷体" w:hAnsi="楷体" w:hint="eastAsia"/>
          <w:b/>
          <w:color w:val="000000" w:themeColor="text1"/>
          <w:sz w:val="24"/>
          <w:szCs w:val="24"/>
        </w:rPr>
        <w:t>镍：</w:t>
      </w:r>
      <w:r w:rsidR="00E72567" w:rsidRPr="00E72567">
        <w:rPr>
          <w:rFonts w:ascii="楷体" w:eastAsia="楷体" w:hAnsi="楷体" w:hint="eastAsia"/>
          <w:b/>
          <w:color w:val="000000" w:themeColor="text1"/>
          <w:sz w:val="24"/>
          <w:szCs w:val="24"/>
        </w:rPr>
        <w:t>供增需弱现实因素压制镍价上行空间</w:t>
      </w:r>
      <w:bookmarkEnd w:id="31"/>
    </w:p>
    <w:p w:rsidR="003F56A5" w:rsidRDefault="00E72567">
      <w:pPr>
        <w:ind w:leftChars="300" w:left="630"/>
        <w:rPr>
          <w:rFonts w:ascii="楷体" w:eastAsia="楷体" w:hAnsi="楷体"/>
          <w:color w:val="000000" w:themeColor="text1"/>
          <w:sz w:val="24"/>
          <w:szCs w:val="24"/>
        </w:rPr>
      </w:pPr>
      <w:r w:rsidRPr="00E72567">
        <w:rPr>
          <w:rFonts w:ascii="楷体" w:eastAsia="楷体" w:hAnsi="楷体" w:hint="eastAsia"/>
          <w:color w:val="000000" w:themeColor="text1"/>
          <w:sz w:val="24"/>
          <w:szCs w:val="24"/>
        </w:rPr>
        <w:t>宏观情绪持续改善，国内资本市场、房地产等方面的政策密集出台，提振市场信心；美国非农就业人数和ADP就业人数反映劳动市场紧张局势放缓，美联储暂停加息预期升温。成本方面，印尼镍矿RKAB事件仍在持续，镍矿和镍铁价格坚挺，一定程度上拉升镍产业链成本。供应方面，镍的存量项目和新投产项目产量逐步释放，供应将日渐走向显著过剩。需求方面，在政策的助推下，市场对于金九这一传统旺季持有需求修复预期。沪镍从Back结构转向Contango结构，反映市场看好远月镍价。上周社会库存去化，降幅达7.12%，且海内外库存处于历史低位，支撑镍价。综合来看，短期或在宏观利好与需求好转预期主导下窄幅震荡偏强，但供应趋增对镍价上行空间存在明显压制</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4805638"/>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E72567" w:rsidRPr="00E72567">
        <w:rPr>
          <w:rFonts w:ascii="楷体" w:eastAsia="楷体" w:hAnsi="楷体" w:hint="eastAsia"/>
          <w:b/>
          <w:color w:val="000000" w:themeColor="text1"/>
          <w:sz w:val="24"/>
          <w:szCs w:val="24"/>
        </w:rPr>
        <w:t>铝市供需双修，观望价格上方压力位</w:t>
      </w:r>
      <w:bookmarkEnd w:id="32"/>
    </w:p>
    <w:p w:rsidR="008B13D2" w:rsidRPr="008B13D2" w:rsidRDefault="00E72567" w:rsidP="008B13D2">
      <w:pPr>
        <w:ind w:leftChars="300" w:left="630"/>
        <w:rPr>
          <w:rFonts w:ascii="楷体" w:eastAsia="楷体" w:hAnsi="楷体"/>
          <w:color w:val="000000" w:themeColor="text1"/>
          <w:sz w:val="24"/>
          <w:szCs w:val="24"/>
        </w:rPr>
      </w:pPr>
      <w:r w:rsidRPr="00E72567">
        <w:rPr>
          <w:rFonts w:ascii="楷体" w:eastAsia="楷体" w:hAnsi="楷体" w:hint="eastAsia"/>
          <w:color w:val="000000" w:themeColor="text1"/>
          <w:sz w:val="24"/>
          <w:szCs w:val="24"/>
        </w:rPr>
        <w:t>美国劳动力市场仍有韧性，联储9月加息倾向暂停，国内政策面持续释放</w:t>
      </w:r>
      <w:r w:rsidRPr="00E72567">
        <w:rPr>
          <w:rFonts w:ascii="楷体" w:eastAsia="楷体" w:hAnsi="楷体" w:hint="eastAsia"/>
          <w:color w:val="000000" w:themeColor="text1"/>
          <w:sz w:val="24"/>
          <w:szCs w:val="24"/>
        </w:rPr>
        <w:lastRenderedPageBreak/>
        <w:t>利好。基本面上，矿端供应走紧，电解铝生产理论成本支撑下行，电解铝生产利润持续修复，刺激厂家积极投产。云南地区电解铝复产完成，目前电解铝运行产能在4270万吨左右，开工率达到历史峰值，后续电解铝供应压力逐步走增，交易所库存及社会库存维持低位。铝下游开工率分化，建材需求表现一般，工业材需求走增，金九银十消费旺到来，以及国内消费利好政策密集落地，市场对电解铝需求有修复预期。进入9月，供应端维持高产能投放，需求进入旺季叠加有政策面利多支持，铝价或再度摸高，但政策信心仍需市场现实验证，观望19500压力位</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4805639"/>
      <w:r>
        <w:rPr>
          <w:rFonts w:ascii="楷体" w:eastAsia="楷体" w:hAnsi="楷体" w:hint="eastAsia"/>
          <w:b/>
          <w:color w:val="000000" w:themeColor="text1"/>
          <w:sz w:val="24"/>
          <w:szCs w:val="24"/>
        </w:rPr>
        <w:t>不锈钢：</w:t>
      </w:r>
      <w:r w:rsidR="00E72567" w:rsidRPr="00E72567">
        <w:rPr>
          <w:rFonts w:ascii="楷体" w:eastAsia="楷体" w:hAnsi="楷体" w:hint="eastAsia"/>
          <w:b/>
          <w:color w:val="000000" w:themeColor="text1"/>
          <w:sz w:val="24"/>
          <w:szCs w:val="24"/>
        </w:rPr>
        <w:t>政策利多情绪叠加旺季需求增量预期，短期或震荡偏强</w:t>
      </w:r>
      <w:bookmarkEnd w:id="33"/>
    </w:p>
    <w:p w:rsidR="003F56A5" w:rsidRDefault="00E72567">
      <w:pPr>
        <w:ind w:leftChars="300" w:left="630"/>
        <w:rPr>
          <w:rFonts w:ascii="楷体" w:eastAsia="楷体" w:hAnsi="楷体"/>
          <w:color w:val="000000" w:themeColor="text1"/>
          <w:sz w:val="24"/>
          <w:szCs w:val="24"/>
        </w:rPr>
      </w:pPr>
      <w:r w:rsidRPr="00E72567">
        <w:rPr>
          <w:rFonts w:ascii="楷体" w:eastAsia="楷体" w:hAnsi="楷体" w:hint="eastAsia"/>
          <w:color w:val="000000" w:themeColor="text1"/>
          <w:sz w:val="24"/>
          <w:szCs w:val="24"/>
        </w:rPr>
        <w:t>近期宏观政策利好频出，尤其是地产方面存量首套住房贷款利率降低，“认房不认贷”政策落地一线城市，修复地产市场信心，改善地产市场需求。9月是不锈钢的传统消费旺季，在宏观政策的助推下市场对不锈钢需求有增量预期。印尼镍矿RKAB事件仍在发酵，加上目前处于雨季前的备库期，镍矿和镍铁价格高位运行，为不锈钢带来有力支撑。社会库存大幅累库，对不锈钢上行空间存在压制。综合来看，在政策利多情绪和旺季需求增量预期下，短期不锈钢价或震荡偏强。关注印尼镍矿RKAB事件走向和需求预期能否兑现</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4805640"/>
      <w:r>
        <w:rPr>
          <w:rFonts w:ascii="楷体" w:eastAsia="楷体" w:hAnsi="楷体" w:hint="eastAsia"/>
          <w:b/>
          <w:color w:val="000000" w:themeColor="text1"/>
          <w:sz w:val="24"/>
          <w:szCs w:val="24"/>
        </w:rPr>
        <w:t>工业硅：</w:t>
      </w:r>
      <w:r w:rsidR="00E72567" w:rsidRPr="00E72567">
        <w:rPr>
          <w:rFonts w:ascii="楷体" w:eastAsia="楷体" w:hAnsi="楷体" w:hint="eastAsia"/>
          <w:b/>
          <w:sz w:val="24"/>
          <w:szCs w:val="24"/>
        </w:rPr>
        <w:t>传统旺季来临，盘面或将偏强运行</w:t>
      </w:r>
      <w:bookmarkEnd w:id="34"/>
    </w:p>
    <w:p w:rsidR="003F56A5" w:rsidRDefault="00E72567" w:rsidP="00827E8A">
      <w:pPr>
        <w:ind w:leftChars="300" w:left="630"/>
        <w:rPr>
          <w:rFonts w:ascii="楷体" w:eastAsia="楷体" w:hAnsi="楷体"/>
          <w:sz w:val="24"/>
          <w:szCs w:val="24"/>
        </w:rPr>
      </w:pPr>
      <w:r w:rsidRPr="00E72567">
        <w:rPr>
          <w:rFonts w:ascii="楷体" w:eastAsia="楷体" w:hAnsi="楷体" w:hint="eastAsia"/>
          <w:sz w:val="24"/>
          <w:szCs w:val="24"/>
        </w:rPr>
        <w:t>9月4日，Si2310主力合约呈冲高回落走势，收盘价13845元/吨，较上一收盘价涨跌幅+0.29%。传统旺季来临，下游三大消费领域均有改善预期。有机硅方面，部分检修企业装置恢复重启，开工有所上行，需求也有所增加;多晶硅方面，市场持续反弹，使得新增规划产能开始陆续投产，对于工业硅需求将增加;铝合金方面，消费旺季来临，企业开工将逐步提升，但前期已有备货，对工业硅需求或稍有增加。整体来看，在国家陆续出台众多刺激房地产政策，有望增强市场信心，叠加需求改善预期下，预计市场或将偏强运行。策略上，维持逢低试多操作</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480564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5B790A" w:rsidRDefault="00CC3FFA" w:rsidP="005B790A">
      <w:pPr>
        <w:ind w:firstLineChars="200" w:firstLine="482"/>
        <w:outlineLvl w:val="1"/>
        <w:rPr>
          <w:rFonts w:ascii="楷体" w:eastAsia="楷体" w:hAnsi="楷体"/>
          <w:b/>
          <w:sz w:val="24"/>
          <w:szCs w:val="24"/>
        </w:rPr>
      </w:pPr>
      <w:bookmarkStart w:id="37" w:name="_Toc144805642"/>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E72567" w:rsidRPr="00E72567">
        <w:rPr>
          <w:rFonts w:ascii="楷体" w:eastAsia="楷体" w:hAnsi="楷体" w:hint="eastAsia"/>
          <w:b/>
          <w:sz w:val="24"/>
          <w:szCs w:val="24"/>
        </w:rPr>
        <w:t>短期海外产区生产节奏偏换 天胶维持偏强企稳</w:t>
      </w:r>
      <w:bookmarkEnd w:id="37"/>
    </w:p>
    <w:p w:rsidR="003F56A5" w:rsidRDefault="00E72567">
      <w:pPr>
        <w:ind w:leftChars="300" w:left="630"/>
        <w:rPr>
          <w:rFonts w:ascii="楷体" w:eastAsia="楷体" w:hAnsi="楷体"/>
          <w:sz w:val="24"/>
          <w:szCs w:val="24"/>
        </w:rPr>
      </w:pPr>
      <w:r w:rsidRPr="00E72567">
        <w:rPr>
          <w:rFonts w:ascii="楷体" w:eastAsia="楷体" w:hAnsi="楷体" w:hint="eastAsia"/>
          <w:sz w:val="24"/>
          <w:szCs w:val="24"/>
        </w:rPr>
        <w:t>点评：供给端，尽管全球即将进入季节性增产阶段，但近期主产区泰国、越南受到大面积降雨干扰，割胶工作开展受限，原料产出维持偏少状态，加之乳胶制品需求回暖拉涨原料价格，对胶价存一定支撑。8-9月份天胶到港量偏少，近三周港口库存延续小幅去库态势，提振市场信心。需求端来看，下游轮胎企业开工率半钢胎略好于全钢胎，国内稳经济政策将有利于轮胎替换及配套需求的改善。此外，半钢胎外贸雪地胎需求旺盛，将进一步支撑半钢胎开工率高位运行。前期检修的全钢胎厂目前也恢复生产，因此近两周全钢胎开工率提升明显。整体看，轮胎平稳排产、表现强劲。终端汽车方面，7月数据同环比均有所走弱，但仍处于近十年同期次高位。整体看，橡胶供应压力小幅缓解，浓乳下游需求季节性补库，下游轮胎排产顺畅，国内深色胶库存延续去库。供需支撑天胶市场回归现货价值后偏</w:t>
      </w:r>
      <w:r w:rsidRPr="00E72567">
        <w:rPr>
          <w:rFonts w:ascii="楷体" w:eastAsia="楷体" w:hAnsi="楷体" w:hint="eastAsia"/>
          <w:sz w:val="24"/>
          <w:szCs w:val="24"/>
        </w:rPr>
        <w:lastRenderedPageBreak/>
        <w:t>强企稳运行，但场内做多氛围有所消化，继续上探或仍有压力</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4805643"/>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E72567" w:rsidRPr="00E72567">
        <w:rPr>
          <w:rFonts w:ascii="楷体" w:eastAsia="楷体" w:hAnsi="楷体" w:hint="eastAsia"/>
          <w:b/>
          <w:color w:val="000000" w:themeColor="text1"/>
          <w:sz w:val="24"/>
          <w:szCs w:val="24"/>
        </w:rPr>
        <w:t>低加工费及成本端支撑仍偏强</w:t>
      </w:r>
      <w:bookmarkEnd w:id="38"/>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E72567" w:rsidP="002C73FE">
      <w:pPr>
        <w:ind w:leftChars="300" w:left="630"/>
        <w:rPr>
          <w:rFonts w:ascii="楷体" w:eastAsia="楷体" w:hAnsi="楷体"/>
          <w:color w:val="000000" w:themeColor="text1"/>
          <w:sz w:val="24"/>
          <w:szCs w:val="24"/>
        </w:rPr>
      </w:pPr>
      <w:r w:rsidRPr="00E72567">
        <w:rPr>
          <w:rFonts w:ascii="楷体" w:eastAsia="楷体" w:hAnsi="楷体" w:hint="eastAsia"/>
          <w:color w:val="000000" w:themeColor="text1"/>
          <w:sz w:val="24"/>
          <w:szCs w:val="24"/>
        </w:rPr>
        <w:t>原油方面，近期宏观情绪持续改善，美股止跌反弹带动油价冲高。PTA百宏250万吨，英力士235万吨，中泰120万吨装置提负，蓬威90万吨装置重启，PTA负荷上涨至82.2%附近。需求方面，本周聚酯装置负荷基本持稳，截至本周有两套装置开启，目前均生产聚酯切片，一套瓶片装置停车，综合负荷有所提升。截至9.1，初步核算国内大陆地区聚酯负荷仍在93.2%附近。市场对9-10月份旺季有预期，低库存下预计近期聚酯不会轻易减停产。终端方面，近期织造、印染开机有小幅提升，秋冬季订单陆下单有所增多，坯布库存小幅去化，需求边际季节性改善。展望后市，成本端支撑仍存+聚酯因库存低位高开工维持需求韧性尚可，三季度旺季预期或值得期待。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4805644"/>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40" w:name="_Toc144805645"/>
      <w:r>
        <w:rPr>
          <w:rFonts w:ascii="楷体" w:eastAsia="楷体" w:hAnsi="楷体" w:hint="eastAsia"/>
          <w:b/>
          <w:color w:val="000000" w:themeColor="text1"/>
          <w:sz w:val="24"/>
          <w:szCs w:val="24"/>
        </w:rPr>
        <w:t>聚烯烃：</w:t>
      </w:r>
      <w:r w:rsidR="00E72567" w:rsidRPr="00E72567">
        <w:rPr>
          <w:rFonts w:ascii="楷体" w:eastAsia="楷体" w:hAnsi="楷体" w:hint="eastAsia"/>
          <w:b/>
          <w:color w:val="000000" w:themeColor="text1"/>
          <w:sz w:val="24"/>
          <w:szCs w:val="24"/>
        </w:rPr>
        <w:t>金九旺季强预期下，PP整体强于PE</w:t>
      </w:r>
      <w:bookmarkEnd w:id="40"/>
    </w:p>
    <w:p w:rsidR="003F56A5" w:rsidRDefault="00E72567">
      <w:pPr>
        <w:ind w:leftChars="300" w:left="630"/>
        <w:rPr>
          <w:rFonts w:ascii="楷体" w:eastAsia="楷体" w:hAnsi="楷体"/>
          <w:bCs/>
          <w:sz w:val="24"/>
          <w:szCs w:val="24"/>
        </w:rPr>
      </w:pPr>
      <w:r w:rsidRPr="00E72567">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经济数据有利于石油需求增长，担心供应继续紧缺，国际油价延续涨势。需求方面，PE下游方面，农膜整体需求平平，工厂生产清淡。棚膜工厂多停机检修；PP下游方面，BOPP市场成交刚需有量，整体量较上一交易日增加，BOPP企业未交付订单多数在一周以内，个别可至八月中。综合来看，PE方面，短期来看，下游需求逐步提升，企业对于后市多存看好心态，市场交投氛围趋于积极。目前下游制品价格上调，工厂利润情况好转。以及成本面对 聚乙烯价格有所支撑，预计短期聚乙烯价格维持坚挺。PP方面，目前金九旺季预期下，企业检修意愿降低，宏观层面政策推进叠加成本面强势支撑，价格维持涨势，但受制于需求面暂无明显好转，整体涨幅不及预期，市场谨慎观望，预计今日PP价格或将继续高位运行</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4805646"/>
      <w:r>
        <w:rPr>
          <w:rFonts w:ascii="楷体" w:eastAsia="楷体" w:hAnsi="楷体" w:hint="eastAsia"/>
          <w:b/>
          <w:color w:val="000000" w:themeColor="text1"/>
          <w:sz w:val="24"/>
          <w:szCs w:val="24"/>
        </w:rPr>
        <w:t>MEG：</w:t>
      </w:r>
      <w:r w:rsidR="00E72567" w:rsidRPr="00E72567">
        <w:rPr>
          <w:rFonts w:ascii="楷体" w:eastAsia="楷体" w:hAnsi="楷体" w:hint="eastAsia"/>
          <w:b/>
          <w:color w:val="000000" w:themeColor="text1"/>
          <w:sz w:val="24"/>
          <w:szCs w:val="24"/>
        </w:rPr>
        <w:t>成本提振但高库存压制反弹空间</w:t>
      </w:r>
      <w:bookmarkEnd w:id="41"/>
    </w:p>
    <w:p w:rsidR="003F56A5" w:rsidRDefault="00E72567" w:rsidP="00115EEA">
      <w:pPr>
        <w:ind w:leftChars="300" w:left="630"/>
        <w:rPr>
          <w:rFonts w:ascii="楷体" w:eastAsia="楷体" w:hAnsi="楷体"/>
          <w:color w:val="000000" w:themeColor="text1"/>
          <w:sz w:val="24"/>
          <w:szCs w:val="24"/>
        </w:rPr>
      </w:pPr>
      <w:r w:rsidRPr="00E72567">
        <w:rPr>
          <w:rFonts w:ascii="楷体" w:eastAsia="楷体" w:hAnsi="楷体" w:hint="eastAsia"/>
          <w:color w:val="000000" w:themeColor="text1"/>
          <w:sz w:val="24"/>
          <w:szCs w:val="24"/>
        </w:rPr>
        <w:t>供需情况，9.4华东主港地区MEG港口库存约119.6万吨附近，环比上期增加2.9万吨。截至8月31日，中国大陆地区乙二醇整体开工负荷在65.44%（+0.47%），其中煤制乙二醇开工负荷在67.91%（+5.48%）。目前盛虹炼化1#仍在提负中，榆林化学单线将恢复运行，山西寿阳、陕煤渭化重启出料计划，国内开工仍有上行空间，整体供应表现宽松。聚酯下游方面，截至9.1初步核算国内大陆地区聚酯负荷在92.7%附近。终端开工小幅提升，局部订单良好。江浙加弹综合开工率78%，江浙织机综合开工率72%（+1%），江浙印染综合开工率77%。展望后市，原油及煤炭价格高位，乙二醇成本支撑力度仍强。估值偏低但高供应及高库存压制盘面反弹空间，多单波多操作。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4805647"/>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E72567" w:rsidRPr="00E72567">
        <w:rPr>
          <w:rFonts w:ascii="楷体" w:eastAsia="楷体" w:hAnsi="楷体" w:hint="eastAsia"/>
          <w:b/>
          <w:color w:val="000000" w:themeColor="text1"/>
          <w:sz w:val="24"/>
          <w:szCs w:val="24"/>
        </w:rPr>
        <w:t>产销维持强势，期价高位震荡</w:t>
      </w:r>
      <w:bookmarkEnd w:id="42"/>
    </w:p>
    <w:p w:rsidR="00A71A7E" w:rsidRDefault="00E72567" w:rsidP="001F79C6">
      <w:pPr>
        <w:ind w:leftChars="300" w:left="630"/>
        <w:rPr>
          <w:rFonts w:ascii="楷体" w:eastAsia="楷体" w:hAnsi="楷体"/>
          <w:color w:val="000000" w:themeColor="text1"/>
          <w:sz w:val="24"/>
          <w:szCs w:val="24"/>
        </w:rPr>
      </w:pPr>
      <w:r w:rsidRPr="00E72567">
        <w:rPr>
          <w:rFonts w:ascii="楷体" w:eastAsia="楷体" w:hAnsi="楷体" w:hint="eastAsia"/>
          <w:color w:val="000000" w:themeColor="text1"/>
          <w:sz w:val="24"/>
          <w:szCs w:val="24"/>
        </w:rPr>
        <w:t>今日全国均价2053元/吨，环比上一交易日价格+17元/吨。周末平均产销走弱，前期补库后贸易商库存不高，中下游补库积极性增强。供给端，截至2023年8月31日，全国浮法玻璃日产量为17万吨，环比+0.47%，产量继续抬升；需求端，产销回升，贸易商开始新一轮补库。截至2023年8月底，深加工企业订单天数18.9天，较8月中旬-1.2天，环比-5.97%。库存上，全国浮法玻璃样本企业总库存4428.1万重箱，环比增加143.4万重箱，环比+3.35%，仍然累库。基本面边际改善，贸易商带动本轮补库，盘面09升水以后能否持续上涨尚需现货配合，重点关注1.产销持续性，2.现货价格变化</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4805648"/>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E72567" w:rsidRPr="00E72567">
        <w:rPr>
          <w:rFonts w:ascii="楷体" w:eastAsia="楷体" w:hAnsi="楷体" w:hint="eastAsia"/>
          <w:b/>
          <w:color w:val="000000" w:themeColor="text1"/>
          <w:sz w:val="24"/>
          <w:szCs w:val="24"/>
        </w:rPr>
        <w:t>现货小幅上涨，盘面宽幅震荡</w:t>
      </w:r>
      <w:bookmarkEnd w:id="43"/>
    </w:p>
    <w:p w:rsidR="00A71A7E" w:rsidRDefault="00E72567" w:rsidP="00A71A7E">
      <w:pPr>
        <w:ind w:leftChars="300" w:left="630"/>
        <w:rPr>
          <w:rFonts w:ascii="楷体" w:eastAsia="楷体" w:hAnsi="楷体"/>
          <w:bCs/>
          <w:sz w:val="24"/>
          <w:szCs w:val="24"/>
        </w:rPr>
      </w:pPr>
      <w:r w:rsidRPr="00E72567">
        <w:rPr>
          <w:rFonts w:ascii="楷体" w:eastAsia="楷体" w:hAnsi="楷体" w:hint="eastAsia"/>
          <w:color w:val="000000" w:themeColor="text1"/>
          <w:sz w:val="24"/>
          <w:szCs w:val="24"/>
        </w:rPr>
        <w:t>今日纯碱价格稳中有涨，重碱华南最高报价3500元/吨，华北和华中最低报价3250元/吨（较前一日+50元/吨），临近月底现货价格维持在高位震荡。供给方面，周内纯碱产量56.92万吨，跌幅0.15%，根据已有检修计划，下周产量维持在55-56万吨。库存上，周内纯碱厂家库存14.13万吨，环比-0.47万吨，跌幅3.22%，预计到下周库存紧张局面未改。需求方面，碱厂订单充足，排单到下月中旬以后，现货短缺，玻璃企业纯碱库存已不足一周，备货积极性增强。盘面上，随着现货端价格上涨，09合约大涨回补基差，结构上近强越弱，10.11合约目前仍有较大基差，现货在库存紧缺情况下难跌，短期受消息扰动震荡反复。远月01合约由于供给过剩，高位震荡</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480564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4805650"/>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E72567" w:rsidRPr="00E72567">
        <w:rPr>
          <w:rFonts w:ascii="楷体" w:eastAsia="楷体" w:hAnsi="楷体" w:hint="eastAsia"/>
          <w:b/>
          <w:sz w:val="24"/>
          <w:szCs w:val="24"/>
        </w:rPr>
        <w:t>豆菜粕价差拉大，短期延续高位震荡</w:t>
      </w:r>
      <w:bookmarkEnd w:id="45"/>
    </w:p>
    <w:p w:rsidR="003F56A5" w:rsidRDefault="00E72567">
      <w:pPr>
        <w:ind w:leftChars="300" w:left="630"/>
        <w:rPr>
          <w:rFonts w:ascii="楷体" w:eastAsia="楷体" w:hAnsi="楷体"/>
          <w:sz w:val="24"/>
          <w:szCs w:val="24"/>
        </w:rPr>
      </w:pPr>
      <w:r w:rsidRPr="00E72567">
        <w:rPr>
          <w:rFonts w:ascii="楷体" w:eastAsia="楷体" w:hAnsi="楷体" w:hint="eastAsia"/>
          <w:sz w:val="24"/>
          <w:szCs w:val="24"/>
        </w:rPr>
        <w:t>国际方面，9月初产区天气预计改善，但密西西比河水位下降驳船费上涨，大豆出口成本增加，CBOT大豆预计维持1300上方震荡。在8月中下旬北美天气持续转干下，市场也非常关注美农9月对美豆供需数据的调整，与PF49.7的单产预估有多大的出入。最新美豆优良率好于市场预估，截至8</w:t>
      </w:r>
      <w:r w:rsidRPr="00E72567">
        <w:rPr>
          <w:rFonts w:ascii="楷体" w:eastAsia="楷体" w:hAnsi="楷体" w:hint="eastAsia"/>
          <w:sz w:val="24"/>
          <w:szCs w:val="24"/>
        </w:rPr>
        <w:lastRenderedPageBreak/>
        <w:t>月28日当周，美国大豆优良率为58%，前一周为59%，上年同期为57%，市场预估为56%。国内现货维持高位对期价构成支撑，海关抽查趋严，进口大豆入关速度较慢，当前油厂大豆库存有所回升，部分油厂存在停机检修情况，豆粕库存仍维持同期低位，支撑现货报价仍坚挺，当前沿海主流油厂豆粕现货报价下调至4820-4980元/吨。大豆6-8月到港量仍较充裕，7月到港973万吨，但9-10月进口到港预期减少，远月供应担忧支撑11-1基差报价坚挺，关注9月实际到港是否符合预期。需求，下游生猪养殖利润近期有所改善，叠加存栏高位，下游维持刚需备货，但近一周下游对高现货基差接受度不高，成交清淡。菜粕当前供需基本面改善，随着6月份后菜籽到港减少，油厂压榨也在逐步下滑，但库存连续三周回升，因需求不及预期。而需求方面，水产消费旺季即将结束，菜粕需求预计减少，但随着菜粕价格下跌或提振替代需求。策略方面，当前仍处于上行趋势，短期预计维持高位震荡，暂观望，建议参与月间正套，前期做多豆菜粕价差可逢高逐步止盈</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4805651"/>
      <w:r>
        <w:rPr>
          <w:rFonts w:ascii="楷体" w:eastAsia="楷体" w:hAnsi="楷体" w:hint="eastAsia"/>
          <w:b/>
          <w:color w:val="000000" w:themeColor="text1"/>
          <w:sz w:val="24"/>
          <w:szCs w:val="24"/>
        </w:rPr>
        <w:t>油脂：</w:t>
      </w:r>
      <w:r w:rsidR="00E72567" w:rsidRPr="00E72567">
        <w:rPr>
          <w:rFonts w:ascii="楷体" w:eastAsia="楷体" w:hAnsi="楷体" w:hint="eastAsia"/>
          <w:b/>
          <w:sz w:val="24"/>
          <w:szCs w:val="24"/>
        </w:rPr>
        <w:t>维持宽幅震荡，关注需求端提振</w:t>
      </w:r>
      <w:bookmarkEnd w:id="46"/>
    </w:p>
    <w:p w:rsidR="003F56A5" w:rsidRDefault="00E72567" w:rsidP="00792D31">
      <w:pPr>
        <w:ind w:leftChars="300" w:left="630"/>
        <w:rPr>
          <w:rFonts w:ascii="楷体" w:eastAsia="楷体" w:hAnsi="楷体"/>
          <w:sz w:val="24"/>
          <w:szCs w:val="24"/>
        </w:rPr>
      </w:pPr>
      <w:r w:rsidRPr="00E72567">
        <w:rPr>
          <w:rFonts w:ascii="楷体" w:eastAsia="楷体" w:hAnsi="楷体" w:hint="eastAsia"/>
          <w:sz w:val="24"/>
          <w:szCs w:val="24"/>
        </w:rPr>
        <w:t>油脂基本面当前驱动不强，主要受国内外消费端提振，三大油脂库存仍处于中性偏高水平。棕榈油，产地在供需两旺下库存未见实质增量，印尼棕榈油6月份在产量环比下滑及出口增加下，库存降幅较大。而马棕产量7月显著改善，8-9月份仍处于产量的季节性增产阶段，关注后续产量修复情况；但7月库存增幅不及预期，因出口环比增加，且根据船运机构数据，马来8月1-31日棕榈油出口量为1201488吨，环比减少2.98%，8月马棕累库速度预计仍偏慢，价格仍有支撑。国内棕榈油7-8月份进口到港预计维持高位，库存维持同期高位，最新商业库存为64.66万吨，较前一周增加。需求端，当前在豆棕价差拉大下，利好棕榈油下游消费需求，但四季度为棕榈油消费淡季，预计四季度北方地区需求仍将转向豆油。豆油预计逐步去库。国内7-8月进口大豆到港量仍不少，但受海关检验趋严影响，大豆到厂时间延迟，整体压榨水平不高，在消费改善下，将逐步去库。需求端，8月份后下游将陆续开始为双节备货且高校等将陆续开学，需求端或能逐步好转。菜油在进口菜籽减少下，供应压力减轻。当前主产地菜籽还未集中上市，供应处于青黄不接的阶段，全球菜籽新作产量不确定性仍存。随着后续进口加籽到港量的减少，菜籽开机及压榨水平也有所降低，7月菜籽进口环比下滑64.8%。需求方面，当前去库速度缓慢，与豆油价差持续收窄，库存去化仍需看到替代需求出现。短期建议波段操作，中长期对于油脂维持谨慎看多观点，可做多油粕比</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4805652"/>
      <w:r>
        <w:rPr>
          <w:rFonts w:ascii="楷体" w:eastAsia="楷体" w:hAnsi="楷体" w:hint="eastAsia"/>
          <w:b/>
          <w:bCs/>
          <w:color w:val="000000" w:themeColor="text1"/>
        </w:rPr>
        <w:t>玉米与淀粉：</w:t>
      </w:r>
      <w:r w:rsidR="00E72567" w:rsidRPr="00E72567">
        <w:rPr>
          <w:rFonts w:ascii="楷体" w:eastAsia="楷体" w:hAnsi="楷体" w:hint="eastAsia"/>
          <w:b/>
        </w:rPr>
        <w:t>期价大幅回落</w:t>
      </w:r>
      <w:bookmarkEnd w:id="47"/>
    </w:p>
    <w:p w:rsidR="00E72567" w:rsidRPr="00E72567" w:rsidRDefault="00E72567" w:rsidP="00E72567">
      <w:pPr>
        <w:pStyle w:val="paragraph"/>
        <w:spacing w:before="60" w:after="60"/>
        <w:ind w:leftChars="300" w:left="630"/>
        <w:rPr>
          <w:rFonts w:ascii="楷体" w:eastAsia="楷体" w:hAnsi="楷体" w:hint="eastAsia"/>
        </w:rPr>
      </w:pPr>
      <w:r w:rsidRPr="00E72567">
        <w:rPr>
          <w:rFonts w:ascii="楷体" w:eastAsia="楷体" w:hAnsi="楷体" w:hint="eastAsia"/>
        </w:rPr>
        <w:t>对于玉米而言，更多沿袭前期逻辑，当前玉米期价下方空间有限，主要源于陈化水稻拍卖底价支撑，其上涨驱动主要来自两个方面，其一是中下游库存依然处于历史同期低位，在新作上市之前或仍存在被动补库存的可能性，其而是小麦有望带动玉米上涨，因小麦上涨趋势或已经形成，因其经历3月以来的主动去库存和6月以来的被动去库存之后，目</w:t>
      </w:r>
      <w:r w:rsidRPr="00E72567">
        <w:rPr>
          <w:rFonts w:ascii="楷体" w:eastAsia="楷体" w:hAnsi="楷体" w:hint="eastAsia"/>
        </w:rPr>
        <w:lastRenderedPageBreak/>
        <w:t>前或已经进入主动补库存阶段。在这种情况下，建议投资者如有前期多单，则背靠7月持续震荡区间继续持有。</w:t>
      </w:r>
    </w:p>
    <w:p w:rsidR="003F56A5" w:rsidRDefault="00E72567" w:rsidP="00E72567">
      <w:pPr>
        <w:pStyle w:val="paragraph"/>
        <w:spacing w:before="60" w:beforeAutospacing="0" w:after="60" w:afterAutospacing="0"/>
        <w:ind w:leftChars="300" w:left="630"/>
        <w:rPr>
          <w:rFonts w:ascii="楷体" w:eastAsia="楷体" w:hAnsi="楷体"/>
        </w:rPr>
      </w:pPr>
      <w:r w:rsidRPr="00E72567">
        <w:rPr>
          <w:rFonts w:ascii="楷体" w:eastAsia="楷体" w:hAnsi="楷体" w:hint="eastAsia"/>
        </w:rPr>
        <w:t>对于淀粉而言，近期淀粉-玉米价差表现分化，因影响价差的因素依然多空交织，一方面近期行业出库量大幅改善，带动行业库存连续环比下滑，供需有所改善；另一方面淀粉副产品特别是玉米蛋白粉受蛋白粕带动大幅上涨，带动期现货生产利润整体改善，这不利于后期行业开机率的回落。综合来看，淀粉-玉米价差套利交易方向仍不具备确定性，不建议投资者介入，但考虑到现货和基差支撑因素，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4805653"/>
      <w:r>
        <w:rPr>
          <w:rFonts w:ascii="楷体" w:eastAsia="楷体" w:hAnsi="楷体" w:hint="eastAsia"/>
          <w:b/>
          <w:bCs/>
          <w:color w:val="000000" w:themeColor="text1"/>
        </w:rPr>
        <w:t>畜禽养殖：</w:t>
      </w:r>
      <w:r w:rsidR="00E72567" w:rsidRPr="00E72567">
        <w:rPr>
          <w:rFonts w:ascii="楷体" w:eastAsia="楷体" w:hAnsi="楷体" w:hint="eastAsia"/>
          <w:b/>
          <w:bCs/>
          <w:color w:val="000000" w:themeColor="text1"/>
        </w:rPr>
        <w:t>期价震荡分化运行</w:t>
      </w:r>
      <w:bookmarkEnd w:id="48"/>
    </w:p>
    <w:p w:rsidR="00E72567" w:rsidRPr="00E72567" w:rsidRDefault="00E72567" w:rsidP="00E72567">
      <w:pPr>
        <w:pStyle w:val="paragraph"/>
        <w:spacing w:before="60" w:after="60"/>
        <w:ind w:leftChars="300" w:left="630"/>
        <w:rPr>
          <w:rFonts w:ascii="楷体" w:eastAsia="楷体" w:hAnsi="楷体" w:hint="eastAsia"/>
        </w:rPr>
      </w:pPr>
      <w:r w:rsidRPr="00E72567">
        <w:rPr>
          <w:rFonts w:ascii="楷体" w:eastAsia="楷体" w:hAnsi="楷体" w:hint="eastAsia"/>
        </w:rPr>
        <w:t>对于生猪而言，在前期报告中我们指出，随着生猪期现货的反弹，市场首先需要评估其上涨性质，考虑到各机构预计的能繁母猪下降幅度缓慢，且仔猪养殖亏损持续时间较短，近期生猪期现货反弹反而不利于产能去化，因此我们更倾向于后者，即去库存带来的阶段性反弹。在这种情况下，市场或更多关注现货价格波动的区间和节奏，就空间而言，参考农业农村部的数据，下半年总体供需环比上半年趋于改善，下半年现货价格波动区间较上半年有望抬高。当然，7月底现货价格反弹之后，由于市场整体供应依然充足，其上方空间亦有限，期价波动或更多取决于节奏。节奏主要是指市场通过压栏、二次育肥和冷冻库存来影响市场的供应变化，再结合需求的季节性变动，来影响期现货的波动节奏。考虑到接下来现货波动的节奏存在分歧，不确定性较大，观点转为中性，建议投资者转为观望为宜。</w:t>
      </w:r>
    </w:p>
    <w:p w:rsidR="003F56A5" w:rsidRDefault="00E72567" w:rsidP="00E72567">
      <w:pPr>
        <w:pStyle w:val="paragraph"/>
        <w:spacing w:before="60" w:beforeAutospacing="0" w:after="60" w:afterAutospacing="0"/>
        <w:ind w:leftChars="300" w:left="630"/>
        <w:rPr>
          <w:rFonts w:ascii="楷体" w:eastAsia="楷体" w:hAnsi="楷体"/>
        </w:rPr>
      </w:pPr>
      <w:r w:rsidRPr="00E72567">
        <w:rPr>
          <w:rFonts w:ascii="楷体" w:eastAsia="楷体" w:hAnsi="楷体" w:hint="eastAsia"/>
        </w:rPr>
        <w:t>对于鸡蛋而言，考虑到目前已经进入9月，季节性上涨临近尾声，接下来市场的担忧主要在于现货季节性回落规律叠加前期补栏带来的新开产蛋鸡增量。后者主要源于今年春节后现货带动养殖利润改善，带动蛋鸡补栏季节性高涨，4-6月蛋鸡苗销售量显著高于去年同期，已经带动8月在产蛋鸡存栏环比继续回升，和湖北浠水大小蛋价差持续扩大至历史高位水平。综上所述，短期暂维持谨慎看多观点，后期观点或转为中性，甚至转为看空，建议前期多单逐步平仓离场</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4805654"/>
      <w:r>
        <w:rPr>
          <w:rFonts w:ascii="楷体" w:eastAsia="楷体" w:hAnsi="楷体" w:hint="eastAsia"/>
          <w:b/>
          <w:sz w:val="24"/>
          <w:szCs w:val="24"/>
        </w:rPr>
        <w:t>郑棉：</w:t>
      </w:r>
      <w:r w:rsidR="00E72567" w:rsidRPr="00E72567">
        <w:rPr>
          <w:rFonts w:ascii="楷体" w:eastAsia="楷体" w:hAnsi="楷体" w:hint="eastAsia"/>
          <w:b/>
          <w:sz w:val="24"/>
          <w:szCs w:val="24"/>
        </w:rPr>
        <w:t>等待企稳后低多机会，看跌期权卖权持有</w:t>
      </w:r>
      <w:bookmarkEnd w:id="49"/>
    </w:p>
    <w:p w:rsidR="003F56A5" w:rsidRDefault="00E72567" w:rsidP="007B3290">
      <w:pPr>
        <w:ind w:leftChars="300" w:left="630"/>
        <w:rPr>
          <w:rFonts w:ascii="楷体" w:eastAsia="楷体" w:hAnsi="楷体"/>
          <w:sz w:val="24"/>
          <w:szCs w:val="24"/>
        </w:rPr>
      </w:pPr>
      <w:r w:rsidRPr="00E72567">
        <w:rPr>
          <w:rFonts w:ascii="楷体" w:eastAsia="楷体" w:hAnsi="楷体" w:hint="eastAsia"/>
          <w:sz w:val="24"/>
          <w:szCs w:val="24"/>
        </w:rPr>
        <w:t>由于棉花现货价格持续走高，纱线涨幅不及原料，长期处于亏损，中储棉将日度储备棉轮出量从1.2万吨提升至了2万吨，即每月增加了约16万吨的供应，9月的轮出供应量上升至40万吨。若依然维持100%成交，叠加进口即将大量到港，月度库存减少量有望降低至15万吨/月之下。下游旺季迟迟未见启动信号。供增需未增的情况下，郑棉从1.8万关口回落，多头资金大量离场。不过，本年度新棉种植进度滞后10-20天，往年籽棉开秤又多是低开高走，前期棉农惜售概率较大。新棉上市时间较晚，叠加较低的库存，现货有望维持强势，回落空间相对有限，1.7万关口支撑极强</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50" w:name="_Toc144805655"/>
      <w:r>
        <w:rPr>
          <w:rFonts w:ascii="楷体" w:eastAsia="楷体" w:hAnsi="楷体" w:hint="eastAsia"/>
          <w:b/>
          <w:sz w:val="24"/>
          <w:szCs w:val="24"/>
        </w:rPr>
        <w:t>白糖：</w:t>
      </w:r>
      <w:r w:rsidR="00E72567" w:rsidRPr="00E72567">
        <w:rPr>
          <w:rFonts w:ascii="楷体" w:eastAsia="楷体" w:hAnsi="楷体" w:hint="eastAsia"/>
          <w:b/>
          <w:sz w:val="24"/>
          <w:szCs w:val="24"/>
        </w:rPr>
        <w:t>看跌期权卖权持有</w:t>
      </w:r>
      <w:bookmarkEnd w:id="50"/>
    </w:p>
    <w:p w:rsidR="00296325" w:rsidRDefault="00E72567" w:rsidP="00296325">
      <w:pPr>
        <w:ind w:leftChars="300" w:left="630"/>
        <w:rPr>
          <w:rFonts w:ascii="楷体" w:eastAsia="楷体" w:hAnsi="楷体"/>
          <w:sz w:val="24"/>
          <w:szCs w:val="24"/>
        </w:rPr>
      </w:pPr>
      <w:r w:rsidRPr="00E72567">
        <w:rPr>
          <w:rFonts w:ascii="楷体" w:eastAsia="楷体" w:hAnsi="楷体" w:hint="eastAsia"/>
          <w:sz w:val="24"/>
          <w:szCs w:val="24"/>
        </w:rPr>
        <w:lastRenderedPageBreak/>
        <w:t>咨询机构JobEconomia最新公布的一份报告显示，巴西2023/24年度(4月一次年3月)糖产量及出口预计将创下纪录新高。该机构预计，由于本年度作物生长和加工的天气接近完美，巴西所有产区的糖总产量为4270万吨，较Job Economia最初预估高出230万吨，且高于2022/23年度的3700万吨。但印度缺水和虫害问题严重，巴西的丰产或不足以抵消印度、泰国等其他地区的减产。国内内外糖价倒挂的情况未缓解，进口增加的预期未能得到数据佐证。当前白糖库存极低，供需面极为紧张，不排除再创新高的可能，逢低买入以及看跌期权卖权持有</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1" w:name="_Toc71212556"/>
      <w:bookmarkStart w:id="52" w:name="_Toc19667"/>
      <w:bookmarkStart w:id="53" w:name="_Toc98426751"/>
      <w:bookmarkStart w:id="54" w:name="_Toc12779"/>
      <w:bookmarkStart w:id="55" w:name="_Toc72481108"/>
      <w:r>
        <w:rPr>
          <w:rFonts w:ascii="Times New Roman" w:eastAsia="楷体" w:hAnsi="Times New Roman"/>
          <w:b/>
          <w:color w:val="411D05"/>
          <w:sz w:val="30"/>
          <w:szCs w:val="30"/>
        </w:rPr>
        <w:lastRenderedPageBreak/>
        <w:t>免责声明</w:t>
      </w:r>
      <w:bookmarkEnd w:id="51"/>
      <w:bookmarkEnd w:id="52"/>
      <w:bookmarkEnd w:id="53"/>
      <w:bookmarkEnd w:id="54"/>
      <w:bookmarkEnd w:id="55"/>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57C" w:rsidRDefault="00CB657C">
      <w:r>
        <w:separator/>
      </w:r>
    </w:p>
  </w:endnote>
  <w:endnote w:type="continuationSeparator" w:id="0">
    <w:p w:rsidR="00CB657C" w:rsidRDefault="00CB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240FDBAD" wp14:editId="0F6B3DF0">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E52CE0">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E52CE0">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57C" w:rsidRDefault="00CB657C">
      <w:r>
        <w:separator/>
      </w:r>
    </w:p>
  </w:footnote>
  <w:footnote w:type="continuationSeparator" w:id="0">
    <w:p w:rsidR="00CB657C" w:rsidRDefault="00CB65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137FB613" wp14:editId="2578BDA3">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2033DB9C" wp14:editId="007CA4BA">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E72567">
      <w:rPr>
        <w:rFonts w:ascii="Times New Roman" w:eastAsia="楷体" w:hAnsi="Times New Roman" w:hint="eastAsia"/>
        <w:b/>
        <w:bCs/>
        <w:noProof/>
        <w:color w:val="833C0B"/>
        <w:sz w:val="21"/>
      </w:rPr>
      <w:t>2023</w:t>
    </w:r>
    <w:r w:rsidR="00E72567">
      <w:rPr>
        <w:rFonts w:ascii="Times New Roman" w:eastAsia="楷体" w:hAnsi="Times New Roman" w:hint="eastAsia"/>
        <w:b/>
        <w:bCs/>
        <w:noProof/>
        <w:color w:val="833C0B"/>
        <w:sz w:val="21"/>
      </w:rPr>
      <w:t>年</w:t>
    </w:r>
    <w:r w:rsidR="00E72567">
      <w:rPr>
        <w:rFonts w:ascii="Times New Roman" w:eastAsia="楷体" w:hAnsi="Times New Roman" w:hint="eastAsia"/>
        <w:b/>
        <w:bCs/>
        <w:noProof/>
        <w:color w:val="833C0B"/>
        <w:sz w:val="21"/>
      </w:rPr>
      <w:t>9</w:t>
    </w:r>
    <w:r w:rsidR="00E72567">
      <w:rPr>
        <w:rFonts w:ascii="Times New Roman" w:eastAsia="楷体" w:hAnsi="Times New Roman" w:hint="eastAsia"/>
        <w:b/>
        <w:bCs/>
        <w:noProof/>
        <w:color w:val="833C0B"/>
        <w:sz w:val="21"/>
      </w:rPr>
      <w:t>月</w:t>
    </w:r>
    <w:r w:rsidR="00E72567">
      <w:rPr>
        <w:rFonts w:ascii="Times New Roman" w:eastAsia="楷体" w:hAnsi="Times New Roman" w:hint="eastAsia"/>
        <w:b/>
        <w:bCs/>
        <w:noProof/>
        <w:color w:val="833C0B"/>
        <w:sz w:val="21"/>
      </w:rPr>
      <w:t>5</w:t>
    </w:r>
    <w:r w:rsidR="00E72567">
      <w:rPr>
        <w:rFonts w:ascii="Times New Roman" w:eastAsia="楷体" w:hAnsi="Times New Roman" w:hint="eastAsia"/>
        <w:b/>
        <w:bCs/>
        <w:noProof/>
        <w:color w:val="833C0B"/>
        <w:sz w:val="21"/>
      </w:rPr>
      <w:t>日星期二</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5EB2"/>
    <w:rsid w:val="000417D7"/>
    <w:rsid w:val="00050B6C"/>
    <w:rsid w:val="0005286B"/>
    <w:rsid w:val="0005726F"/>
    <w:rsid w:val="00057E99"/>
    <w:rsid w:val="00072EAA"/>
    <w:rsid w:val="00076420"/>
    <w:rsid w:val="000820C6"/>
    <w:rsid w:val="00093E40"/>
    <w:rsid w:val="00096258"/>
    <w:rsid w:val="000A413E"/>
    <w:rsid w:val="000B0648"/>
    <w:rsid w:val="000B4E70"/>
    <w:rsid w:val="000C102A"/>
    <w:rsid w:val="000C475E"/>
    <w:rsid w:val="000C4F17"/>
    <w:rsid w:val="000D36DC"/>
    <w:rsid w:val="000D42E2"/>
    <w:rsid w:val="000D7CF0"/>
    <w:rsid w:val="000E03FC"/>
    <w:rsid w:val="000E0968"/>
    <w:rsid w:val="000E0C15"/>
    <w:rsid w:val="000E4EEB"/>
    <w:rsid w:val="00115EEA"/>
    <w:rsid w:val="00117470"/>
    <w:rsid w:val="00120B1F"/>
    <w:rsid w:val="00127803"/>
    <w:rsid w:val="00127FF1"/>
    <w:rsid w:val="00147668"/>
    <w:rsid w:val="00147B03"/>
    <w:rsid w:val="0015047B"/>
    <w:rsid w:val="00156FEB"/>
    <w:rsid w:val="00170E7B"/>
    <w:rsid w:val="001801C4"/>
    <w:rsid w:val="001942CB"/>
    <w:rsid w:val="001945E9"/>
    <w:rsid w:val="001A3E49"/>
    <w:rsid w:val="001A44F9"/>
    <w:rsid w:val="001B0610"/>
    <w:rsid w:val="001B179D"/>
    <w:rsid w:val="001B1904"/>
    <w:rsid w:val="001B25C9"/>
    <w:rsid w:val="001B2D4C"/>
    <w:rsid w:val="001B6043"/>
    <w:rsid w:val="001B6394"/>
    <w:rsid w:val="001C2E87"/>
    <w:rsid w:val="001C77D0"/>
    <w:rsid w:val="001D1F0A"/>
    <w:rsid w:val="001D40EA"/>
    <w:rsid w:val="001D4474"/>
    <w:rsid w:val="001D5419"/>
    <w:rsid w:val="001D7D0A"/>
    <w:rsid w:val="001E1A3C"/>
    <w:rsid w:val="001F5438"/>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73FE"/>
    <w:rsid w:val="002F075C"/>
    <w:rsid w:val="002F545E"/>
    <w:rsid w:val="002F6AD1"/>
    <w:rsid w:val="002F7810"/>
    <w:rsid w:val="0031065A"/>
    <w:rsid w:val="00320AB1"/>
    <w:rsid w:val="00321629"/>
    <w:rsid w:val="003230A0"/>
    <w:rsid w:val="00323550"/>
    <w:rsid w:val="0033167B"/>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626D"/>
    <w:rsid w:val="0038677D"/>
    <w:rsid w:val="003953FD"/>
    <w:rsid w:val="003A1F3C"/>
    <w:rsid w:val="003A3DB4"/>
    <w:rsid w:val="003A5DDB"/>
    <w:rsid w:val="003C32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6646"/>
    <w:rsid w:val="00487F77"/>
    <w:rsid w:val="00490056"/>
    <w:rsid w:val="00491DD7"/>
    <w:rsid w:val="004977A9"/>
    <w:rsid w:val="004A1926"/>
    <w:rsid w:val="004A382D"/>
    <w:rsid w:val="004A3F85"/>
    <w:rsid w:val="004A65B5"/>
    <w:rsid w:val="004B4D4D"/>
    <w:rsid w:val="004C11A7"/>
    <w:rsid w:val="004C5F3F"/>
    <w:rsid w:val="004D0484"/>
    <w:rsid w:val="004D6F74"/>
    <w:rsid w:val="004E269E"/>
    <w:rsid w:val="004E2959"/>
    <w:rsid w:val="004E3A10"/>
    <w:rsid w:val="004E58A5"/>
    <w:rsid w:val="004E6093"/>
    <w:rsid w:val="005145ED"/>
    <w:rsid w:val="00521683"/>
    <w:rsid w:val="005245A4"/>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8F8"/>
    <w:rsid w:val="005F2CE6"/>
    <w:rsid w:val="005F45A8"/>
    <w:rsid w:val="005F5D8E"/>
    <w:rsid w:val="00606E2B"/>
    <w:rsid w:val="00610C41"/>
    <w:rsid w:val="00612D79"/>
    <w:rsid w:val="0061390B"/>
    <w:rsid w:val="00615F78"/>
    <w:rsid w:val="006353D1"/>
    <w:rsid w:val="00637F19"/>
    <w:rsid w:val="00641752"/>
    <w:rsid w:val="00650F05"/>
    <w:rsid w:val="0065454E"/>
    <w:rsid w:val="00657B01"/>
    <w:rsid w:val="00661BB3"/>
    <w:rsid w:val="00666DE4"/>
    <w:rsid w:val="006811C5"/>
    <w:rsid w:val="006911F3"/>
    <w:rsid w:val="006A135D"/>
    <w:rsid w:val="006A2D10"/>
    <w:rsid w:val="006A5214"/>
    <w:rsid w:val="006A6067"/>
    <w:rsid w:val="006A7A79"/>
    <w:rsid w:val="006B4A5D"/>
    <w:rsid w:val="006D21ED"/>
    <w:rsid w:val="006D66AE"/>
    <w:rsid w:val="006D725E"/>
    <w:rsid w:val="006E3745"/>
    <w:rsid w:val="006F6553"/>
    <w:rsid w:val="007029E1"/>
    <w:rsid w:val="00710028"/>
    <w:rsid w:val="007103A5"/>
    <w:rsid w:val="0072164F"/>
    <w:rsid w:val="007253E7"/>
    <w:rsid w:val="0072736C"/>
    <w:rsid w:val="007315D8"/>
    <w:rsid w:val="00743CFD"/>
    <w:rsid w:val="007664C1"/>
    <w:rsid w:val="00772382"/>
    <w:rsid w:val="00782EFA"/>
    <w:rsid w:val="00785519"/>
    <w:rsid w:val="007866A5"/>
    <w:rsid w:val="0079299D"/>
    <w:rsid w:val="00792D31"/>
    <w:rsid w:val="00794D36"/>
    <w:rsid w:val="007952E9"/>
    <w:rsid w:val="00796CB2"/>
    <w:rsid w:val="007A410D"/>
    <w:rsid w:val="007A66FE"/>
    <w:rsid w:val="007B3290"/>
    <w:rsid w:val="007B42D0"/>
    <w:rsid w:val="007B4FCE"/>
    <w:rsid w:val="007C1DB9"/>
    <w:rsid w:val="007C2FD2"/>
    <w:rsid w:val="007C6F18"/>
    <w:rsid w:val="007C7B84"/>
    <w:rsid w:val="007D29EC"/>
    <w:rsid w:val="007D4BBD"/>
    <w:rsid w:val="007F09BE"/>
    <w:rsid w:val="007F1327"/>
    <w:rsid w:val="007F140C"/>
    <w:rsid w:val="007F186E"/>
    <w:rsid w:val="007F197B"/>
    <w:rsid w:val="0080612D"/>
    <w:rsid w:val="00806354"/>
    <w:rsid w:val="0080692E"/>
    <w:rsid w:val="00806CD5"/>
    <w:rsid w:val="00806F4A"/>
    <w:rsid w:val="0080753A"/>
    <w:rsid w:val="008111C8"/>
    <w:rsid w:val="008149F4"/>
    <w:rsid w:val="00815011"/>
    <w:rsid w:val="00815817"/>
    <w:rsid w:val="00816F85"/>
    <w:rsid w:val="00820D28"/>
    <w:rsid w:val="00822591"/>
    <w:rsid w:val="00827E8A"/>
    <w:rsid w:val="0083605E"/>
    <w:rsid w:val="00840F4E"/>
    <w:rsid w:val="008463FD"/>
    <w:rsid w:val="00853880"/>
    <w:rsid w:val="00856132"/>
    <w:rsid w:val="008649BB"/>
    <w:rsid w:val="008655EA"/>
    <w:rsid w:val="00867CA5"/>
    <w:rsid w:val="00873ECE"/>
    <w:rsid w:val="008740D4"/>
    <w:rsid w:val="00874708"/>
    <w:rsid w:val="0087785E"/>
    <w:rsid w:val="00892203"/>
    <w:rsid w:val="0089393F"/>
    <w:rsid w:val="008A0893"/>
    <w:rsid w:val="008A11C6"/>
    <w:rsid w:val="008A1D22"/>
    <w:rsid w:val="008B13D2"/>
    <w:rsid w:val="008B3268"/>
    <w:rsid w:val="008B361D"/>
    <w:rsid w:val="008C1554"/>
    <w:rsid w:val="008C3F42"/>
    <w:rsid w:val="008C53CE"/>
    <w:rsid w:val="008E2B15"/>
    <w:rsid w:val="008E33F3"/>
    <w:rsid w:val="008E3B84"/>
    <w:rsid w:val="008F1360"/>
    <w:rsid w:val="008F229B"/>
    <w:rsid w:val="008F2A6E"/>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D75BB"/>
    <w:rsid w:val="009E0994"/>
    <w:rsid w:val="009E25E0"/>
    <w:rsid w:val="009E4452"/>
    <w:rsid w:val="009E7578"/>
    <w:rsid w:val="009E75B7"/>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B4BF2"/>
    <w:rsid w:val="00AC00CF"/>
    <w:rsid w:val="00AC52CB"/>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33C93"/>
    <w:rsid w:val="00B443CE"/>
    <w:rsid w:val="00B4555A"/>
    <w:rsid w:val="00B51CAF"/>
    <w:rsid w:val="00B53C56"/>
    <w:rsid w:val="00B60464"/>
    <w:rsid w:val="00B606EF"/>
    <w:rsid w:val="00B618F8"/>
    <w:rsid w:val="00B64133"/>
    <w:rsid w:val="00B72E2D"/>
    <w:rsid w:val="00B745CB"/>
    <w:rsid w:val="00B805BD"/>
    <w:rsid w:val="00B91D3D"/>
    <w:rsid w:val="00B94E7D"/>
    <w:rsid w:val="00B97F08"/>
    <w:rsid w:val="00BA4663"/>
    <w:rsid w:val="00BA696B"/>
    <w:rsid w:val="00BA7212"/>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27B89"/>
    <w:rsid w:val="00C43DDB"/>
    <w:rsid w:val="00C46720"/>
    <w:rsid w:val="00C575E9"/>
    <w:rsid w:val="00C62202"/>
    <w:rsid w:val="00C6240E"/>
    <w:rsid w:val="00C647F2"/>
    <w:rsid w:val="00C66C6C"/>
    <w:rsid w:val="00C706BF"/>
    <w:rsid w:val="00C70FDD"/>
    <w:rsid w:val="00C80C0D"/>
    <w:rsid w:val="00C82E4D"/>
    <w:rsid w:val="00C91234"/>
    <w:rsid w:val="00C93E36"/>
    <w:rsid w:val="00C950F3"/>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E7723"/>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45E53"/>
    <w:rsid w:val="00D47039"/>
    <w:rsid w:val="00D55EAF"/>
    <w:rsid w:val="00D63655"/>
    <w:rsid w:val="00D66257"/>
    <w:rsid w:val="00D673AD"/>
    <w:rsid w:val="00D75630"/>
    <w:rsid w:val="00D762B2"/>
    <w:rsid w:val="00D842AA"/>
    <w:rsid w:val="00D86D76"/>
    <w:rsid w:val="00D87130"/>
    <w:rsid w:val="00D93E0B"/>
    <w:rsid w:val="00DA7546"/>
    <w:rsid w:val="00DB6FBE"/>
    <w:rsid w:val="00DD145E"/>
    <w:rsid w:val="00DD334E"/>
    <w:rsid w:val="00DE02C4"/>
    <w:rsid w:val="00DF1796"/>
    <w:rsid w:val="00DF270D"/>
    <w:rsid w:val="00DF3137"/>
    <w:rsid w:val="00DF3B28"/>
    <w:rsid w:val="00DF56EC"/>
    <w:rsid w:val="00E020F2"/>
    <w:rsid w:val="00E12059"/>
    <w:rsid w:val="00E204D2"/>
    <w:rsid w:val="00E25D21"/>
    <w:rsid w:val="00E2618F"/>
    <w:rsid w:val="00E31716"/>
    <w:rsid w:val="00E32B95"/>
    <w:rsid w:val="00E34551"/>
    <w:rsid w:val="00E34EAB"/>
    <w:rsid w:val="00E373B2"/>
    <w:rsid w:val="00E40036"/>
    <w:rsid w:val="00E45000"/>
    <w:rsid w:val="00E451FD"/>
    <w:rsid w:val="00E4667F"/>
    <w:rsid w:val="00E50E93"/>
    <w:rsid w:val="00E52CE0"/>
    <w:rsid w:val="00E556EC"/>
    <w:rsid w:val="00E55B22"/>
    <w:rsid w:val="00E60D44"/>
    <w:rsid w:val="00E63EF8"/>
    <w:rsid w:val="00E64502"/>
    <w:rsid w:val="00E66570"/>
    <w:rsid w:val="00E72567"/>
    <w:rsid w:val="00E7672C"/>
    <w:rsid w:val="00E771D2"/>
    <w:rsid w:val="00E80EDB"/>
    <w:rsid w:val="00E84794"/>
    <w:rsid w:val="00E847DF"/>
    <w:rsid w:val="00E90013"/>
    <w:rsid w:val="00E928BB"/>
    <w:rsid w:val="00E93488"/>
    <w:rsid w:val="00EA0CCD"/>
    <w:rsid w:val="00EA28CA"/>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31CCA"/>
    <w:rsid w:val="00F32BBA"/>
    <w:rsid w:val="00F43E0E"/>
    <w:rsid w:val="00F473F0"/>
    <w:rsid w:val="00F47540"/>
    <w:rsid w:val="00F50569"/>
    <w:rsid w:val="00F52969"/>
    <w:rsid w:val="00F55F14"/>
    <w:rsid w:val="00F622ED"/>
    <w:rsid w:val="00F65EEA"/>
    <w:rsid w:val="00F776D3"/>
    <w:rsid w:val="00F90537"/>
    <w:rsid w:val="00F91733"/>
    <w:rsid w:val="00F920DB"/>
    <w:rsid w:val="00F95209"/>
    <w:rsid w:val="00F964AD"/>
    <w:rsid w:val="00FB3956"/>
    <w:rsid w:val="00FC0F8B"/>
    <w:rsid w:val="00FD6B0E"/>
    <w:rsid w:val="00FE1B77"/>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52A5F9-F62B-417B-BE24-729E011DA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3576</TotalTime>
  <Pages>10</Pages>
  <Words>1592</Words>
  <Characters>9078</Characters>
  <Application>Microsoft Office Word</Application>
  <DocSecurity>0</DocSecurity>
  <Lines>75</Lines>
  <Paragraphs>21</Paragraphs>
  <ScaleCrop>false</ScaleCrop>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81</cp:revision>
  <cp:lastPrinted>2023-06-08T02:23:00Z</cp:lastPrinted>
  <dcterms:created xsi:type="dcterms:W3CDTF">2022-11-15T10:06:00Z</dcterms:created>
  <dcterms:modified xsi:type="dcterms:W3CDTF">2023-09-05T03:26:00Z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