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27652F"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27652F" w:rsidRPr="0020573B">
            <w:rPr>
              <w:rStyle w:val="a9"/>
              <w:noProof/>
            </w:rPr>
            <w:fldChar w:fldCharType="begin"/>
          </w:r>
          <w:r w:rsidR="0027652F" w:rsidRPr="0020573B">
            <w:rPr>
              <w:rStyle w:val="a9"/>
              <w:noProof/>
            </w:rPr>
            <w:instrText xml:space="preserve"> </w:instrText>
          </w:r>
          <w:r w:rsidR="0027652F">
            <w:rPr>
              <w:noProof/>
            </w:rPr>
            <w:instrText>HYPERLINK \l "_Toc144455712"</w:instrText>
          </w:r>
          <w:r w:rsidR="0027652F" w:rsidRPr="0020573B">
            <w:rPr>
              <w:rStyle w:val="a9"/>
              <w:noProof/>
            </w:rPr>
            <w:instrText xml:space="preserve"> </w:instrText>
          </w:r>
          <w:r w:rsidR="0027652F" w:rsidRPr="0020573B">
            <w:rPr>
              <w:rStyle w:val="a9"/>
              <w:noProof/>
            </w:rPr>
          </w:r>
          <w:r w:rsidR="0027652F" w:rsidRPr="0020573B">
            <w:rPr>
              <w:rStyle w:val="a9"/>
              <w:noProof/>
            </w:rPr>
            <w:fldChar w:fldCharType="separate"/>
          </w:r>
          <w:r w:rsidR="0027652F" w:rsidRPr="0020573B">
            <w:rPr>
              <w:rStyle w:val="a9"/>
              <w:rFonts w:ascii="Times New Roman" w:eastAsia="楷体" w:hAnsi="Times New Roman"/>
              <w:b/>
              <w:noProof/>
            </w:rPr>
            <w:t>[</w:t>
          </w:r>
          <w:r w:rsidR="0027652F" w:rsidRPr="0020573B">
            <w:rPr>
              <w:rStyle w:val="a9"/>
              <w:rFonts w:ascii="Times New Roman" w:eastAsia="楷体" w:hAnsi="Times New Roman"/>
              <w:b/>
              <w:noProof/>
            </w:rPr>
            <w:t>金融</w:t>
          </w:r>
          <w:r w:rsidR="0027652F" w:rsidRPr="0020573B">
            <w:rPr>
              <w:rStyle w:val="a9"/>
              <w:rFonts w:ascii="Times New Roman" w:eastAsia="楷体" w:hAnsi="Times New Roman"/>
              <w:b/>
              <w:noProof/>
            </w:rPr>
            <w:t>]</w:t>
          </w:r>
          <w:r w:rsidR="0027652F" w:rsidRPr="0020573B">
            <w:rPr>
              <w:rStyle w:val="a9"/>
              <w:noProof/>
            </w:rPr>
            <w:fldChar w:fldCharType="end"/>
          </w:r>
        </w:p>
        <w:p w:rsidR="0027652F" w:rsidRDefault="0027652F">
          <w:pPr>
            <w:pStyle w:val="23"/>
            <w:tabs>
              <w:tab w:val="right" w:leader="dot" w:pos="8296"/>
            </w:tabs>
            <w:rPr>
              <w:rFonts w:eastAsiaTheme="minorEastAsia"/>
              <w:noProof/>
              <w:szCs w:val="22"/>
            </w:rPr>
          </w:pPr>
          <w:hyperlink w:anchor="_Toc144455713" w:history="1">
            <w:r w:rsidRPr="0020573B">
              <w:rPr>
                <w:rStyle w:val="a9"/>
                <w:rFonts w:ascii="Times New Roman" w:eastAsia="楷体" w:hAnsi="Times New Roman"/>
                <w:b/>
                <w:noProof/>
              </w:rPr>
              <w:t>股指：指数多单持有</w:t>
            </w:r>
          </w:hyperlink>
        </w:p>
        <w:p w:rsidR="0027652F" w:rsidRDefault="0027652F">
          <w:pPr>
            <w:pStyle w:val="11"/>
            <w:tabs>
              <w:tab w:val="right" w:leader="dot" w:pos="8296"/>
            </w:tabs>
            <w:rPr>
              <w:rFonts w:eastAsiaTheme="minorEastAsia"/>
              <w:noProof/>
              <w:szCs w:val="22"/>
            </w:rPr>
          </w:pPr>
          <w:hyperlink w:anchor="_Toc144455714" w:history="1">
            <w:r w:rsidRPr="0020573B">
              <w:rPr>
                <w:rStyle w:val="a9"/>
                <w:rFonts w:ascii="Times New Roman" w:eastAsia="楷体" w:hAnsi="Times New Roman"/>
                <w:b/>
                <w:noProof/>
              </w:rPr>
              <w:t>[</w:t>
            </w:r>
            <w:r w:rsidRPr="0020573B">
              <w:rPr>
                <w:rStyle w:val="a9"/>
                <w:rFonts w:ascii="Times New Roman" w:eastAsia="楷体" w:hAnsi="Times New Roman"/>
                <w:b/>
                <w:noProof/>
              </w:rPr>
              <w:t>贵金属</w:t>
            </w:r>
            <w:r w:rsidRPr="0020573B">
              <w:rPr>
                <w:rStyle w:val="a9"/>
                <w:rFonts w:ascii="Times New Roman" w:eastAsia="楷体" w:hAnsi="Times New Roman"/>
                <w:b/>
                <w:noProof/>
              </w:rPr>
              <w:t>]</w:t>
            </w:r>
          </w:hyperlink>
        </w:p>
        <w:p w:rsidR="0027652F" w:rsidRDefault="0027652F">
          <w:pPr>
            <w:pStyle w:val="23"/>
            <w:tabs>
              <w:tab w:val="right" w:leader="dot" w:pos="8296"/>
            </w:tabs>
            <w:rPr>
              <w:rFonts w:eastAsiaTheme="minorEastAsia"/>
              <w:noProof/>
              <w:szCs w:val="22"/>
            </w:rPr>
          </w:pPr>
          <w:hyperlink w:anchor="_Toc144455715" w:history="1">
            <w:r w:rsidRPr="0020573B">
              <w:rPr>
                <w:rStyle w:val="a9"/>
                <w:rFonts w:ascii="Times New Roman" w:eastAsia="楷体" w:hAnsi="Times New Roman"/>
                <w:b/>
                <w:noProof/>
              </w:rPr>
              <w:t>贵金属：美国</w:t>
            </w:r>
            <w:r w:rsidRPr="0020573B">
              <w:rPr>
                <w:rStyle w:val="a9"/>
                <w:rFonts w:ascii="Times New Roman" w:eastAsia="楷体" w:hAnsi="Times New Roman"/>
                <w:b/>
                <w:noProof/>
              </w:rPr>
              <w:t>7</w:t>
            </w:r>
            <w:r w:rsidRPr="0020573B">
              <w:rPr>
                <w:rStyle w:val="a9"/>
                <w:rFonts w:ascii="Times New Roman" w:eastAsia="楷体" w:hAnsi="Times New Roman"/>
                <w:b/>
                <w:noProof/>
              </w:rPr>
              <w:t>月核心</w:t>
            </w:r>
            <w:r w:rsidRPr="0020573B">
              <w:rPr>
                <w:rStyle w:val="a9"/>
                <w:rFonts w:ascii="Times New Roman" w:eastAsia="楷体" w:hAnsi="Times New Roman"/>
                <w:b/>
                <w:noProof/>
              </w:rPr>
              <w:t>PCE</w:t>
            </w:r>
            <w:r w:rsidRPr="0020573B">
              <w:rPr>
                <w:rStyle w:val="a9"/>
                <w:rFonts w:ascii="Times New Roman" w:eastAsia="楷体" w:hAnsi="Times New Roman"/>
                <w:b/>
                <w:noProof/>
              </w:rPr>
              <w:t>小幅回升，贵金属价格窄幅震荡</w:t>
            </w:r>
          </w:hyperlink>
        </w:p>
        <w:p w:rsidR="0027652F" w:rsidRDefault="0027652F">
          <w:pPr>
            <w:pStyle w:val="11"/>
            <w:tabs>
              <w:tab w:val="right" w:leader="dot" w:pos="8296"/>
            </w:tabs>
            <w:rPr>
              <w:rFonts w:eastAsiaTheme="minorEastAsia"/>
              <w:noProof/>
              <w:szCs w:val="22"/>
            </w:rPr>
          </w:pPr>
          <w:hyperlink w:anchor="_Toc144455716" w:history="1">
            <w:r w:rsidRPr="0020573B">
              <w:rPr>
                <w:rStyle w:val="a9"/>
                <w:rFonts w:ascii="Times New Roman" w:eastAsia="楷体" w:hAnsi="Times New Roman"/>
                <w:b/>
                <w:noProof/>
              </w:rPr>
              <w:t>[</w:t>
            </w:r>
            <w:r w:rsidRPr="0020573B">
              <w:rPr>
                <w:rStyle w:val="a9"/>
                <w:rFonts w:ascii="Times New Roman" w:eastAsia="楷体" w:hAnsi="Times New Roman"/>
                <w:b/>
                <w:noProof/>
              </w:rPr>
              <w:t>金属</w:t>
            </w:r>
            <w:r w:rsidRPr="0020573B">
              <w:rPr>
                <w:rStyle w:val="a9"/>
                <w:rFonts w:ascii="Times New Roman" w:eastAsia="楷体" w:hAnsi="Times New Roman"/>
                <w:b/>
                <w:noProof/>
              </w:rPr>
              <w:t>]</w:t>
            </w:r>
          </w:hyperlink>
        </w:p>
        <w:p w:rsidR="0027652F" w:rsidRDefault="0027652F">
          <w:pPr>
            <w:pStyle w:val="23"/>
            <w:tabs>
              <w:tab w:val="right" w:leader="dot" w:pos="8296"/>
            </w:tabs>
            <w:rPr>
              <w:rFonts w:eastAsiaTheme="minorEastAsia"/>
              <w:noProof/>
              <w:szCs w:val="22"/>
            </w:rPr>
          </w:pPr>
          <w:hyperlink w:anchor="_Toc144455717" w:history="1">
            <w:r w:rsidRPr="0020573B">
              <w:rPr>
                <w:rStyle w:val="a9"/>
                <w:rFonts w:ascii="楷体" w:eastAsia="楷体" w:hAnsi="楷体"/>
                <w:b/>
                <w:noProof/>
              </w:rPr>
              <w:t>碳酸锂：现货价格进一步下行，期价低位震荡</w:t>
            </w:r>
          </w:hyperlink>
        </w:p>
        <w:p w:rsidR="0027652F" w:rsidRDefault="0027652F">
          <w:pPr>
            <w:pStyle w:val="23"/>
            <w:tabs>
              <w:tab w:val="right" w:leader="dot" w:pos="8296"/>
            </w:tabs>
            <w:rPr>
              <w:rFonts w:eastAsiaTheme="minorEastAsia"/>
              <w:noProof/>
              <w:szCs w:val="22"/>
            </w:rPr>
          </w:pPr>
          <w:hyperlink w:anchor="_Toc144455718" w:history="1">
            <w:r w:rsidRPr="0020573B">
              <w:rPr>
                <w:rStyle w:val="a9"/>
                <w:rFonts w:ascii="楷体" w:eastAsia="楷体" w:hAnsi="楷体"/>
                <w:b/>
                <w:noProof/>
              </w:rPr>
              <w:t>螺纹钢：成本支撑下，产量压制，钢价或继续震荡</w:t>
            </w:r>
          </w:hyperlink>
        </w:p>
        <w:p w:rsidR="0027652F" w:rsidRDefault="0027652F">
          <w:pPr>
            <w:pStyle w:val="23"/>
            <w:tabs>
              <w:tab w:val="right" w:leader="dot" w:pos="8296"/>
            </w:tabs>
            <w:rPr>
              <w:rFonts w:eastAsiaTheme="minorEastAsia"/>
              <w:noProof/>
              <w:szCs w:val="22"/>
            </w:rPr>
          </w:pPr>
          <w:hyperlink w:anchor="_Toc144455719" w:history="1">
            <w:r w:rsidRPr="0020573B">
              <w:rPr>
                <w:rStyle w:val="a9"/>
                <w:rFonts w:ascii="楷体" w:eastAsia="楷体" w:hAnsi="楷体"/>
                <w:b/>
                <w:noProof/>
              </w:rPr>
              <w:t>焦炭：现货偏稳，情绪推动价格大幅度波动，高位震荡反复</w:t>
            </w:r>
          </w:hyperlink>
        </w:p>
        <w:p w:rsidR="0027652F" w:rsidRDefault="0027652F">
          <w:pPr>
            <w:pStyle w:val="23"/>
            <w:tabs>
              <w:tab w:val="right" w:leader="dot" w:pos="8296"/>
            </w:tabs>
            <w:rPr>
              <w:rFonts w:eastAsiaTheme="minorEastAsia"/>
              <w:noProof/>
              <w:szCs w:val="22"/>
            </w:rPr>
          </w:pPr>
          <w:hyperlink w:anchor="_Toc144455720" w:history="1">
            <w:r w:rsidRPr="0020573B">
              <w:rPr>
                <w:rStyle w:val="a9"/>
                <w:rFonts w:ascii="楷体" w:eastAsia="楷体" w:hAnsi="楷体"/>
                <w:b/>
                <w:noProof/>
              </w:rPr>
              <w:t>焦煤：高位震荡反复，基差修复后，上方压力较大</w:t>
            </w:r>
          </w:hyperlink>
        </w:p>
        <w:p w:rsidR="0027652F" w:rsidRDefault="0027652F">
          <w:pPr>
            <w:pStyle w:val="23"/>
            <w:tabs>
              <w:tab w:val="right" w:leader="dot" w:pos="8296"/>
            </w:tabs>
            <w:rPr>
              <w:rFonts w:eastAsiaTheme="minorEastAsia"/>
              <w:noProof/>
              <w:szCs w:val="22"/>
            </w:rPr>
          </w:pPr>
          <w:hyperlink w:anchor="_Toc144455721" w:history="1">
            <w:r w:rsidRPr="0020573B">
              <w:rPr>
                <w:rStyle w:val="a9"/>
                <w:rFonts w:ascii="楷体" w:eastAsia="楷体" w:hAnsi="楷体"/>
                <w:b/>
                <w:noProof/>
              </w:rPr>
              <w:t>铜：区间内震荡偏多运行，关注美国非农数据公布</w:t>
            </w:r>
          </w:hyperlink>
        </w:p>
        <w:p w:rsidR="0027652F" w:rsidRDefault="0027652F">
          <w:pPr>
            <w:pStyle w:val="23"/>
            <w:tabs>
              <w:tab w:val="right" w:leader="dot" w:pos="8296"/>
            </w:tabs>
            <w:rPr>
              <w:rFonts w:eastAsiaTheme="minorEastAsia"/>
              <w:noProof/>
              <w:szCs w:val="22"/>
            </w:rPr>
          </w:pPr>
          <w:hyperlink w:anchor="_Toc144455722" w:history="1">
            <w:r w:rsidRPr="0020573B">
              <w:rPr>
                <w:rStyle w:val="a9"/>
                <w:rFonts w:ascii="楷体" w:eastAsia="楷体" w:hAnsi="楷体"/>
                <w:b/>
                <w:noProof/>
              </w:rPr>
              <w:t>铝：铝价区间偏强震荡</w:t>
            </w:r>
          </w:hyperlink>
        </w:p>
        <w:p w:rsidR="0027652F" w:rsidRDefault="0027652F">
          <w:pPr>
            <w:pStyle w:val="23"/>
            <w:tabs>
              <w:tab w:val="right" w:leader="dot" w:pos="8296"/>
            </w:tabs>
            <w:rPr>
              <w:rFonts w:eastAsiaTheme="minorEastAsia"/>
              <w:noProof/>
              <w:szCs w:val="22"/>
            </w:rPr>
          </w:pPr>
          <w:hyperlink w:anchor="_Toc144455723" w:history="1">
            <w:r w:rsidRPr="0020573B">
              <w:rPr>
                <w:rStyle w:val="a9"/>
                <w:rFonts w:ascii="楷体" w:eastAsia="楷体" w:hAnsi="楷体"/>
                <w:b/>
                <w:noProof/>
              </w:rPr>
              <w:t>锌：锌价偏强运行，观望上方压力位</w:t>
            </w:r>
          </w:hyperlink>
        </w:p>
        <w:p w:rsidR="0027652F" w:rsidRDefault="0027652F">
          <w:pPr>
            <w:pStyle w:val="23"/>
            <w:tabs>
              <w:tab w:val="right" w:leader="dot" w:pos="8296"/>
            </w:tabs>
            <w:rPr>
              <w:rFonts w:eastAsiaTheme="minorEastAsia"/>
              <w:noProof/>
              <w:szCs w:val="22"/>
            </w:rPr>
          </w:pPr>
          <w:hyperlink w:anchor="_Toc144455724" w:history="1">
            <w:r w:rsidRPr="0020573B">
              <w:rPr>
                <w:rStyle w:val="a9"/>
                <w:rFonts w:ascii="楷体" w:eastAsia="楷体" w:hAnsi="楷体"/>
                <w:b/>
                <w:noProof/>
              </w:rPr>
              <w:t>镍：短期预计维持震荡运行</w:t>
            </w:r>
          </w:hyperlink>
        </w:p>
        <w:p w:rsidR="0027652F" w:rsidRDefault="0027652F">
          <w:pPr>
            <w:pStyle w:val="23"/>
            <w:tabs>
              <w:tab w:val="right" w:leader="dot" w:pos="8296"/>
            </w:tabs>
            <w:rPr>
              <w:rFonts w:eastAsiaTheme="minorEastAsia"/>
              <w:noProof/>
              <w:szCs w:val="22"/>
            </w:rPr>
          </w:pPr>
          <w:hyperlink w:anchor="_Toc144455725" w:history="1">
            <w:r w:rsidRPr="0020573B">
              <w:rPr>
                <w:rStyle w:val="a9"/>
                <w:rFonts w:ascii="楷体" w:eastAsia="楷体" w:hAnsi="楷体"/>
                <w:b/>
                <w:noProof/>
              </w:rPr>
              <w:t>铅：铝价维持偏强走势，观望万九压力位</w:t>
            </w:r>
          </w:hyperlink>
        </w:p>
        <w:p w:rsidR="0027652F" w:rsidRDefault="0027652F">
          <w:pPr>
            <w:pStyle w:val="23"/>
            <w:tabs>
              <w:tab w:val="right" w:leader="dot" w:pos="8296"/>
            </w:tabs>
            <w:rPr>
              <w:rFonts w:eastAsiaTheme="minorEastAsia"/>
              <w:noProof/>
              <w:szCs w:val="22"/>
            </w:rPr>
          </w:pPr>
          <w:hyperlink w:anchor="_Toc144455726" w:history="1">
            <w:r w:rsidRPr="0020573B">
              <w:rPr>
                <w:rStyle w:val="a9"/>
                <w:rFonts w:ascii="楷体" w:eastAsia="楷体" w:hAnsi="楷体"/>
                <w:b/>
                <w:noProof/>
              </w:rPr>
              <w:t>不锈钢：成本支撑与累库压力交织，需求有望改善</w:t>
            </w:r>
          </w:hyperlink>
        </w:p>
        <w:p w:rsidR="0027652F" w:rsidRDefault="0027652F">
          <w:pPr>
            <w:pStyle w:val="23"/>
            <w:tabs>
              <w:tab w:val="right" w:leader="dot" w:pos="8296"/>
            </w:tabs>
            <w:rPr>
              <w:rFonts w:eastAsiaTheme="minorEastAsia"/>
              <w:noProof/>
              <w:szCs w:val="22"/>
            </w:rPr>
          </w:pPr>
          <w:hyperlink w:anchor="_Toc144455727" w:history="1">
            <w:r w:rsidRPr="0020573B">
              <w:rPr>
                <w:rStyle w:val="a9"/>
                <w:rFonts w:ascii="楷体" w:eastAsia="楷体" w:hAnsi="楷体"/>
                <w:b/>
                <w:noProof/>
              </w:rPr>
              <w:t>工业硅：房地产政策发布，需求有望迎来改善</w:t>
            </w:r>
          </w:hyperlink>
        </w:p>
        <w:p w:rsidR="0027652F" w:rsidRDefault="0027652F">
          <w:pPr>
            <w:pStyle w:val="11"/>
            <w:tabs>
              <w:tab w:val="right" w:leader="dot" w:pos="8296"/>
            </w:tabs>
            <w:rPr>
              <w:rFonts w:eastAsiaTheme="minorEastAsia"/>
              <w:noProof/>
              <w:szCs w:val="22"/>
            </w:rPr>
          </w:pPr>
          <w:hyperlink w:anchor="_Toc144455728" w:history="1">
            <w:r w:rsidRPr="0020573B">
              <w:rPr>
                <w:rStyle w:val="a9"/>
                <w:rFonts w:ascii="Times New Roman" w:eastAsia="楷体" w:hAnsi="Times New Roman"/>
                <w:b/>
                <w:noProof/>
              </w:rPr>
              <w:t>[</w:t>
            </w:r>
            <w:r w:rsidRPr="0020573B">
              <w:rPr>
                <w:rStyle w:val="a9"/>
                <w:rFonts w:ascii="Times New Roman" w:eastAsia="楷体" w:hAnsi="Times New Roman"/>
                <w:b/>
                <w:noProof/>
              </w:rPr>
              <w:t>化工</w:t>
            </w:r>
            <w:r w:rsidRPr="0020573B">
              <w:rPr>
                <w:rStyle w:val="a9"/>
                <w:rFonts w:ascii="Times New Roman" w:eastAsia="楷体" w:hAnsi="Times New Roman"/>
                <w:b/>
                <w:noProof/>
              </w:rPr>
              <w:t>]</w:t>
            </w:r>
          </w:hyperlink>
        </w:p>
        <w:p w:rsidR="0027652F" w:rsidRDefault="0027652F">
          <w:pPr>
            <w:pStyle w:val="23"/>
            <w:tabs>
              <w:tab w:val="right" w:leader="dot" w:pos="8296"/>
            </w:tabs>
            <w:rPr>
              <w:rFonts w:eastAsiaTheme="minorEastAsia"/>
              <w:noProof/>
              <w:szCs w:val="22"/>
            </w:rPr>
          </w:pPr>
          <w:hyperlink w:anchor="_Toc144455729" w:history="1">
            <w:r w:rsidRPr="0020573B">
              <w:rPr>
                <w:rStyle w:val="a9"/>
                <w:rFonts w:ascii="Times New Roman" w:eastAsia="楷体" w:hAnsi="Times New Roman"/>
                <w:b/>
                <w:noProof/>
              </w:rPr>
              <w:t>天然橡胶</w:t>
            </w:r>
            <w:r w:rsidRPr="0020573B">
              <w:rPr>
                <w:rStyle w:val="a9"/>
                <w:rFonts w:ascii="Times New Roman" w:eastAsia="楷体" w:hAnsi="Times New Roman"/>
                <w:b/>
                <w:noProof/>
              </w:rPr>
              <w:t>:</w:t>
            </w:r>
            <w:r w:rsidRPr="0020573B">
              <w:rPr>
                <w:rStyle w:val="a9"/>
                <w:rFonts w:ascii="楷体" w:eastAsia="楷体" w:hAnsi="楷体"/>
                <w:b/>
                <w:noProof/>
              </w:rPr>
              <w:t xml:space="preserve"> 天气影响主产区原料释放 天胶维持偏强震荡</w:t>
            </w:r>
          </w:hyperlink>
        </w:p>
        <w:p w:rsidR="0027652F" w:rsidRDefault="0027652F">
          <w:pPr>
            <w:pStyle w:val="23"/>
            <w:tabs>
              <w:tab w:val="right" w:leader="dot" w:pos="8296"/>
            </w:tabs>
            <w:rPr>
              <w:rFonts w:eastAsiaTheme="minorEastAsia"/>
              <w:noProof/>
              <w:szCs w:val="22"/>
            </w:rPr>
          </w:pPr>
          <w:hyperlink w:anchor="_Toc144455730" w:history="1">
            <w:r w:rsidRPr="0020573B">
              <w:rPr>
                <w:rStyle w:val="a9"/>
                <w:rFonts w:ascii="楷体" w:eastAsia="楷体" w:hAnsi="楷体"/>
                <w:b/>
                <w:noProof/>
              </w:rPr>
              <w:t>PTA：低加工费及成本端支撑仍偏强</w:t>
            </w:r>
          </w:hyperlink>
        </w:p>
        <w:p w:rsidR="0027652F" w:rsidRDefault="0027652F">
          <w:pPr>
            <w:pStyle w:val="23"/>
            <w:tabs>
              <w:tab w:val="right" w:leader="dot" w:pos="8296"/>
            </w:tabs>
            <w:rPr>
              <w:rFonts w:eastAsiaTheme="minorEastAsia"/>
              <w:noProof/>
              <w:szCs w:val="22"/>
            </w:rPr>
          </w:pPr>
          <w:hyperlink w:anchor="_Toc144455731" w:history="1">
            <w:r w:rsidRPr="0020573B">
              <w:rPr>
                <w:rStyle w:val="a9"/>
                <w:rFonts w:ascii="楷体" w:eastAsia="楷体" w:hAnsi="楷体"/>
                <w:b/>
                <w:noProof/>
              </w:rPr>
              <w:t>PVC：高库存+弱复苏 驱动不足</w:t>
            </w:r>
          </w:hyperlink>
        </w:p>
        <w:p w:rsidR="0027652F" w:rsidRDefault="0027652F">
          <w:pPr>
            <w:pStyle w:val="23"/>
            <w:tabs>
              <w:tab w:val="right" w:leader="dot" w:pos="8296"/>
            </w:tabs>
            <w:rPr>
              <w:rFonts w:eastAsiaTheme="minorEastAsia"/>
              <w:noProof/>
              <w:szCs w:val="22"/>
            </w:rPr>
          </w:pPr>
          <w:hyperlink w:anchor="_Toc144455732" w:history="1">
            <w:r w:rsidRPr="0020573B">
              <w:rPr>
                <w:rStyle w:val="a9"/>
                <w:rFonts w:ascii="楷体" w:eastAsia="楷体" w:hAnsi="楷体"/>
                <w:b/>
                <w:noProof/>
              </w:rPr>
              <w:t>聚烯烃：供应压力逐渐凸显，PP整体强于PE</w:t>
            </w:r>
          </w:hyperlink>
        </w:p>
        <w:p w:rsidR="0027652F" w:rsidRDefault="0027652F">
          <w:pPr>
            <w:pStyle w:val="23"/>
            <w:tabs>
              <w:tab w:val="right" w:leader="dot" w:pos="8296"/>
            </w:tabs>
            <w:rPr>
              <w:rFonts w:eastAsiaTheme="minorEastAsia"/>
              <w:noProof/>
              <w:szCs w:val="22"/>
            </w:rPr>
          </w:pPr>
          <w:hyperlink w:anchor="_Toc144455733" w:history="1">
            <w:r w:rsidRPr="0020573B">
              <w:rPr>
                <w:rStyle w:val="a9"/>
                <w:rFonts w:ascii="楷体" w:eastAsia="楷体" w:hAnsi="楷体"/>
                <w:b/>
                <w:noProof/>
              </w:rPr>
              <w:t>MEG：成本提振但高库存压制反弹空间</w:t>
            </w:r>
          </w:hyperlink>
        </w:p>
        <w:p w:rsidR="0027652F" w:rsidRDefault="0027652F">
          <w:pPr>
            <w:pStyle w:val="23"/>
            <w:tabs>
              <w:tab w:val="right" w:leader="dot" w:pos="8296"/>
            </w:tabs>
            <w:rPr>
              <w:rFonts w:eastAsiaTheme="minorEastAsia"/>
              <w:noProof/>
              <w:szCs w:val="22"/>
            </w:rPr>
          </w:pPr>
          <w:hyperlink w:anchor="_Toc144455734" w:history="1">
            <w:r w:rsidRPr="0020573B">
              <w:rPr>
                <w:rStyle w:val="a9"/>
                <w:rFonts w:ascii="楷体" w:eastAsia="楷体" w:hAnsi="楷体"/>
                <w:b/>
                <w:noProof/>
              </w:rPr>
              <w:t>玻璃：周内累库，产销边际改善</w:t>
            </w:r>
          </w:hyperlink>
        </w:p>
        <w:p w:rsidR="0027652F" w:rsidRDefault="0027652F">
          <w:pPr>
            <w:pStyle w:val="23"/>
            <w:tabs>
              <w:tab w:val="right" w:leader="dot" w:pos="8296"/>
            </w:tabs>
            <w:rPr>
              <w:rFonts w:eastAsiaTheme="minorEastAsia"/>
              <w:noProof/>
              <w:szCs w:val="22"/>
            </w:rPr>
          </w:pPr>
          <w:hyperlink w:anchor="_Toc144455735" w:history="1">
            <w:r w:rsidRPr="0020573B">
              <w:rPr>
                <w:rStyle w:val="a9"/>
                <w:rFonts w:ascii="楷体" w:eastAsia="楷体" w:hAnsi="楷体"/>
                <w:b/>
                <w:noProof/>
              </w:rPr>
              <w:t>纯碱：现货继续涨价，近月有向上基差修复空间</w:t>
            </w:r>
          </w:hyperlink>
        </w:p>
        <w:p w:rsidR="0027652F" w:rsidRDefault="0027652F">
          <w:pPr>
            <w:pStyle w:val="11"/>
            <w:tabs>
              <w:tab w:val="right" w:leader="dot" w:pos="8296"/>
            </w:tabs>
            <w:rPr>
              <w:rFonts w:eastAsiaTheme="minorEastAsia"/>
              <w:noProof/>
              <w:szCs w:val="22"/>
            </w:rPr>
          </w:pPr>
          <w:hyperlink w:anchor="_Toc144455736" w:history="1">
            <w:r w:rsidRPr="0020573B">
              <w:rPr>
                <w:rStyle w:val="a9"/>
                <w:rFonts w:ascii="Times New Roman" w:eastAsia="楷体" w:hAnsi="Times New Roman"/>
                <w:b/>
                <w:noProof/>
              </w:rPr>
              <w:t>[</w:t>
            </w:r>
            <w:r w:rsidRPr="0020573B">
              <w:rPr>
                <w:rStyle w:val="a9"/>
                <w:rFonts w:ascii="Times New Roman" w:eastAsia="楷体" w:hAnsi="Times New Roman"/>
                <w:b/>
                <w:noProof/>
              </w:rPr>
              <w:t>农产品</w:t>
            </w:r>
            <w:r w:rsidRPr="0020573B">
              <w:rPr>
                <w:rStyle w:val="a9"/>
                <w:rFonts w:ascii="Times New Roman" w:eastAsia="楷体" w:hAnsi="Times New Roman"/>
                <w:b/>
                <w:noProof/>
              </w:rPr>
              <w:t>]</w:t>
            </w:r>
          </w:hyperlink>
        </w:p>
        <w:p w:rsidR="0027652F" w:rsidRDefault="0027652F">
          <w:pPr>
            <w:pStyle w:val="23"/>
            <w:tabs>
              <w:tab w:val="right" w:leader="dot" w:pos="8296"/>
            </w:tabs>
            <w:rPr>
              <w:rFonts w:eastAsiaTheme="minorEastAsia"/>
              <w:noProof/>
              <w:szCs w:val="22"/>
            </w:rPr>
          </w:pPr>
          <w:hyperlink w:anchor="_Toc144455737" w:history="1">
            <w:r w:rsidRPr="0020573B">
              <w:rPr>
                <w:rStyle w:val="a9"/>
                <w:rFonts w:ascii="楷体" w:eastAsia="楷体" w:hAnsi="楷体"/>
                <w:b/>
                <w:noProof/>
              </w:rPr>
              <w:t>豆粕/菜粕：短期延续高位震荡</w:t>
            </w:r>
          </w:hyperlink>
        </w:p>
        <w:p w:rsidR="0027652F" w:rsidRDefault="0027652F">
          <w:pPr>
            <w:pStyle w:val="23"/>
            <w:tabs>
              <w:tab w:val="right" w:leader="dot" w:pos="8296"/>
            </w:tabs>
            <w:rPr>
              <w:rFonts w:eastAsiaTheme="minorEastAsia"/>
              <w:noProof/>
              <w:szCs w:val="22"/>
            </w:rPr>
          </w:pPr>
          <w:hyperlink w:anchor="_Toc144455738" w:history="1">
            <w:r w:rsidRPr="0020573B">
              <w:rPr>
                <w:rStyle w:val="a9"/>
                <w:rFonts w:ascii="楷体" w:eastAsia="楷体" w:hAnsi="楷体"/>
                <w:b/>
                <w:noProof/>
              </w:rPr>
              <w:t>油脂：维持宽幅震荡</w:t>
            </w:r>
          </w:hyperlink>
        </w:p>
        <w:p w:rsidR="0027652F" w:rsidRDefault="0027652F">
          <w:pPr>
            <w:pStyle w:val="23"/>
            <w:tabs>
              <w:tab w:val="right" w:leader="dot" w:pos="8296"/>
            </w:tabs>
            <w:rPr>
              <w:rFonts w:eastAsiaTheme="minorEastAsia"/>
              <w:noProof/>
              <w:szCs w:val="22"/>
            </w:rPr>
          </w:pPr>
          <w:hyperlink w:anchor="_Toc144455739" w:history="1">
            <w:r w:rsidRPr="0020573B">
              <w:rPr>
                <w:rStyle w:val="a9"/>
                <w:rFonts w:ascii="楷体" w:eastAsia="楷体" w:hAnsi="楷体"/>
                <w:b/>
                <w:bCs/>
                <w:noProof/>
              </w:rPr>
              <w:t>玉米与淀粉：</w:t>
            </w:r>
            <w:r w:rsidRPr="0020573B">
              <w:rPr>
                <w:rStyle w:val="a9"/>
                <w:rFonts w:ascii="楷体" w:eastAsia="楷体" w:hAnsi="楷体"/>
                <w:b/>
                <w:noProof/>
              </w:rPr>
              <w:t>华北玉米带动期价震荡调整</w:t>
            </w:r>
          </w:hyperlink>
        </w:p>
        <w:p w:rsidR="0027652F" w:rsidRDefault="0027652F">
          <w:pPr>
            <w:pStyle w:val="23"/>
            <w:tabs>
              <w:tab w:val="right" w:leader="dot" w:pos="8296"/>
            </w:tabs>
            <w:rPr>
              <w:rFonts w:eastAsiaTheme="minorEastAsia"/>
              <w:noProof/>
              <w:szCs w:val="22"/>
            </w:rPr>
          </w:pPr>
          <w:hyperlink w:anchor="_Toc144455740" w:history="1">
            <w:r w:rsidRPr="0020573B">
              <w:rPr>
                <w:rStyle w:val="a9"/>
                <w:rFonts w:ascii="楷体" w:eastAsia="楷体" w:hAnsi="楷体"/>
                <w:b/>
                <w:bCs/>
                <w:noProof/>
              </w:rPr>
              <w:t>畜禽养殖：期价继续窄幅震荡</w:t>
            </w:r>
          </w:hyperlink>
        </w:p>
        <w:p w:rsidR="0027652F" w:rsidRDefault="0027652F">
          <w:pPr>
            <w:pStyle w:val="23"/>
            <w:tabs>
              <w:tab w:val="right" w:leader="dot" w:pos="8296"/>
            </w:tabs>
            <w:rPr>
              <w:rFonts w:eastAsiaTheme="minorEastAsia"/>
              <w:noProof/>
              <w:szCs w:val="22"/>
            </w:rPr>
          </w:pPr>
          <w:hyperlink w:anchor="_Toc144455741" w:history="1">
            <w:r w:rsidRPr="0020573B">
              <w:rPr>
                <w:rStyle w:val="a9"/>
                <w:rFonts w:ascii="楷体" w:eastAsia="楷体" w:hAnsi="楷体"/>
                <w:b/>
                <w:noProof/>
              </w:rPr>
              <w:t>郑棉：看跌期权卖权持有</w:t>
            </w:r>
          </w:hyperlink>
        </w:p>
        <w:p w:rsidR="0027652F" w:rsidRDefault="0027652F">
          <w:pPr>
            <w:pStyle w:val="23"/>
            <w:tabs>
              <w:tab w:val="right" w:leader="dot" w:pos="8296"/>
            </w:tabs>
            <w:rPr>
              <w:rFonts w:eastAsiaTheme="minorEastAsia"/>
              <w:noProof/>
              <w:szCs w:val="22"/>
            </w:rPr>
          </w:pPr>
          <w:hyperlink w:anchor="_Toc144455742" w:history="1">
            <w:r w:rsidRPr="0020573B">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4557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455713"/>
      <w:bookmarkEnd w:id="4"/>
      <w:r>
        <w:rPr>
          <w:rFonts w:ascii="Times New Roman" w:eastAsia="楷体" w:hAnsi="Times New Roman" w:hint="eastAsia"/>
          <w:b/>
          <w:color w:val="000000" w:themeColor="text1"/>
          <w:sz w:val="24"/>
          <w:szCs w:val="24"/>
        </w:rPr>
        <w:t>股指：</w:t>
      </w:r>
      <w:bookmarkEnd w:id="6"/>
      <w:bookmarkEnd w:id="7"/>
      <w:r w:rsidR="007C6F18" w:rsidRPr="007C6F18">
        <w:rPr>
          <w:rFonts w:ascii="Times New Roman" w:eastAsia="楷体" w:hAnsi="Times New Roman" w:hint="eastAsia"/>
          <w:b/>
          <w:color w:val="000000" w:themeColor="text1"/>
          <w:sz w:val="24"/>
          <w:szCs w:val="24"/>
        </w:rPr>
        <w:t>指数多单持有</w:t>
      </w:r>
      <w:bookmarkEnd w:id="8"/>
    </w:p>
    <w:p w:rsidR="003F56A5" w:rsidRDefault="007C6F18" w:rsidP="00D14B3E">
      <w:pPr>
        <w:ind w:leftChars="300" w:left="630"/>
        <w:rPr>
          <w:rFonts w:ascii="Times New Roman" w:eastAsia="楷体" w:hAnsi="Times New Roman"/>
          <w:color w:val="000000" w:themeColor="text1"/>
          <w:sz w:val="24"/>
          <w:szCs w:val="24"/>
        </w:rPr>
      </w:pPr>
      <w:r w:rsidRPr="007C6F18">
        <w:rPr>
          <w:rFonts w:ascii="Times New Roman" w:eastAsia="楷体" w:hAnsi="Times New Roman" w:hint="eastAsia"/>
          <w:color w:val="000000" w:themeColor="text1"/>
          <w:sz w:val="24"/>
          <w:szCs w:val="24"/>
        </w:rPr>
        <w:t>楼市重磅政策出炉，首套首套存量房贷下调，首套二套首付比例下降，政策出炉之后，</w:t>
      </w:r>
      <w:r w:rsidRPr="007C6F18">
        <w:rPr>
          <w:rFonts w:ascii="Times New Roman" w:eastAsia="楷体" w:hAnsi="Times New Roman" w:hint="eastAsia"/>
          <w:color w:val="000000" w:themeColor="text1"/>
          <w:sz w:val="24"/>
          <w:szCs w:val="24"/>
        </w:rPr>
        <w:t>A50</w:t>
      </w:r>
      <w:r w:rsidRPr="007C6F18">
        <w:rPr>
          <w:rFonts w:ascii="Times New Roman" w:eastAsia="楷体" w:hAnsi="Times New Roman" w:hint="eastAsia"/>
          <w:color w:val="000000" w:themeColor="text1"/>
          <w:sz w:val="24"/>
          <w:szCs w:val="24"/>
        </w:rPr>
        <w:t>期货短线反弹，结合连续三月上升的</w:t>
      </w:r>
      <w:r w:rsidRPr="007C6F18">
        <w:rPr>
          <w:rFonts w:ascii="Times New Roman" w:eastAsia="楷体" w:hAnsi="Times New Roman" w:hint="eastAsia"/>
          <w:color w:val="000000" w:themeColor="text1"/>
          <w:sz w:val="24"/>
          <w:szCs w:val="24"/>
        </w:rPr>
        <w:t>PMI</w:t>
      </w:r>
      <w:r w:rsidRPr="007C6F18">
        <w:rPr>
          <w:rFonts w:ascii="Times New Roman" w:eastAsia="楷体" w:hAnsi="Times New Roman" w:hint="eastAsia"/>
          <w:color w:val="000000" w:themeColor="text1"/>
          <w:sz w:val="24"/>
          <w:szCs w:val="24"/>
        </w:rPr>
        <w:t>数据，提振市场信心，但对于市场利好反应幅度持谨慎态度。同时，盘面近期小盘显著强于大盘，减持限制及</w:t>
      </w:r>
      <w:r w:rsidRPr="007C6F18">
        <w:rPr>
          <w:rFonts w:ascii="Times New Roman" w:eastAsia="楷体" w:hAnsi="Times New Roman" w:hint="eastAsia"/>
          <w:color w:val="000000" w:themeColor="text1"/>
          <w:sz w:val="24"/>
          <w:szCs w:val="24"/>
        </w:rPr>
        <w:t>IPO</w:t>
      </w:r>
      <w:r w:rsidRPr="007C6F18">
        <w:rPr>
          <w:rFonts w:ascii="Times New Roman" w:eastAsia="楷体" w:hAnsi="Times New Roman" w:hint="eastAsia"/>
          <w:color w:val="000000" w:themeColor="text1"/>
          <w:sz w:val="24"/>
          <w:szCs w:val="24"/>
        </w:rPr>
        <w:t>节奏放缓均有利于小盘流动性，驱动资金流入小盘，存在结构性机会，</w:t>
      </w:r>
      <w:r w:rsidRPr="007C6F18">
        <w:rPr>
          <w:rFonts w:ascii="Times New Roman" w:eastAsia="楷体" w:hAnsi="Times New Roman" w:hint="eastAsia"/>
          <w:color w:val="000000" w:themeColor="text1"/>
          <w:sz w:val="24"/>
          <w:szCs w:val="24"/>
        </w:rPr>
        <w:t>IM/IH</w:t>
      </w:r>
      <w:r w:rsidRPr="007C6F18">
        <w:rPr>
          <w:rFonts w:ascii="Times New Roman" w:eastAsia="楷体" w:hAnsi="Times New Roman" w:hint="eastAsia"/>
          <w:color w:val="000000" w:themeColor="text1"/>
          <w:sz w:val="24"/>
          <w:szCs w:val="24"/>
        </w:rPr>
        <w:t>比价已到前低，市场风格或阶段性转向中小盘成长</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4557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455715"/>
      <w:r>
        <w:rPr>
          <w:rFonts w:ascii="Times New Roman" w:eastAsia="楷体" w:hAnsi="Times New Roman" w:hint="eastAsia"/>
          <w:b/>
          <w:color w:val="000000" w:themeColor="text1"/>
          <w:sz w:val="24"/>
          <w:szCs w:val="24"/>
        </w:rPr>
        <w:t>贵金属：</w:t>
      </w:r>
      <w:r w:rsidR="007C6F18" w:rsidRPr="007C6F18">
        <w:rPr>
          <w:rFonts w:ascii="Times New Roman" w:eastAsia="楷体" w:hAnsi="Times New Roman" w:hint="eastAsia"/>
          <w:b/>
          <w:color w:val="000000" w:themeColor="text1"/>
          <w:sz w:val="24"/>
          <w:szCs w:val="24"/>
        </w:rPr>
        <w:t>美国</w:t>
      </w:r>
      <w:r w:rsidR="007C6F18" w:rsidRPr="007C6F18">
        <w:rPr>
          <w:rFonts w:ascii="Times New Roman" w:eastAsia="楷体" w:hAnsi="Times New Roman" w:hint="eastAsia"/>
          <w:b/>
          <w:color w:val="000000" w:themeColor="text1"/>
          <w:sz w:val="24"/>
          <w:szCs w:val="24"/>
        </w:rPr>
        <w:t>7</w:t>
      </w:r>
      <w:r w:rsidR="007C6F18" w:rsidRPr="007C6F18">
        <w:rPr>
          <w:rFonts w:ascii="Times New Roman" w:eastAsia="楷体" w:hAnsi="Times New Roman" w:hint="eastAsia"/>
          <w:b/>
          <w:color w:val="000000" w:themeColor="text1"/>
          <w:sz w:val="24"/>
          <w:szCs w:val="24"/>
        </w:rPr>
        <w:t>月核心</w:t>
      </w:r>
      <w:r w:rsidR="007C6F18" w:rsidRPr="007C6F18">
        <w:rPr>
          <w:rFonts w:ascii="Times New Roman" w:eastAsia="楷体" w:hAnsi="Times New Roman" w:hint="eastAsia"/>
          <w:b/>
          <w:color w:val="000000" w:themeColor="text1"/>
          <w:sz w:val="24"/>
          <w:szCs w:val="24"/>
        </w:rPr>
        <w:t>PCE</w:t>
      </w:r>
      <w:r w:rsidR="007C6F18" w:rsidRPr="007C6F18">
        <w:rPr>
          <w:rFonts w:ascii="Times New Roman" w:eastAsia="楷体" w:hAnsi="Times New Roman" w:hint="eastAsia"/>
          <w:b/>
          <w:color w:val="000000" w:themeColor="text1"/>
          <w:sz w:val="24"/>
          <w:szCs w:val="24"/>
        </w:rPr>
        <w:t>小幅回升，贵金属价格窄幅震荡</w:t>
      </w:r>
      <w:bookmarkEnd w:id="10"/>
    </w:p>
    <w:p w:rsidR="003F56A5" w:rsidRDefault="007C6F18">
      <w:pPr>
        <w:ind w:leftChars="300" w:left="630"/>
        <w:rPr>
          <w:rFonts w:ascii="Times New Roman" w:eastAsia="楷体" w:hAnsi="Times New Roman"/>
          <w:sz w:val="24"/>
          <w:szCs w:val="24"/>
        </w:rPr>
      </w:pPr>
      <w:r w:rsidRPr="007C6F18">
        <w:rPr>
          <w:rFonts w:ascii="Times New Roman" w:eastAsia="楷体" w:hAnsi="Times New Roman" w:hint="eastAsia"/>
          <w:color w:val="000000" w:themeColor="text1"/>
          <w:sz w:val="24"/>
          <w:szCs w:val="24"/>
        </w:rPr>
        <w:t>美国最新当周初请失业金人数录得</w:t>
      </w:r>
      <w:r w:rsidRPr="007C6F18">
        <w:rPr>
          <w:rFonts w:ascii="Times New Roman" w:eastAsia="楷体" w:hAnsi="Times New Roman" w:hint="eastAsia"/>
          <w:color w:val="000000" w:themeColor="text1"/>
          <w:sz w:val="24"/>
          <w:szCs w:val="24"/>
        </w:rPr>
        <w:t>22.8</w:t>
      </w:r>
      <w:r w:rsidRPr="007C6F18">
        <w:rPr>
          <w:rFonts w:ascii="Times New Roman" w:eastAsia="楷体" w:hAnsi="Times New Roman" w:hint="eastAsia"/>
          <w:color w:val="000000" w:themeColor="text1"/>
          <w:sz w:val="24"/>
          <w:szCs w:val="24"/>
        </w:rPr>
        <w:t>万人，略低于预期及前值。</w:t>
      </w:r>
      <w:r w:rsidRPr="007C6F18">
        <w:rPr>
          <w:rFonts w:ascii="Times New Roman" w:eastAsia="楷体" w:hAnsi="Times New Roman" w:hint="eastAsia"/>
          <w:color w:val="000000" w:themeColor="text1"/>
          <w:sz w:val="24"/>
          <w:szCs w:val="24"/>
        </w:rPr>
        <w:t>7</w:t>
      </w:r>
      <w:r w:rsidRPr="007C6F18">
        <w:rPr>
          <w:rFonts w:ascii="Times New Roman" w:eastAsia="楷体" w:hAnsi="Times New Roman" w:hint="eastAsia"/>
          <w:color w:val="000000" w:themeColor="text1"/>
          <w:sz w:val="24"/>
          <w:szCs w:val="24"/>
        </w:rPr>
        <w:t>月美国</w:t>
      </w:r>
      <w:r w:rsidRPr="007C6F18">
        <w:rPr>
          <w:rFonts w:ascii="Times New Roman" w:eastAsia="楷体" w:hAnsi="Times New Roman" w:hint="eastAsia"/>
          <w:color w:val="000000" w:themeColor="text1"/>
          <w:sz w:val="24"/>
          <w:szCs w:val="24"/>
        </w:rPr>
        <w:t>PCE</w:t>
      </w:r>
      <w:r w:rsidRPr="007C6F18">
        <w:rPr>
          <w:rFonts w:ascii="Times New Roman" w:eastAsia="楷体" w:hAnsi="Times New Roman" w:hint="eastAsia"/>
          <w:color w:val="000000" w:themeColor="text1"/>
          <w:sz w:val="24"/>
          <w:szCs w:val="24"/>
        </w:rPr>
        <w:t>通胀环比增</w:t>
      </w:r>
      <w:r w:rsidRPr="007C6F18">
        <w:rPr>
          <w:rFonts w:ascii="Times New Roman" w:eastAsia="楷体" w:hAnsi="Times New Roman" w:hint="eastAsia"/>
          <w:color w:val="000000" w:themeColor="text1"/>
          <w:sz w:val="24"/>
          <w:szCs w:val="24"/>
        </w:rPr>
        <w:t>3.3%</w:t>
      </w:r>
      <w:r w:rsidRPr="007C6F18">
        <w:rPr>
          <w:rFonts w:ascii="Times New Roman" w:eastAsia="楷体" w:hAnsi="Times New Roman" w:hint="eastAsia"/>
          <w:color w:val="000000" w:themeColor="text1"/>
          <w:sz w:val="24"/>
          <w:szCs w:val="24"/>
        </w:rPr>
        <w:t>，同比增</w:t>
      </w:r>
      <w:r w:rsidRPr="007C6F18">
        <w:rPr>
          <w:rFonts w:ascii="Times New Roman" w:eastAsia="楷体" w:hAnsi="Times New Roman" w:hint="eastAsia"/>
          <w:color w:val="000000" w:themeColor="text1"/>
          <w:sz w:val="24"/>
          <w:szCs w:val="24"/>
        </w:rPr>
        <w:t>0.2%</w:t>
      </w:r>
      <w:r w:rsidRPr="007C6F18">
        <w:rPr>
          <w:rFonts w:ascii="Times New Roman" w:eastAsia="楷体" w:hAnsi="Times New Roman" w:hint="eastAsia"/>
          <w:color w:val="000000" w:themeColor="text1"/>
          <w:sz w:val="24"/>
          <w:szCs w:val="24"/>
        </w:rPr>
        <w:t>；核心</w:t>
      </w:r>
      <w:r w:rsidRPr="007C6F18">
        <w:rPr>
          <w:rFonts w:ascii="Times New Roman" w:eastAsia="楷体" w:hAnsi="Times New Roman" w:hint="eastAsia"/>
          <w:color w:val="000000" w:themeColor="text1"/>
          <w:sz w:val="24"/>
          <w:szCs w:val="24"/>
        </w:rPr>
        <w:t>PCE</w:t>
      </w:r>
      <w:r w:rsidRPr="007C6F18">
        <w:rPr>
          <w:rFonts w:ascii="Times New Roman" w:eastAsia="楷体" w:hAnsi="Times New Roman" w:hint="eastAsia"/>
          <w:color w:val="000000" w:themeColor="text1"/>
          <w:sz w:val="24"/>
          <w:szCs w:val="24"/>
        </w:rPr>
        <w:t>同比增</w:t>
      </w:r>
      <w:r w:rsidRPr="007C6F18">
        <w:rPr>
          <w:rFonts w:ascii="Times New Roman" w:eastAsia="楷体" w:hAnsi="Times New Roman" w:hint="eastAsia"/>
          <w:color w:val="000000" w:themeColor="text1"/>
          <w:sz w:val="24"/>
          <w:szCs w:val="24"/>
        </w:rPr>
        <w:t>4.2%</w:t>
      </w:r>
      <w:r w:rsidRPr="007C6F18">
        <w:rPr>
          <w:rFonts w:ascii="Times New Roman" w:eastAsia="楷体" w:hAnsi="Times New Roman" w:hint="eastAsia"/>
          <w:color w:val="000000" w:themeColor="text1"/>
          <w:sz w:val="24"/>
          <w:szCs w:val="24"/>
        </w:rPr>
        <w:t>，较前值的</w:t>
      </w:r>
      <w:r w:rsidRPr="007C6F18">
        <w:rPr>
          <w:rFonts w:ascii="Times New Roman" w:eastAsia="楷体" w:hAnsi="Times New Roman" w:hint="eastAsia"/>
          <w:color w:val="000000" w:themeColor="text1"/>
          <w:sz w:val="24"/>
          <w:szCs w:val="24"/>
        </w:rPr>
        <w:t>4.1%</w:t>
      </w:r>
      <w:r w:rsidRPr="007C6F18">
        <w:rPr>
          <w:rFonts w:ascii="Times New Roman" w:eastAsia="楷体" w:hAnsi="Times New Roman" w:hint="eastAsia"/>
          <w:color w:val="000000" w:themeColor="text1"/>
          <w:sz w:val="24"/>
          <w:szCs w:val="24"/>
        </w:rPr>
        <w:t>小幅回升；核心</w:t>
      </w:r>
      <w:r w:rsidRPr="007C6F18">
        <w:rPr>
          <w:rFonts w:ascii="Times New Roman" w:eastAsia="楷体" w:hAnsi="Times New Roman" w:hint="eastAsia"/>
          <w:color w:val="000000" w:themeColor="text1"/>
          <w:sz w:val="24"/>
          <w:szCs w:val="24"/>
        </w:rPr>
        <w:t>PCE</w:t>
      </w:r>
      <w:r w:rsidRPr="007C6F18">
        <w:rPr>
          <w:rFonts w:ascii="Times New Roman" w:eastAsia="楷体" w:hAnsi="Times New Roman" w:hint="eastAsia"/>
          <w:color w:val="000000" w:themeColor="text1"/>
          <w:sz w:val="24"/>
          <w:szCs w:val="24"/>
        </w:rPr>
        <w:t>环比增</w:t>
      </w:r>
      <w:r w:rsidRPr="007C6F18">
        <w:rPr>
          <w:rFonts w:ascii="Times New Roman" w:eastAsia="楷体" w:hAnsi="Times New Roman" w:hint="eastAsia"/>
          <w:color w:val="000000" w:themeColor="text1"/>
          <w:sz w:val="24"/>
          <w:szCs w:val="24"/>
        </w:rPr>
        <w:t>0.2%</w:t>
      </w:r>
      <w:r w:rsidRPr="007C6F18">
        <w:rPr>
          <w:rFonts w:ascii="Times New Roman" w:eastAsia="楷体" w:hAnsi="Times New Roman" w:hint="eastAsia"/>
          <w:color w:val="000000" w:themeColor="text1"/>
          <w:sz w:val="24"/>
          <w:szCs w:val="24"/>
        </w:rPr>
        <w:t>。美联储博斯蒂克表示，美国通胀仍然过高，不赞成立即放松政策，若通胀意外上升，将支持进一步收紧政策。美元指数涨</w:t>
      </w:r>
      <w:r w:rsidRPr="007C6F18">
        <w:rPr>
          <w:rFonts w:ascii="Times New Roman" w:eastAsia="楷体" w:hAnsi="Times New Roman" w:hint="eastAsia"/>
          <w:color w:val="000000" w:themeColor="text1"/>
          <w:sz w:val="24"/>
          <w:szCs w:val="24"/>
        </w:rPr>
        <w:t>0.45%</w:t>
      </w:r>
      <w:r w:rsidRPr="007C6F18">
        <w:rPr>
          <w:rFonts w:ascii="Times New Roman" w:eastAsia="楷体" w:hAnsi="Times New Roman" w:hint="eastAsia"/>
          <w:color w:val="000000" w:themeColor="text1"/>
          <w:sz w:val="24"/>
          <w:szCs w:val="24"/>
        </w:rPr>
        <w:t>至</w:t>
      </w:r>
      <w:r w:rsidRPr="007C6F18">
        <w:rPr>
          <w:rFonts w:ascii="Times New Roman" w:eastAsia="楷体" w:hAnsi="Times New Roman" w:hint="eastAsia"/>
          <w:color w:val="000000" w:themeColor="text1"/>
          <w:sz w:val="24"/>
          <w:szCs w:val="24"/>
        </w:rPr>
        <w:t>103.63</w:t>
      </w:r>
      <w:r w:rsidRPr="007C6F18">
        <w:rPr>
          <w:rFonts w:ascii="Times New Roman" w:eastAsia="楷体" w:hAnsi="Times New Roman" w:hint="eastAsia"/>
          <w:color w:val="000000" w:themeColor="text1"/>
          <w:sz w:val="24"/>
          <w:szCs w:val="24"/>
        </w:rPr>
        <w:t>，美十债收益率下跌</w:t>
      </w:r>
      <w:r w:rsidRPr="007C6F18">
        <w:rPr>
          <w:rFonts w:ascii="Times New Roman" w:eastAsia="楷体" w:hAnsi="Times New Roman" w:hint="eastAsia"/>
          <w:color w:val="000000" w:themeColor="text1"/>
          <w:sz w:val="24"/>
          <w:szCs w:val="24"/>
        </w:rPr>
        <w:t>1.2bp</w:t>
      </w:r>
      <w:r w:rsidRPr="007C6F18">
        <w:rPr>
          <w:rFonts w:ascii="Times New Roman" w:eastAsia="楷体" w:hAnsi="Times New Roman" w:hint="eastAsia"/>
          <w:color w:val="000000" w:themeColor="text1"/>
          <w:sz w:val="24"/>
          <w:szCs w:val="24"/>
        </w:rPr>
        <w:t>至</w:t>
      </w:r>
      <w:r w:rsidRPr="007C6F18">
        <w:rPr>
          <w:rFonts w:ascii="Times New Roman" w:eastAsia="楷体" w:hAnsi="Times New Roman" w:hint="eastAsia"/>
          <w:color w:val="000000" w:themeColor="text1"/>
          <w:sz w:val="24"/>
          <w:szCs w:val="24"/>
        </w:rPr>
        <w:t>4.111%</w:t>
      </w:r>
      <w:r w:rsidRPr="007C6F18">
        <w:rPr>
          <w:rFonts w:ascii="Times New Roman" w:eastAsia="楷体" w:hAnsi="Times New Roman" w:hint="eastAsia"/>
          <w:color w:val="000000" w:themeColor="text1"/>
          <w:sz w:val="24"/>
          <w:szCs w:val="24"/>
        </w:rPr>
        <w:t>，昨夜沪金、沪银小幅回落，中长线看多思路不变，建议沪金、沪银逢低试多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45571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45571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C6F18" w:rsidRPr="007C6F18">
        <w:rPr>
          <w:rFonts w:ascii="楷体" w:eastAsia="楷体" w:hAnsi="楷体" w:hint="eastAsia"/>
          <w:b/>
          <w:color w:val="000000" w:themeColor="text1"/>
          <w:sz w:val="24"/>
          <w:szCs w:val="24"/>
        </w:rPr>
        <w:t>现货价格进一步下行，期价低位震荡</w:t>
      </w:r>
      <w:bookmarkEnd w:id="18"/>
    </w:p>
    <w:p w:rsidR="00F50569" w:rsidRDefault="007C6F18" w:rsidP="00F50569">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碳酸锂现货价格进一步下行，昨日期价下探至18万元/吨附近后小幅回升。上游库存去化进程相对缓慢，部分生产企业因库存压力而下调报价，下游需求维持偏弱，观望情绪浓厚。周初部分贸易商抛货带动锂价进一步下行，下游采购仍趋于谨慎。未来下游采购量的变化将明确地反映下游需求，后续持续关注下游补库需求能否兑现，若需求未见好转，近期锂价或维持偏弱走势</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455718"/>
      <w:r>
        <w:rPr>
          <w:rFonts w:ascii="楷体" w:eastAsia="楷体" w:hAnsi="楷体" w:hint="eastAsia"/>
          <w:b/>
          <w:color w:val="000000" w:themeColor="text1"/>
          <w:sz w:val="24"/>
          <w:szCs w:val="24"/>
        </w:rPr>
        <w:t>螺纹钢：</w:t>
      </w:r>
      <w:bookmarkEnd w:id="16"/>
      <w:bookmarkEnd w:id="17"/>
      <w:r w:rsidR="007C6F18" w:rsidRPr="007C6F18">
        <w:rPr>
          <w:rFonts w:ascii="楷体" w:eastAsia="楷体" w:hAnsi="楷体" w:hint="eastAsia"/>
          <w:b/>
          <w:color w:val="000000" w:themeColor="text1"/>
          <w:sz w:val="24"/>
          <w:szCs w:val="24"/>
        </w:rPr>
        <w:t>成本支撑下，产量压制，钢价或继续震荡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C6F18" w:rsidP="00201944">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整体材弱平衡，市场情绪有所转暖，需求回升的力度不强，价格预计短期较难突破，但高产量下铁水高位，原料端强势运行，预计01合约或继续震荡运行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455719"/>
      <w:r>
        <w:rPr>
          <w:rFonts w:ascii="楷体" w:eastAsia="楷体" w:hAnsi="楷体" w:hint="eastAsia"/>
          <w:b/>
          <w:color w:val="000000" w:themeColor="text1"/>
          <w:sz w:val="24"/>
          <w:szCs w:val="24"/>
        </w:rPr>
        <w:t>焦炭：</w:t>
      </w:r>
      <w:bookmarkEnd w:id="20"/>
      <w:bookmarkEnd w:id="21"/>
      <w:r w:rsidR="007C6F18" w:rsidRPr="007C6F18">
        <w:rPr>
          <w:rFonts w:ascii="楷体" w:eastAsia="楷体" w:hAnsi="楷体" w:hint="eastAsia"/>
          <w:b/>
          <w:color w:val="000000" w:themeColor="text1"/>
          <w:sz w:val="24"/>
          <w:szCs w:val="24"/>
        </w:rPr>
        <w:t>现货偏稳，情绪推动价格大幅度波动，高位震荡反复</w:t>
      </w:r>
      <w:bookmarkEnd w:id="22"/>
    </w:p>
    <w:p w:rsidR="003F56A5" w:rsidRDefault="007C6F18" w:rsidP="00572E35">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港口现小幅度上涨，铁水创新高，焦炭短期紧平衡格局下，价格高位震荡运行。当前盘面升水现货，建议短期观望为主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455720"/>
      <w:r>
        <w:rPr>
          <w:rFonts w:ascii="楷体" w:eastAsia="楷体" w:hAnsi="楷体" w:hint="eastAsia"/>
          <w:b/>
          <w:color w:val="000000" w:themeColor="text1"/>
          <w:sz w:val="24"/>
          <w:szCs w:val="24"/>
        </w:rPr>
        <w:t>焦煤：</w:t>
      </w:r>
      <w:r w:rsidR="007C6F18" w:rsidRPr="007C6F18">
        <w:rPr>
          <w:rFonts w:ascii="楷体" w:eastAsia="楷体" w:hAnsi="楷体" w:hint="eastAsia"/>
          <w:b/>
          <w:sz w:val="24"/>
          <w:szCs w:val="24"/>
        </w:rPr>
        <w:t>高位震荡反复，基差修复后，上方压力较大</w:t>
      </w:r>
      <w:bookmarkEnd w:id="23"/>
    </w:p>
    <w:p w:rsidR="003F56A5" w:rsidRDefault="007C6F18">
      <w:pPr>
        <w:ind w:leftChars="300" w:left="630"/>
        <w:rPr>
          <w:rFonts w:ascii="楷体" w:eastAsia="楷体" w:hAnsi="楷体"/>
          <w:bCs/>
          <w:sz w:val="24"/>
          <w:szCs w:val="24"/>
        </w:rPr>
      </w:pPr>
      <w:r w:rsidRPr="007C6F18">
        <w:rPr>
          <w:rFonts w:ascii="楷体" w:eastAsia="楷体" w:hAnsi="楷体" w:hint="eastAsia"/>
          <w:sz w:val="24"/>
          <w:szCs w:val="24"/>
        </w:rPr>
        <w:lastRenderedPageBreak/>
        <w:t>昨日蒙煤原煤上涨20元/吨，铁水本周创新高，短期强现实下，价格高位反复，当前盘面价格接近平水，价格短期或高位反复，建议观望为主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455721"/>
      <w:r>
        <w:rPr>
          <w:rFonts w:ascii="楷体" w:eastAsia="楷体" w:hAnsi="楷体" w:hint="eastAsia"/>
          <w:b/>
          <w:color w:val="000000" w:themeColor="text1"/>
          <w:sz w:val="24"/>
          <w:szCs w:val="24"/>
        </w:rPr>
        <w:t>铜：</w:t>
      </w:r>
      <w:bookmarkEnd w:id="24"/>
      <w:bookmarkEnd w:id="25"/>
      <w:r w:rsidR="007C6F18" w:rsidRPr="007C6F18">
        <w:rPr>
          <w:rFonts w:ascii="楷体" w:eastAsia="楷体" w:hAnsi="楷体" w:hint="eastAsia"/>
          <w:b/>
          <w:color w:val="000000" w:themeColor="text1"/>
          <w:sz w:val="24"/>
          <w:szCs w:val="24"/>
        </w:rPr>
        <w:t>区间内震荡偏多运行，关注美国非农数据公布</w:t>
      </w:r>
      <w:bookmarkEnd w:id="26"/>
    </w:p>
    <w:p w:rsidR="007C6F18" w:rsidRPr="007C6F18" w:rsidRDefault="007C6F18" w:rsidP="007C6F18">
      <w:pPr>
        <w:ind w:leftChars="300" w:left="630"/>
        <w:rPr>
          <w:rFonts w:ascii="楷体" w:eastAsia="楷体" w:hAnsi="楷体" w:hint="eastAsia"/>
          <w:color w:val="000000" w:themeColor="text1"/>
          <w:sz w:val="24"/>
          <w:szCs w:val="24"/>
        </w:rPr>
      </w:pPr>
      <w:r w:rsidRPr="007C6F18">
        <w:rPr>
          <w:rFonts w:ascii="楷体" w:eastAsia="楷体" w:hAnsi="楷体" w:hint="eastAsia"/>
          <w:color w:val="000000" w:themeColor="text1"/>
          <w:sz w:val="24"/>
          <w:szCs w:val="24"/>
        </w:rPr>
        <w:t>(1)宏观：8月份，中国制造业PMI较上月上升0.4至49.7，为连续第三个月回升，制造业景气水平进一步改善；非制造业PMI较上月下降0.5至51.0，为连续第五个月下降，但仍高于临界点；综合PMI为51.3，较上月上升0.2，继续保持在扩张区间。</w:t>
      </w:r>
    </w:p>
    <w:p w:rsidR="007C6F18" w:rsidRPr="007C6F18" w:rsidRDefault="007C6F18" w:rsidP="007C6F18">
      <w:pPr>
        <w:ind w:leftChars="300" w:left="630"/>
        <w:rPr>
          <w:rFonts w:ascii="楷体" w:eastAsia="楷体" w:hAnsi="楷体" w:hint="eastAsia"/>
          <w:color w:val="000000" w:themeColor="text1"/>
          <w:sz w:val="24"/>
          <w:szCs w:val="24"/>
        </w:rPr>
      </w:pPr>
      <w:r w:rsidRPr="007C6F18">
        <w:rPr>
          <w:rFonts w:ascii="楷体" w:eastAsia="楷体" w:hAnsi="楷体" w:hint="eastAsia"/>
          <w:color w:val="000000" w:themeColor="text1"/>
          <w:sz w:val="24"/>
          <w:szCs w:val="24"/>
        </w:rPr>
        <w:t>(2)库存：8月31日，SHFE仓单库存7285吨，减227吨；LME仓单库存102900吨，增3675吨。</w:t>
      </w:r>
    </w:p>
    <w:p w:rsidR="007C6F18" w:rsidRPr="007C6F18" w:rsidRDefault="007C6F18" w:rsidP="007C6F18">
      <w:pPr>
        <w:ind w:leftChars="300" w:left="630"/>
        <w:rPr>
          <w:rFonts w:ascii="楷体" w:eastAsia="楷体" w:hAnsi="楷体" w:hint="eastAsia"/>
          <w:color w:val="000000" w:themeColor="text1"/>
          <w:sz w:val="24"/>
          <w:szCs w:val="24"/>
        </w:rPr>
      </w:pPr>
      <w:r w:rsidRPr="007C6F18">
        <w:rPr>
          <w:rFonts w:ascii="楷体" w:eastAsia="楷体" w:hAnsi="楷体" w:hint="eastAsia"/>
          <w:color w:val="000000" w:themeColor="text1"/>
          <w:sz w:val="24"/>
          <w:szCs w:val="24"/>
        </w:rPr>
        <w:t>(2)精废价差：8月31日，Mysteel精废价差1812，扩张314。目前价差在合理价差1400之上。</w:t>
      </w:r>
    </w:p>
    <w:p w:rsidR="007C6F18" w:rsidRPr="007C6F18" w:rsidRDefault="007C6F18" w:rsidP="007C6F18">
      <w:pPr>
        <w:ind w:leftChars="300" w:left="630"/>
        <w:rPr>
          <w:rFonts w:ascii="楷体" w:eastAsia="楷体" w:hAnsi="楷体"/>
          <w:color w:val="000000" w:themeColor="text1"/>
          <w:sz w:val="24"/>
          <w:szCs w:val="24"/>
        </w:rPr>
      </w:pPr>
    </w:p>
    <w:p w:rsidR="00127803" w:rsidRPr="00127803" w:rsidRDefault="007C6F18" w:rsidP="007C6F18">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综述：近期经济数据反应美国就业市场有所降温，美联储加息预期降温，美元指数回落带动铜价反弹。国内近期利好政策不断兑现，市场信心持续得到提振。接下来，国内传统旺季下的需求增量预期及现实验证是影响当下行情的主要因素，沪铜主力波动区间参考68000-70000。关注本周五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455722"/>
      <w:r>
        <w:rPr>
          <w:rFonts w:ascii="楷体" w:eastAsia="楷体" w:hAnsi="楷体" w:hint="eastAsia"/>
          <w:b/>
          <w:color w:val="000000" w:themeColor="text1"/>
          <w:sz w:val="24"/>
          <w:szCs w:val="24"/>
        </w:rPr>
        <w:t>铝：</w:t>
      </w:r>
      <w:bookmarkEnd w:id="27"/>
      <w:bookmarkEnd w:id="28"/>
      <w:r w:rsidR="000C4F17" w:rsidRPr="000C4F17">
        <w:rPr>
          <w:rFonts w:ascii="楷体" w:eastAsia="楷体" w:hAnsi="楷体" w:hint="eastAsia"/>
          <w:b/>
          <w:color w:val="000000" w:themeColor="text1"/>
          <w:sz w:val="24"/>
          <w:szCs w:val="24"/>
        </w:rPr>
        <w:t>铝价区间偏强震荡</w:t>
      </w:r>
      <w:bookmarkEnd w:id="29"/>
    </w:p>
    <w:p w:rsidR="003F56A5" w:rsidRDefault="000C4F17" w:rsidP="00127803">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美国8月ADP新增就业人数低于预期，美国通胀有所抑制，联储加息预期降温，国内出台多项利好政策但市场情绪提振有限。基本面供需双增，云南复产接近尾声，铝水比例维持高位，铝锭产量走低，进口盈利窗口打开，进口铝锭持续补充带来增量，库存依旧表现为季节性偏低位去库，进入金九银十旺季，需求边际回暖预期走强，低库存叠加消费改善预期带动铝价偏强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455723"/>
      <w:r>
        <w:rPr>
          <w:rFonts w:ascii="楷体" w:eastAsia="楷体" w:hAnsi="楷体" w:hint="eastAsia"/>
          <w:b/>
          <w:color w:val="000000" w:themeColor="text1"/>
          <w:sz w:val="24"/>
          <w:szCs w:val="24"/>
        </w:rPr>
        <w:t>锌：</w:t>
      </w:r>
      <w:r w:rsidR="007C6F18" w:rsidRPr="007C6F18">
        <w:rPr>
          <w:rFonts w:ascii="楷体" w:eastAsia="楷体" w:hAnsi="楷体" w:hint="eastAsia"/>
          <w:b/>
          <w:color w:val="000000" w:themeColor="text1"/>
          <w:sz w:val="24"/>
          <w:szCs w:val="24"/>
        </w:rPr>
        <w:t>锌价偏强运行，观望上方压力位</w:t>
      </w:r>
      <w:bookmarkEnd w:id="30"/>
    </w:p>
    <w:p w:rsidR="003F56A5" w:rsidRDefault="007C6F18" w:rsidP="000B0648">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美国就业数据降温，联储加息预期走弱，国内仍在政策利多红利期，宏观情绪走强。国内矿端供应宽松偏稳，冶炼方面除常规检修和湖南地区临时检修以外，其他地区正常开产，锌市目前现货偏紧导致市场价格升水，进口锌锭持续补充。需求来看，下游企业逢低采买，但加工企业开工率暂无明显改善，目前锌库维持低位去库。短期在低库存叠加未来进入旺季消费将有改善预期的情况下，锌价在2w上方偏强震荡运行，观望21500压力位置</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455724"/>
      <w:r>
        <w:rPr>
          <w:rFonts w:ascii="楷体" w:eastAsia="楷体" w:hAnsi="楷体" w:hint="eastAsia"/>
          <w:b/>
          <w:color w:val="000000" w:themeColor="text1"/>
          <w:sz w:val="24"/>
          <w:szCs w:val="24"/>
        </w:rPr>
        <w:t>镍：</w:t>
      </w:r>
      <w:r w:rsidR="007C6F18" w:rsidRPr="007C6F18">
        <w:rPr>
          <w:rFonts w:ascii="楷体" w:eastAsia="楷体" w:hAnsi="楷体" w:hint="eastAsia"/>
          <w:b/>
          <w:color w:val="000000" w:themeColor="text1"/>
          <w:sz w:val="24"/>
          <w:szCs w:val="24"/>
        </w:rPr>
        <w:t>短期预计维持震荡运行</w:t>
      </w:r>
      <w:bookmarkEnd w:id="31"/>
    </w:p>
    <w:p w:rsidR="003F56A5" w:rsidRDefault="007C6F18">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国内地产政策不断发力，存量首套房贷利率下调，“认房不认贷”政策落地一线城市”，改善地产市场需求，修复市场信心；美国8月ADP新增就业人数不及预期，反映美国劳动力市场紧张局面放缓，美联储继续加息预期进一步降温，宏观情绪偏多。印尼镍矿配额签发继续推迟，镍矿供应仍处于紧缺局面，且工厂在雨季来临前对镍矿的备库需求较强烈，矿端价格高位运行，拉升整个镍产业链的成本。供应方面，中间品和纯镍持续放量，据Mysteel调研数据显示8月精炼镍总产量2.27万吨，环比增加4.78%，精</w:t>
      </w:r>
      <w:r w:rsidRPr="007C6F18">
        <w:rPr>
          <w:rFonts w:ascii="楷体" w:eastAsia="楷体" w:hAnsi="楷体" w:hint="eastAsia"/>
          <w:color w:val="000000" w:themeColor="text1"/>
          <w:sz w:val="24"/>
          <w:szCs w:val="24"/>
        </w:rPr>
        <w:lastRenderedPageBreak/>
        <w:t>炼镍企业开工率92.3%，供应边际宽松，压制镍价上行。需求方面，下游成交氛围较平淡，传统旺季消费增量有待市场验证。受下游不振影响，现货升水均承压下跌，俄镍在近一年来首次出现贴水。库存仍处于历史低位，对镍价给予支撑</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45572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7C6F18" w:rsidRPr="007C6F18">
        <w:rPr>
          <w:rFonts w:ascii="楷体" w:eastAsia="楷体" w:hAnsi="楷体" w:hint="eastAsia"/>
          <w:b/>
          <w:color w:val="000000" w:themeColor="text1"/>
          <w:sz w:val="24"/>
          <w:szCs w:val="24"/>
        </w:rPr>
        <w:t>铝价维持偏强走势，观望万九压力位</w:t>
      </w:r>
      <w:bookmarkEnd w:id="32"/>
    </w:p>
    <w:p w:rsidR="008B13D2" w:rsidRPr="008B13D2" w:rsidRDefault="007C6F18" w:rsidP="008B13D2">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美国8月ADP新增就业人数低于预期，美国通胀有所抑制，联储加息预期降温，国内出台多项利好政策但市场情绪提振有限。基本面供需双增，云南复产接近尾声，铝水比例维持高位，铝锭产量走低，进口盈利窗口打开，进口铝锭持续补充带来增量，库存依旧表现为季节性偏低位去库，进入金九银十旺季，需求边际回暖预期走强，低库存叠加消费改善预期带动铝价偏强运行，观望万九上方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455726"/>
      <w:r>
        <w:rPr>
          <w:rFonts w:ascii="楷体" w:eastAsia="楷体" w:hAnsi="楷体" w:hint="eastAsia"/>
          <w:b/>
          <w:color w:val="000000" w:themeColor="text1"/>
          <w:sz w:val="24"/>
          <w:szCs w:val="24"/>
        </w:rPr>
        <w:t>不锈钢：</w:t>
      </w:r>
      <w:r w:rsidR="007C6F18" w:rsidRPr="007C6F18">
        <w:rPr>
          <w:rFonts w:ascii="楷体" w:eastAsia="楷体" w:hAnsi="楷体" w:hint="eastAsia"/>
          <w:b/>
          <w:color w:val="000000" w:themeColor="text1"/>
          <w:sz w:val="24"/>
          <w:szCs w:val="24"/>
        </w:rPr>
        <w:t>成本支撑与累库压力交织，需求有望改善</w:t>
      </w:r>
      <w:bookmarkEnd w:id="33"/>
    </w:p>
    <w:p w:rsidR="003F56A5" w:rsidRDefault="007C6F18">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央行降低存量首套房贷利率，”认房不认贷“政策落地一线城市，助推地产市场需求向好发展，提振市场信心。印尼矿端RKAB事件造成的镍矿供应紧缺局面仍在持续，镍矿配额签发审批继续推迟，加上目前处于雨季前的备库期，镍矿价格坚挺，高镍铁价格预计维持高位，成本端为不锈钢价提供强有力支撑。需求端，下游成交氛围较平淡，但稳增长政策逐步落地，传统消费旺季增量预期仍存。供应端，不锈钢处于高排产状态，Mysteel预计9月排产将继续高位运行。库存方面，据Mysteel数据显示，本全国主流市场不锈钢总社会库存比上周增加4.32万吨，增幅为4.31%，累库明显。综合来看，成本端为不锈钢价提供较强支撑，累库压制上行空间，传统消费旺季增量预期等待市场验证，短期窄幅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455727"/>
      <w:r>
        <w:rPr>
          <w:rFonts w:ascii="楷体" w:eastAsia="楷体" w:hAnsi="楷体" w:hint="eastAsia"/>
          <w:b/>
          <w:color w:val="000000" w:themeColor="text1"/>
          <w:sz w:val="24"/>
          <w:szCs w:val="24"/>
        </w:rPr>
        <w:t>工业硅：</w:t>
      </w:r>
      <w:r w:rsidR="007C6F18" w:rsidRPr="007C6F18">
        <w:rPr>
          <w:rFonts w:ascii="楷体" w:eastAsia="楷体" w:hAnsi="楷体" w:hint="eastAsia"/>
          <w:b/>
          <w:sz w:val="24"/>
          <w:szCs w:val="24"/>
        </w:rPr>
        <w:t>房地产政策发布，需求有望迎来改善</w:t>
      </w:r>
      <w:bookmarkEnd w:id="34"/>
    </w:p>
    <w:p w:rsidR="003F56A5" w:rsidRDefault="007C6F18" w:rsidP="00827E8A">
      <w:pPr>
        <w:ind w:leftChars="300" w:left="630"/>
        <w:rPr>
          <w:rFonts w:ascii="楷体" w:eastAsia="楷体" w:hAnsi="楷体"/>
          <w:sz w:val="24"/>
          <w:szCs w:val="24"/>
        </w:rPr>
      </w:pPr>
      <w:r w:rsidRPr="007C6F18">
        <w:rPr>
          <w:rFonts w:ascii="楷体" w:eastAsia="楷体" w:hAnsi="楷体" w:hint="eastAsia"/>
          <w:sz w:val="24"/>
          <w:szCs w:val="24"/>
        </w:rPr>
        <w:t>8月31日，Si2310主力合约呈冲高回落走势，收盘价13540元/吨，较上一收盘价涨跌幅+0.00%。昨日，中国人民银行、国家金融监督管理总局发布两项房地产政策，有望刺激市场信心，同时传统旺季即将来临，有机硅需求有望迎来改善。另外，多晶硅待投产能较多，在市场持续反弹背景下，存在对工业硅备货需求。因此，目前市场对需求存在改善预期，叠加工厂库存偏低，预计盘面仍或支撑，但供应增量也将压制盘面反弹空间。策略上，以为波段操作为主，参考区间（13400，13900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45572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45572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C6F18" w:rsidRPr="007C6F18">
        <w:rPr>
          <w:rFonts w:ascii="楷体" w:eastAsia="楷体" w:hAnsi="楷体" w:hint="eastAsia"/>
          <w:b/>
          <w:sz w:val="24"/>
          <w:szCs w:val="24"/>
        </w:rPr>
        <w:t>天气影响主产区原料释放 天胶维持偏强震荡</w:t>
      </w:r>
      <w:bookmarkEnd w:id="37"/>
    </w:p>
    <w:p w:rsidR="003F56A5" w:rsidRDefault="007C6F18">
      <w:pPr>
        <w:ind w:leftChars="300" w:left="630"/>
        <w:rPr>
          <w:rFonts w:ascii="楷体" w:eastAsia="楷体" w:hAnsi="楷体"/>
          <w:sz w:val="24"/>
          <w:szCs w:val="24"/>
        </w:rPr>
      </w:pPr>
      <w:r w:rsidRPr="007C6F18">
        <w:rPr>
          <w:rFonts w:ascii="楷体" w:eastAsia="楷体" w:hAnsi="楷体" w:hint="eastAsia"/>
          <w:sz w:val="24"/>
          <w:szCs w:val="24"/>
        </w:rPr>
        <w:t>点评：供给端，尽管全球即将进入季节性增产阶段，但近期主产区泰国、越南受到大面积降雨干扰，割胶工作开展受限，原料产出维持偏少状态，加之乳胶制品需求回暖拉涨原料价格，对胶价存一定支撑。8-9月份天胶到港量偏少，本周港口库存延续小幅去库，提振市场信心。需求端来看，下游轮胎企业开工率半钢胎略好于全钢胎，国内稳经济政策将有利于轮胎替换及配套需求的改善。此外，半钢胎外贸雪地胎需求旺盛，将进一步支</w:t>
      </w:r>
      <w:r w:rsidRPr="007C6F18">
        <w:rPr>
          <w:rFonts w:ascii="楷体" w:eastAsia="楷体" w:hAnsi="楷体" w:hint="eastAsia"/>
          <w:sz w:val="24"/>
          <w:szCs w:val="24"/>
        </w:rPr>
        <w:lastRenderedPageBreak/>
        <w:t>撑半钢胎开工率高位运行。前期检修的全钢胎厂目前也恢复生产，因此近两周全钢胎开工率提升明显。整体看，轮胎平稳排产、表现强劲。终端汽车方面，7月数据同环比均有所走弱，但仍处于近十年同期次高位。整体看，橡胶供应压力小幅缓解，下游轮胎排产顺畅，国内深色胶库存延续去库。短期天然橡胶市场看多情绪升温或稳中偏强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45573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C6F18" w:rsidRPr="007C6F18">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7C6F18" w:rsidP="002C73FE">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受成品端的利好支撑及宏观情绪改善驱动油价走强，但需留意加息预期升温后对宏观情绪的利空风险。 PTA百宏250万吨，英力士235万吨，中泰120万吨装置提负，蓬威90万吨装置重启，PTA负荷上涨至82.2%附近。需求方面，本周聚酯装置负荷基本持稳，截至本周有两套装置开启，目前均生产聚酯切片，一套瓶片装置停车，综合负荷有所提升。截至本周四，初步核算国内大陆地区聚酯负荷仍在93.2%附近。市场对9-10月份旺季有预期，低库存下预计近期聚酯不会轻易减停产。而前期因上游原料成本走高导致减产的长丝和切片企业后期存负荷提升预期。终端方面，近期织造、印染开机有小幅提升，秋冬季订单陆下单有所增多，坯布库存小幅去化，需求边际季节性改善。展望后市，成本端支撑仍存+聚酯因库存低位高开工维持需求韧性尚可，三季度旺季预期或值得期待。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45573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455732"/>
      <w:r>
        <w:rPr>
          <w:rFonts w:ascii="楷体" w:eastAsia="楷体" w:hAnsi="楷体" w:hint="eastAsia"/>
          <w:b/>
          <w:color w:val="000000" w:themeColor="text1"/>
          <w:sz w:val="24"/>
          <w:szCs w:val="24"/>
        </w:rPr>
        <w:t>聚烯烃：</w:t>
      </w:r>
      <w:r w:rsidR="007C6F18" w:rsidRPr="007C6F18">
        <w:rPr>
          <w:rFonts w:ascii="楷体" w:eastAsia="楷体" w:hAnsi="楷体" w:hint="eastAsia"/>
          <w:b/>
          <w:color w:val="000000" w:themeColor="text1"/>
          <w:sz w:val="24"/>
          <w:szCs w:val="24"/>
        </w:rPr>
        <w:t>供应压力逐渐凸显，PP整体强于PE</w:t>
      </w:r>
      <w:bookmarkEnd w:id="40"/>
    </w:p>
    <w:p w:rsidR="003F56A5" w:rsidRDefault="007C6F18">
      <w:pPr>
        <w:ind w:leftChars="300" w:left="630"/>
        <w:rPr>
          <w:rFonts w:ascii="楷体" w:eastAsia="楷体" w:hAnsi="楷体"/>
          <w:bCs/>
          <w:sz w:val="24"/>
          <w:szCs w:val="24"/>
        </w:rPr>
      </w:pPr>
      <w:r w:rsidRPr="007C6F1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预期欧佩克及其减产同盟国的减产将持续到2023年底，供应紧张的迹象支撑石油市场气氛， 国际油价继续上涨，WTI六个交易日连涨，布伦特原油期货在过去的六个交易日有五个交易日上涨。需求方面，PE下游方面，农膜整体需求平平，工厂生产清淡。棚膜工厂多停机检修；PP下游方面，BOPP市场成交刚需有量，整体量较上一交易日增加，BOPP企业未交付订单多数在一周以内，个别可至八月中。</w:t>
      </w:r>
      <w:r w:rsidRPr="007C6F18">
        <w:rPr>
          <w:rFonts w:ascii="楷体" w:eastAsia="楷体" w:hAnsi="楷体" w:hint="eastAsia"/>
          <w:color w:val="000000" w:themeColor="text1"/>
          <w:sz w:val="24"/>
          <w:szCs w:val="24"/>
        </w:rPr>
        <w:lastRenderedPageBreak/>
        <w:t>综合来看，PE方面，临近月初，市场观望情绪偏强，国内供应量回升，供应压力加大，但月初贸易商暂无考核压力，下游需求也在缓慢提升，市场仍有支撑，预计今日PE价格弱势整理为主。PP方面，国际油价继续上涨，成本支撑坚挺。装置损失量减少，产量再度增加，叠加新增扩能投放，市场供应面承压。聚丙烯下游行业平均开工上涨，需求面有恢复迹象，工厂或提前备货。月初出货压力不大， 聚丙烯市场或偏强震荡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455733"/>
      <w:r>
        <w:rPr>
          <w:rFonts w:ascii="楷体" w:eastAsia="楷体" w:hAnsi="楷体" w:hint="eastAsia"/>
          <w:b/>
          <w:color w:val="000000" w:themeColor="text1"/>
          <w:sz w:val="24"/>
          <w:szCs w:val="24"/>
        </w:rPr>
        <w:t>MEG：</w:t>
      </w:r>
      <w:r w:rsidR="007C6F18" w:rsidRPr="007C6F18">
        <w:rPr>
          <w:rFonts w:ascii="楷体" w:eastAsia="楷体" w:hAnsi="楷体" w:hint="eastAsia"/>
          <w:b/>
          <w:color w:val="000000" w:themeColor="text1"/>
          <w:sz w:val="24"/>
          <w:szCs w:val="24"/>
        </w:rPr>
        <w:t>成本提振但高库存压制反弹空间</w:t>
      </w:r>
      <w:bookmarkEnd w:id="41"/>
    </w:p>
    <w:p w:rsidR="003F56A5" w:rsidRDefault="007C6F18" w:rsidP="00115EEA">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供需情况，8.28华东主港地区MEG港口库存约116.7万吨附近，环比上期增加1.2万吨。截至8月31日，中国大陆地区乙二醇整体开工负荷在65.44%（+0.47%），其中煤制乙二醇开工负荷在67.91%（+5.48%）。目前盛虹炼化1#仍在提负中，榆林化学单线将恢复运行，山西寿阳、陕煤渭化重启出料计划，国内开工仍有上行空间，整体供应表现宽松。聚酯下游方面，截至8.25，初步核算国内大陆地区聚酯负荷在92.8%附近。终端开工小幅提升，局部订单良好。江浙加弹综合开工率78%，江浙织机综合开工率72%（+1%），江浙印染综合开工率77%。展望后市，原油及煤炭价格高位，乙二醇成本支撑力度仍强。估值偏低但高供应及高库存压制盘面反弹空间，多单波多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45573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C6F18" w:rsidRPr="007C6F18">
        <w:rPr>
          <w:rFonts w:ascii="楷体" w:eastAsia="楷体" w:hAnsi="楷体" w:hint="eastAsia"/>
          <w:b/>
          <w:color w:val="000000" w:themeColor="text1"/>
          <w:sz w:val="24"/>
          <w:szCs w:val="24"/>
        </w:rPr>
        <w:t>周内累库，产销边际改善</w:t>
      </w:r>
      <w:bookmarkEnd w:id="42"/>
    </w:p>
    <w:p w:rsidR="00A71A7E" w:rsidRDefault="007C6F18" w:rsidP="001F79C6">
      <w:pPr>
        <w:ind w:leftChars="300" w:left="630"/>
        <w:rPr>
          <w:rFonts w:ascii="楷体" w:eastAsia="楷体" w:hAnsi="楷体"/>
          <w:color w:val="000000" w:themeColor="text1"/>
          <w:sz w:val="24"/>
          <w:szCs w:val="24"/>
        </w:rPr>
      </w:pPr>
      <w:r w:rsidRPr="007C6F18">
        <w:rPr>
          <w:rFonts w:ascii="楷体" w:eastAsia="楷体" w:hAnsi="楷体" w:hint="eastAsia"/>
          <w:color w:val="000000" w:themeColor="text1"/>
          <w:sz w:val="24"/>
          <w:szCs w:val="24"/>
        </w:rPr>
        <w:t>隆众资讯8月31日报道：今日浮法玻璃现货价格2013元/吨，较上一交易日上涨3元/吨。各区域平均产销继续走强，前期补库后贸易商库存不高，中下游补库积极性增强。供给端，截至2023年8月31日，全国浮法玻璃日产量为17万吨，环比+0.47%，产量继续抬升；需求端，产销回升，贸易商开始新一轮补库。截至2023年8月底，深加工企业订单天数18.9天，较8月中旬-1.2天，环比-5.97%。库存上，全国浮法玻璃样本企业总库存4428.1万重箱，环比增加143.4万重箱，环比+3.35%，仍然累库。基本面边际改善，月底临近旺季，强预期无法证伪，盘面09升水以后能否持续上涨尚需现货配合，重点关注1.产销持续性，2.现货价格变化</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45573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C6F18" w:rsidRPr="007C6F18">
        <w:rPr>
          <w:rFonts w:ascii="楷体" w:eastAsia="楷体" w:hAnsi="楷体" w:hint="eastAsia"/>
          <w:b/>
          <w:color w:val="000000" w:themeColor="text1"/>
          <w:sz w:val="24"/>
          <w:szCs w:val="24"/>
        </w:rPr>
        <w:t>现货继续涨价，近月有向上基差修复空间</w:t>
      </w:r>
      <w:bookmarkEnd w:id="43"/>
    </w:p>
    <w:p w:rsidR="00A71A7E" w:rsidRDefault="007C6F18" w:rsidP="00A71A7E">
      <w:pPr>
        <w:ind w:leftChars="300" w:left="630"/>
        <w:rPr>
          <w:rFonts w:ascii="楷体" w:eastAsia="楷体" w:hAnsi="楷体"/>
          <w:bCs/>
          <w:sz w:val="24"/>
          <w:szCs w:val="24"/>
        </w:rPr>
      </w:pPr>
      <w:r w:rsidRPr="007C6F18">
        <w:rPr>
          <w:rFonts w:ascii="楷体" w:eastAsia="楷体" w:hAnsi="楷体" w:hint="eastAsia"/>
          <w:color w:val="000000" w:themeColor="text1"/>
          <w:sz w:val="24"/>
          <w:szCs w:val="24"/>
        </w:rPr>
        <w:t>今日纯碱价格稳中有涨，重碱华南最高报价3500元/吨，华北和华中最低报价3200元/吨（较前一日+150元/吨），临近月底现货价格维持在高位震荡。供给方面，周内纯碱产量56.92万吨，跌幅0.15%，根据已有检修计划，下周产量维持在55-56万吨。库存上，周内纯碱厂家库存14.13万吨，环比-0.47万吨，跌幅3.22%，预计到下周库存紧张局面未改。需求方面，碱厂订单充足，排单到下月中旬以后，现货短缺，玻璃企业纯碱库存已不足一周，备货积极性增强。盘面上，随着现货端价格上涨，09合约大涨回补基差，结构上近强越弱，10.11合约目前仍有较大基差，现货在库存紧缺情况下难跌，短期有一定向上修复基差的可能性，可逢低试多。远月01合约由于供给过剩，短期偏震荡行情</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45573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455737"/>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7C6F18" w:rsidRPr="007C6F18">
        <w:rPr>
          <w:rFonts w:ascii="楷体" w:eastAsia="楷体" w:hAnsi="楷体" w:hint="eastAsia"/>
          <w:b/>
          <w:sz w:val="24"/>
          <w:szCs w:val="24"/>
        </w:rPr>
        <w:t>短期延续高位震荡</w:t>
      </w:r>
      <w:bookmarkEnd w:id="45"/>
    </w:p>
    <w:p w:rsidR="003F56A5" w:rsidRDefault="007C6F18">
      <w:pPr>
        <w:ind w:leftChars="300" w:left="630"/>
        <w:rPr>
          <w:rFonts w:ascii="楷体" w:eastAsia="楷体" w:hAnsi="楷体"/>
          <w:sz w:val="24"/>
          <w:szCs w:val="24"/>
        </w:rPr>
      </w:pPr>
      <w:r w:rsidRPr="007C6F18">
        <w:rPr>
          <w:rFonts w:ascii="楷体" w:eastAsia="楷体" w:hAnsi="楷体" w:hint="eastAsia"/>
          <w:sz w:val="24"/>
          <w:szCs w:val="24"/>
        </w:rPr>
        <w:t>国际方面，美国库存紧张之际，交易商关注作物压力，临近大豆生长后期，天气升水对盘面影响减弱，CBOT大豆承压回落。此次田间调研结果7个主产州平均结荚数同比增幅5.5%，但仍低于三年平均值。在当前北美天气持续转干下，市场也非常关注美农9月对美豆供需数据的调整。最新美豆优良率好于市场预估，截至8月28日当周，美国大豆优良率为58%，前一周为59%，上年同期为57%，市场预估为56%。国内现货维持高位对期价构成支撑，海关抽查趋严，进口大豆入关速度较慢，当前油厂大豆库存有所回升，部分油厂存在停机检修情况，在下游提货较好下，豆粕库存仍维持同期低位，支撑现货报价坚挺，当前沿海主流油厂豆粕现货报价小幅下调至4930-5020元/吨。大豆6-8月到港量仍较充裕，7月到港973万吨，但9-10月进口到港预期减少，远月供应担忧支撑11-1基差报价坚挺，关注9月实际到港是否符合预期。需求，下游生猪养殖利润近期有所改善，叠加存栏高位，豆粕表需表现较好，但近一周下游对高现货基差接受度不高，成交下降。菜粕当前供需相对偏紧，随着6月份后菜籽到港减少，油厂压榨也在逐步下滑，但库存连续两周回升，因需求不及预期。而需求方面，当前处于水产养殖旺季，供需偏紧，仍对期价构成支撑。策略方面，当前仍处于上行趋势，短期预计维持偏强震荡，建议多单谨慎持有或者月间正套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455738"/>
      <w:r>
        <w:rPr>
          <w:rFonts w:ascii="楷体" w:eastAsia="楷体" w:hAnsi="楷体" w:hint="eastAsia"/>
          <w:b/>
          <w:color w:val="000000" w:themeColor="text1"/>
          <w:sz w:val="24"/>
          <w:szCs w:val="24"/>
        </w:rPr>
        <w:t>油脂：</w:t>
      </w:r>
      <w:r w:rsidR="007C6F18" w:rsidRPr="007C6F18">
        <w:rPr>
          <w:rFonts w:ascii="楷体" w:eastAsia="楷体" w:hAnsi="楷体" w:hint="eastAsia"/>
          <w:b/>
          <w:sz w:val="24"/>
          <w:szCs w:val="24"/>
        </w:rPr>
        <w:t>维持宽幅震荡</w:t>
      </w:r>
      <w:bookmarkEnd w:id="46"/>
    </w:p>
    <w:p w:rsidR="003F56A5" w:rsidRDefault="007C6F18" w:rsidP="00792D31">
      <w:pPr>
        <w:ind w:leftChars="300" w:left="630"/>
        <w:rPr>
          <w:rFonts w:ascii="楷体" w:eastAsia="楷体" w:hAnsi="楷体"/>
          <w:sz w:val="24"/>
          <w:szCs w:val="24"/>
        </w:rPr>
      </w:pPr>
      <w:r w:rsidRPr="007C6F18">
        <w:rPr>
          <w:rFonts w:ascii="楷体" w:eastAsia="楷体" w:hAnsi="楷体" w:hint="eastAsia"/>
          <w:sz w:val="24"/>
          <w:szCs w:val="24"/>
        </w:rPr>
        <w:t>油脂基本面当前驱动不强，主要受国内外消费端提振。棕榈油，产地仍处于季节性增产周期，当前供需矛盾没有很突出，印尼棕榈油5月份在供给增量大于需求下，库存持续回升。而马棕产量7月显著改善，8-9月份仍处于产量的季节性增产阶段，关注后续产量修复情况；但7月库存增幅不及预期，因出口环比增加，且根据船运机构数据，马来8月1-31日棕榈油出口量为1201488吨，环比减少2.98%，8月在供需两旺下，马棕累库速度预计仍偏慢，价格仍有支撑。国内棕榈油7-8月份进口到港预计维持高位，库存维持同期高位，最新商业库存为64.66万吨，较前一周增加。需求端，当前在豆棕价差拉大下，利好棕榈油下游消费需求，但四季度为棕榈油消费淡季，预计四季度北方地区需求仍将转向豆油。豆油累库放缓。国内7-8月进口大豆到港量仍不少，但受海关检验趋严影响，大豆到厂时间延长，整体压榨水平不高，在消费改善下，将逐步去库。需求端，8月份后下游将陆续开始为双节备货且高校等将陆续开学，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口环比下滑64.8%。需求方面，与替代油脂价差仍不存在优势，当前去库速度缓慢，关注下游需求情况。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455739"/>
      <w:r>
        <w:rPr>
          <w:rFonts w:ascii="楷体" w:eastAsia="楷体" w:hAnsi="楷体" w:hint="eastAsia"/>
          <w:b/>
          <w:bCs/>
          <w:color w:val="000000" w:themeColor="text1"/>
        </w:rPr>
        <w:t>玉米与淀粉：</w:t>
      </w:r>
      <w:r w:rsidR="007C6F18" w:rsidRPr="007C6F18">
        <w:rPr>
          <w:rFonts w:ascii="楷体" w:eastAsia="楷体" w:hAnsi="楷体" w:hint="eastAsia"/>
          <w:b/>
        </w:rPr>
        <w:t>华北玉米带动期价震荡调整</w:t>
      </w:r>
      <w:bookmarkEnd w:id="47"/>
    </w:p>
    <w:p w:rsidR="007C6F18" w:rsidRPr="007C6F18" w:rsidRDefault="007C6F18" w:rsidP="007C6F18">
      <w:pPr>
        <w:pStyle w:val="paragraph"/>
        <w:spacing w:before="60" w:after="60"/>
        <w:ind w:leftChars="300" w:left="630"/>
        <w:rPr>
          <w:rFonts w:ascii="楷体" w:eastAsia="楷体" w:hAnsi="楷体" w:hint="eastAsia"/>
        </w:rPr>
      </w:pPr>
      <w:r w:rsidRPr="007C6F18">
        <w:rPr>
          <w:rFonts w:ascii="楷体" w:eastAsia="楷体" w:hAnsi="楷体" w:hint="eastAsia"/>
        </w:rPr>
        <w:lastRenderedPageBreak/>
        <w:t>对于玉米而言，更多沿袭前期逻辑，当前玉米期价下方空间有限，主要源于陈化水稻拍卖底价支撑，其上涨驱动主要来自两个方面，其一是中下游库存依然处于历史同期低位，在新作上市之前或仍存在被动补库存的可能性，其而是小麦有望带动玉米上涨，因小麦上涨趋势或已经形成，因其经历3月以来的主动去库存和6月以来的被动去库存之后，目前或已经进入主动补库存阶段。在这种情况下，建议投资者如有前期多单，则背靠7月持续震荡区间继续持有。</w:t>
      </w:r>
    </w:p>
    <w:p w:rsidR="003F56A5" w:rsidRDefault="007C6F18" w:rsidP="007C6F18">
      <w:pPr>
        <w:pStyle w:val="paragraph"/>
        <w:spacing w:before="60" w:beforeAutospacing="0" w:after="60" w:afterAutospacing="0"/>
        <w:ind w:leftChars="300" w:left="630"/>
        <w:rPr>
          <w:rFonts w:ascii="楷体" w:eastAsia="楷体" w:hAnsi="楷体"/>
        </w:rPr>
      </w:pPr>
      <w:r w:rsidRPr="007C6F18">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455740"/>
      <w:r>
        <w:rPr>
          <w:rFonts w:ascii="楷体" w:eastAsia="楷体" w:hAnsi="楷体" w:hint="eastAsia"/>
          <w:b/>
          <w:bCs/>
          <w:color w:val="000000" w:themeColor="text1"/>
        </w:rPr>
        <w:t>畜禽养殖：</w:t>
      </w:r>
      <w:r w:rsidR="007C6F18" w:rsidRPr="007C6F18">
        <w:rPr>
          <w:rFonts w:ascii="楷体" w:eastAsia="楷体" w:hAnsi="楷体" w:hint="eastAsia"/>
          <w:b/>
          <w:bCs/>
          <w:color w:val="000000" w:themeColor="text1"/>
        </w:rPr>
        <w:t>期价继续窄幅震荡</w:t>
      </w:r>
      <w:bookmarkEnd w:id="48"/>
    </w:p>
    <w:p w:rsidR="007C6F18" w:rsidRPr="007C6F18" w:rsidRDefault="007C6F18" w:rsidP="007C6F18">
      <w:pPr>
        <w:pStyle w:val="paragraph"/>
        <w:spacing w:before="60" w:after="60"/>
        <w:ind w:leftChars="300" w:left="630"/>
        <w:rPr>
          <w:rFonts w:ascii="楷体" w:eastAsia="楷体" w:hAnsi="楷体" w:hint="eastAsia"/>
        </w:rPr>
      </w:pPr>
      <w:r w:rsidRPr="007C6F18">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近期现货抗跌带动期价反弹，或主要源于接下来需求改善的预期，这需要跟踪接下来的现货价格走势能否达到市场预期。综上所述，维持谨慎看多观点，建议持有前期多单。</w:t>
      </w:r>
    </w:p>
    <w:p w:rsidR="003F56A5" w:rsidRDefault="007C6F18" w:rsidP="007C6F18">
      <w:pPr>
        <w:pStyle w:val="paragraph"/>
        <w:spacing w:before="60" w:beforeAutospacing="0" w:after="60" w:afterAutospacing="0"/>
        <w:ind w:leftChars="300" w:left="630"/>
        <w:rPr>
          <w:rFonts w:ascii="楷体" w:eastAsia="楷体" w:hAnsi="楷体"/>
        </w:rPr>
      </w:pPr>
      <w:r w:rsidRPr="007C6F18">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近期鸡蛋期价大幅贴水，表明市场预期依然悲观，或源于市场三个方面的担心，其一是价格持续上涨或抑制下游消费，其二是近期上涨或部分源于北方暴雨天气的影响；其三是春节后补栏对应新开产带来供应的增加。在这种情况下，接下来需要关注现货上涨的持续性。综合来看，我们暂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455741"/>
      <w:r>
        <w:rPr>
          <w:rFonts w:ascii="楷体" w:eastAsia="楷体" w:hAnsi="楷体" w:hint="eastAsia"/>
          <w:b/>
          <w:sz w:val="24"/>
          <w:szCs w:val="24"/>
        </w:rPr>
        <w:t>郑棉：</w:t>
      </w:r>
      <w:r w:rsidR="007C6F18" w:rsidRPr="007C6F18">
        <w:rPr>
          <w:rFonts w:ascii="楷体" w:eastAsia="楷体" w:hAnsi="楷体" w:hint="eastAsia"/>
          <w:b/>
          <w:sz w:val="24"/>
          <w:szCs w:val="24"/>
        </w:rPr>
        <w:t>看跌期权卖权持有</w:t>
      </w:r>
      <w:bookmarkEnd w:id="49"/>
    </w:p>
    <w:p w:rsidR="003F56A5" w:rsidRDefault="007C6F18" w:rsidP="007B3290">
      <w:pPr>
        <w:ind w:leftChars="300" w:left="630"/>
        <w:rPr>
          <w:rFonts w:ascii="楷体" w:eastAsia="楷体" w:hAnsi="楷体"/>
          <w:sz w:val="24"/>
          <w:szCs w:val="24"/>
        </w:rPr>
      </w:pPr>
      <w:r w:rsidRPr="007C6F18">
        <w:rPr>
          <w:rFonts w:ascii="楷体" w:eastAsia="楷体" w:hAnsi="楷体" w:hint="eastAsia"/>
          <w:sz w:val="24"/>
          <w:szCs w:val="24"/>
        </w:rPr>
        <w:t>新疆近期有多个调研团队正在进行调研。近期由于积温情况较好，减产情</w:t>
      </w:r>
      <w:r w:rsidRPr="007C6F18">
        <w:rPr>
          <w:rFonts w:ascii="楷体" w:eastAsia="楷体" w:hAnsi="楷体" w:hint="eastAsia"/>
          <w:sz w:val="24"/>
          <w:szCs w:val="24"/>
        </w:rPr>
        <w:lastRenderedPageBreak/>
        <w:t>况或不及此前市场预期。不过，今年棉花长势滞后，正式上市时间或较往常晚10-20天。若后续天气转冷，寒潮提前降临，产量则依然存在变数。纺织企业亏损状态不改，新疆纺织企业表示有降开机打算，对金九银十传统旺季的期待值并不高。随着新棉上市时间临近，抢收预期在不断强化，叠加现货格局相对紧张，郑棉续创新高。但市场预期已开始分化，不再一致看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455742"/>
      <w:r>
        <w:rPr>
          <w:rFonts w:ascii="楷体" w:eastAsia="楷体" w:hAnsi="楷体" w:hint="eastAsia"/>
          <w:b/>
          <w:sz w:val="24"/>
          <w:szCs w:val="24"/>
        </w:rPr>
        <w:t>白糖：</w:t>
      </w:r>
      <w:r w:rsidR="007C6F18" w:rsidRPr="007C6F18">
        <w:rPr>
          <w:rFonts w:ascii="楷体" w:eastAsia="楷体" w:hAnsi="楷体" w:hint="eastAsia"/>
          <w:b/>
          <w:sz w:val="24"/>
          <w:szCs w:val="24"/>
        </w:rPr>
        <w:t>看跌期权卖权持有</w:t>
      </w:r>
      <w:bookmarkEnd w:id="50"/>
    </w:p>
    <w:p w:rsidR="00296325" w:rsidRDefault="007C6F18" w:rsidP="00296325">
      <w:pPr>
        <w:ind w:leftChars="300" w:left="630"/>
        <w:rPr>
          <w:rFonts w:ascii="楷体" w:eastAsia="楷体" w:hAnsi="楷体"/>
          <w:sz w:val="24"/>
          <w:szCs w:val="24"/>
        </w:rPr>
      </w:pPr>
      <w:r w:rsidRPr="007C6F18">
        <w:rPr>
          <w:rFonts w:ascii="楷体" w:eastAsia="楷体" w:hAnsi="楷体" w:hint="eastAsia"/>
          <w:sz w:val="24"/>
          <w:szCs w:val="24"/>
        </w:rPr>
        <w:t>巴西甘蔗行业协会(Unica)数据显示，8月上半月巴西中南部地区压榨甘蔗47871万吨，同比增加23.38%;产糖345.6万吨，同比增加31.22%;乙醇产量同比增加16.43%，至23.46亿升。担忧亚洲供应，原糖价格大幅走强，但巴西的极高产量和预期仍是当前压制国际糖价的最主要因素。国内现货价格坚挺，新糖上市前现货格局越发紧张，预计短期内高位偏强震荡，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23" w:rsidRDefault="00CE7723">
      <w:r>
        <w:separator/>
      </w:r>
    </w:p>
  </w:endnote>
  <w:endnote w:type="continuationSeparator" w:id="0">
    <w:p w:rsidR="00CE7723" w:rsidRDefault="00CE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4179B61" wp14:editId="68B08FD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7652F">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7652F">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23" w:rsidRDefault="00CE7723">
      <w:r>
        <w:separator/>
      </w:r>
    </w:p>
  </w:footnote>
  <w:footnote w:type="continuationSeparator" w:id="0">
    <w:p w:rsidR="00CE7723" w:rsidRDefault="00CE77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9B9E57E" wp14:editId="2BA5D636">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88AD60A" wp14:editId="61421A8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C6F18">
      <w:rPr>
        <w:rFonts w:ascii="Times New Roman" w:eastAsia="楷体" w:hAnsi="Times New Roman" w:hint="eastAsia"/>
        <w:b/>
        <w:bCs/>
        <w:noProof/>
        <w:color w:val="833C0B"/>
        <w:sz w:val="21"/>
      </w:rPr>
      <w:t>2023</w:t>
    </w:r>
    <w:r w:rsidR="007C6F18">
      <w:rPr>
        <w:rFonts w:ascii="Times New Roman" w:eastAsia="楷体" w:hAnsi="Times New Roman" w:hint="eastAsia"/>
        <w:b/>
        <w:bCs/>
        <w:noProof/>
        <w:color w:val="833C0B"/>
        <w:sz w:val="21"/>
      </w:rPr>
      <w:t>年</w:t>
    </w:r>
    <w:r w:rsidR="007C6F18">
      <w:rPr>
        <w:rFonts w:ascii="Times New Roman" w:eastAsia="楷体" w:hAnsi="Times New Roman" w:hint="eastAsia"/>
        <w:b/>
        <w:bCs/>
        <w:noProof/>
        <w:color w:val="833C0B"/>
        <w:sz w:val="21"/>
      </w:rPr>
      <w:t>9</w:t>
    </w:r>
    <w:r w:rsidR="007C6F18">
      <w:rPr>
        <w:rFonts w:ascii="Times New Roman" w:eastAsia="楷体" w:hAnsi="Times New Roman" w:hint="eastAsia"/>
        <w:b/>
        <w:bCs/>
        <w:noProof/>
        <w:color w:val="833C0B"/>
        <w:sz w:val="21"/>
      </w:rPr>
      <w:t>月</w:t>
    </w:r>
    <w:r w:rsidR="007C6F18">
      <w:rPr>
        <w:rFonts w:ascii="Times New Roman" w:eastAsia="楷体" w:hAnsi="Times New Roman" w:hint="eastAsia"/>
        <w:b/>
        <w:bCs/>
        <w:noProof/>
        <w:color w:val="833C0B"/>
        <w:sz w:val="21"/>
      </w:rPr>
      <w:t>1</w:t>
    </w:r>
    <w:r w:rsidR="007C6F18">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6F18"/>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66570"/>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903B8-B1F8-43B6-84B6-E8BAC957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3536</TotalTime>
  <Pages>10</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77</cp:revision>
  <cp:lastPrinted>2023-06-08T02:23:00Z</cp:lastPrinted>
  <dcterms:created xsi:type="dcterms:W3CDTF">2022-11-15T10:06:00Z</dcterms:created>
  <dcterms:modified xsi:type="dcterms:W3CDTF">2023-09-01T02:14:00Z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