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0C4F17"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0C4F17" w:rsidRPr="00A16DBD">
            <w:rPr>
              <w:rStyle w:val="a9"/>
              <w:noProof/>
            </w:rPr>
            <w:fldChar w:fldCharType="begin"/>
          </w:r>
          <w:r w:rsidR="000C4F17" w:rsidRPr="00A16DBD">
            <w:rPr>
              <w:rStyle w:val="a9"/>
              <w:noProof/>
            </w:rPr>
            <w:instrText xml:space="preserve"> </w:instrText>
          </w:r>
          <w:r w:rsidR="000C4F17">
            <w:rPr>
              <w:noProof/>
            </w:rPr>
            <w:instrText>HYPERLINK \l "_Toc144372359"</w:instrText>
          </w:r>
          <w:r w:rsidR="000C4F17" w:rsidRPr="00A16DBD">
            <w:rPr>
              <w:rStyle w:val="a9"/>
              <w:noProof/>
            </w:rPr>
            <w:instrText xml:space="preserve"> </w:instrText>
          </w:r>
          <w:r w:rsidR="000C4F17" w:rsidRPr="00A16DBD">
            <w:rPr>
              <w:rStyle w:val="a9"/>
              <w:noProof/>
            </w:rPr>
          </w:r>
          <w:r w:rsidR="000C4F17" w:rsidRPr="00A16DBD">
            <w:rPr>
              <w:rStyle w:val="a9"/>
              <w:noProof/>
            </w:rPr>
            <w:fldChar w:fldCharType="separate"/>
          </w:r>
          <w:r w:rsidR="000C4F17" w:rsidRPr="00A16DBD">
            <w:rPr>
              <w:rStyle w:val="a9"/>
              <w:rFonts w:ascii="Times New Roman" w:eastAsia="楷体" w:hAnsi="Times New Roman"/>
              <w:b/>
              <w:noProof/>
            </w:rPr>
            <w:t>[</w:t>
          </w:r>
          <w:r w:rsidR="000C4F17" w:rsidRPr="00A16DBD">
            <w:rPr>
              <w:rStyle w:val="a9"/>
              <w:rFonts w:ascii="Times New Roman" w:eastAsia="楷体" w:hAnsi="Times New Roman"/>
              <w:b/>
              <w:noProof/>
            </w:rPr>
            <w:t>金融</w:t>
          </w:r>
          <w:r w:rsidR="000C4F17" w:rsidRPr="00A16DBD">
            <w:rPr>
              <w:rStyle w:val="a9"/>
              <w:rFonts w:ascii="Times New Roman" w:eastAsia="楷体" w:hAnsi="Times New Roman"/>
              <w:b/>
              <w:noProof/>
            </w:rPr>
            <w:t>]</w:t>
          </w:r>
          <w:r w:rsidR="000C4F17" w:rsidRPr="00A16DBD">
            <w:rPr>
              <w:rStyle w:val="a9"/>
              <w:noProof/>
            </w:rPr>
            <w:fldChar w:fldCharType="end"/>
          </w:r>
        </w:p>
        <w:p w:rsidR="000C4F17" w:rsidRDefault="000C4F17">
          <w:pPr>
            <w:pStyle w:val="23"/>
            <w:tabs>
              <w:tab w:val="right" w:leader="dot" w:pos="8296"/>
            </w:tabs>
            <w:rPr>
              <w:rFonts w:eastAsiaTheme="minorEastAsia"/>
              <w:noProof/>
              <w:szCs w:val="22"/>
            </w:rPr>
          </w:pPr>
          <w:hyperlink w:anchor="_Toc144372360" w:history="1">
            <w:r w:rsidRPr="00A16DBD">
              <w:rPr>
                <w:rStyle w:val="a9"/>
                <w:rFonts w:ascii="Times New Roman" w:eastAsia="楷体" w:hAnsi="Times New Roman"/>
                <w:b/>
                <w:noProof/>
              </w:rPr>
              <w:t>股指：关注多</w:t>
            </w:r>
            <w:r w:rsidRPr="00A16DBD">
              <w:rPr>
                <w:rStyle w:val="a9"/>
                <w:rFonts w:ascii="Times New Roman" w:eastAsia="楷体" w:hAnsi="Times New Roman"/>
                <w:b/>
                <w:noProof/>
              </w:rPr>
              <w:t>IM</w:t>
            </w:r>
            <w:r w:rsidRPr="00A16DBD">
              <w:rPr>
                <w:rStyle w:val="a9"/>
                <w:rFonts w:ascii="Times New Roman" w:eastAsia="楷体" w:hAnsi="Times New Roman"/>
                <w:b/>
                <w:noProof/>
              </w:rPr>
              <w:t>空</w:t>
            </w:r>
            <w:r w:rsidRPr="00A16DBD">
              <w:rPr>
                <w:rStyle w:val="a9"/>
                <w:rFonts w:ascii="Times New Roman" w:eastAsia="楷体" w:hAnsi="Times New Roman"/>
                <w:b/>
                <w:noProof/>
              </w:rPr>
              <w:t>IH</w:t>
            </w:r>
            <w:r w:rsidRPr="00A16DBD">
              <w:rPr>
                <w:rStyle w:val="a9"/>
                <w:rFonts w:ascii="Times New Roman" w:eastAsia="楷体" w:hAnsi="Times New Roman"/>
                <w:b/>
                <w:noProof/>
              </w:rPr>
              <w:t>套利机会</w:t>
            </w:r>
          </w:hyperlink>
        </w:p>
        <w:p w:rsidR="000C4F17" w:rsidRDefault="000C4F17">
          <w:pPr>
            <w:pStyle w:val="11"/>
            <w:tabs>
              <w:tab w:val="right" w:leader="dot" w:pos="8296"/>
            </w:tabs>
            <w:rPr>
              <w:rFonts w:eastAsiaTheme="minorEastAsia"/>
              <w:noProof/>
              <w:szCs w:val="22"/>
            </w:rPr>
          </w:pPr>
          <w:hyperlink w:anchor="_Toc144372361" w:history="1">
            <w:r w:rsidRPr="00A16DBD">
              <w:rPr>
                <w:rStyle w:val="a9"/>
                <w:rFonts w:ascii="Times New Roman" w:eastAsia="楷体" w:hAnsi="Times New Roman"/>
                <w:b/>
                <w:noProof/>
              </w:rPr>
              <w:t>[</w:t>
            </w:r>
            <w:r w:rsidRPr="00A16DBD">
              <w:rPr>
                <w:rStyle w:val="a9"/>
                <w:rFonts w:ascii="Times New Roman" w:eastAsia="楷体" w:hAnsi="Times New Roman"/>
                <w:b/>
                <w:noProof/>
              </w:rPr>
              <w:t>贵金属</w:t>
            </w:r>
            <w:r w:rsidRPr="00A16DBD">
              <w:rPr>
                <w:rStyle w:val="a9"/>
                <w:rFonts w:ascii="Times New Roman" w:eastAsia="楷体" w:hAnsi="Times New Roman"/>
                <w:b/>
                <w:noProof/>
              </w:rPr>
              <w:t>]</w:t>
            </w:r>
          </w:hyperlink>
        </w:p>
        <w:p w:rsidR="000C4F17" w:rsidRDefault="000C4F17">
          <w:pPr>
            <w:pStyle w:val="23"/>
            <w:tabs>
              <w:tab w:val="right" w:leader="dot" w:pos="8296"/>
            </w:tabs>
            <w:rPr>
              <w:rFonts w:eastAsiaTheme="minorEastAsia"/>
              <w:noProof/>
              <w:szCs w:val="22"/>
            </w:rPr>
          </w:pPr>
          <w:hyperlink w:anchor="_Toc144372362" w:history="1">
            <w:r w:rsidRPr="00A16DBD">
              <w:rPr>
                <w:rStyle w:val="a9"/>
                <w:rFonts w:ascii="Times New Roman" w:eastAsia="楷体" w:hAnsi="Times New Roman"/>
                <w:b/>
                <w:noProof/>
              </w:rPr>
              <w:t>贵金属：美国</w:t>
            </w:r>
            <w:r w:rsidRPr="00A16DBD">
              <w:rPr>
                <w:rStyle w:val="a9"/>
                <w:rFonts w:ascii="Times New Roman" w:eastAsia="楷体" w:hAnsi="Times New Roman"/>
                <w:b/>
                <w:noProof/>
              </w:rPr>
              <w:t>ADP</w:t>
            </w:r>
            <w:r w:rsidRPr="00A16DBD">
              <w:rPr>
                <w:rStyle w:val="a9"/>
                <w:rFonts w:ascii="Times New Roman" w:eastAsia="楷体" w:hAnsi="Times New Roman"/>
                <w:b/>
                <w:noProof/>
              </w:rPr>
              <w:t>就业数据低于预期，贵金属价格窄幅震荡</w:t>
            </w:r>
          </w:hyperlink>
        </w:p>
        <w:p w:rsidR="000C4F17" w:rsidRDefault="000C4F17">
          <w:pPr>
            <w:pStyle w:val="11"/>
            <w:tabs>
              <w:tab w:val="right" w:leader="dot" w:pos="8296"/>
            </w:tabs>
            <w:rPr>
              <w:rFonts w:eastAsiaTheme="minorEastAsia"/>
              <w:noProof/>
              <w:szCs w:val="22"/>
            </w:rPr>
          </w:pPr>
          <w:hyperlink w:anchor="_Toc144372363" w:history="1">
            <w:r w:rsidRPr="00A16DBD">
              <w:rPr>
                <w:rStyle w:val="a9"/>
                <w:rFonts w:ascii="Times New Roman" w:eastAsia="楷体" w:hAnsi="Times New Roman"/>
                <w:b/>
                <w:noProof/>
              </w:rPr>
              <w:t>[</w:t>
            </w:r>
            <w:r w:rsidRPr="00A16DBD">
              <w:rPr>
                <w:rStyle w:val="a9"/>
                <w:rFonts w:ascii="Times New Roman" w:eastAsia="楷体" w:hAnsi="Times New Roman"/>
                <w:b/>
                <w:noProof/>
              </w:rPr>
              <w:t>金属</w:t>
            </w:r>
            <w:r w:rsidRPr="00A16DBD">
              <w:rPr>
                <w:rStyle w:val="a9"/>
                <w:rFonts w:ascii="Times New Roman" w:eastAsia="楷体" w:hAnsi="Times New Roman"/>
                <w:b/>
                <w:noProof/>
              </w:rPr>
              <w:t>]</w:t>
            </w:r>
          </w:hyperlink>
        </w:p>
        <w:p w:rsidR="000C4F17" w:rsidRDefault="000C4F17">
          <w:pPr>
            <w:pStyle w:val="23"/>
            <w:tabs>
              <w:tab w:val="right" w:leader="dot" w:pos="8296"/>
            </w:tabs>
            <w:rPr>
              <w:rFonts w:eastAsiaTheme="minorEastAsia"/>
              <w:noProof/>
              <w:szCs w:val="22"/>
            </w:rPr>
          </w:pPr>
          <w:hyperlink w:anchor="_Toc144372364" w:history="1">
            <w:r w:rsidRPr="00A16DBD">
              <w:rPr>
                <w:rStyle w:val="a9"/>
                <w:rFonts w:ascii="楷体" w:eastAsia="楷体" w:hAnsi="楷体"/>
                <w:b/>
                <w:noProof/>
              </w:rPr>
              <w:t>碳酸锂：下游需求维持偏弱，现货价格进一步下行</w:t>
            </w:r>
          </w:hyperlink>
        </w:p>
        <w:p w:rsidR="000C4F17" w:rsidRDefault="000C4F17">
          <w:pPr>
            <w:pStyle w:val="23"/>
            <w:tabs>
              <w:tab w:val="right" w:leader="dot" w:pos="8296"/>
            </w:tabs>
            <w:rPr>
              <w:rFonts w:eastAsiaTheme="minorEastAsia"/>
              <w:noProof/>
              <w:szCs w:val="22"/>
            </w:rPr>
          </w:pPr>
          <w:hyperlink w:anchor="_Toc144372365" w:history="1">
            <w:r w:rsidRPr="00A16DBD">
              <w:rPr>
                <w:rStyle w:val="a9"/>
                <w:rFonts w:ascii="楷体" w:eastAsia="楷体" w:hAnsi="楷体"/>
                <w:b/>
                <w:noProof/>
              </w:rPr>
              <w:t>螺纹钢：表需环比走弱，消息刺激下反弹，上方压力依旧</w:t>
            </w:r>
          </w:hyperlink>
        </w:p>
        <w:p w:rsidR="000C4F17" w:rsidRDefault="000C4F17">
          <w:pPr>
            <w:pStyle w:val="23"/>
            <w:tabs>
              <w:tab w:val="right" w:leader="dot" w:pos="8296"/>
            </w:tabs>
            <w:rPr>
              <w:rFonts w:eastAsiaTheme="minorEastAsia"/>
              <w:noProof/>
              <w:szCs w:val="22"/>
            </w:rPr>
          </w:pPr>
          <w:hyperlink w:anchor="_Toc144372366" w:history="1">
            <w:r w:rsidRPr="00A16DBD">
              <w:rPr>
                <w:rStyle w:val="a9"/>
                <w:rFonts w:ascii="楷体" w:eastAsia="楷体" w:hAnsi="楷体"/>
                <w:b/>
                <w:noProof/>
              </w:rPr>
              <w:t>焦炭：情绪推动基差修复，短期偏强，但上方压力依旧</w:t>
            </w:r>
          </w:hyperlink>
        </w:p>
        <w:p w:rsidR="000C4F17" w:rsidRDefault="000C4F17">
          <w:pPr>
            <w:pStyle w:val="23"/>
            <w:tabs>
              <w:tab w:val="right" w:leader="dot" w:pos="8296"/>
            </w:tabs>
            <w:rPr>
              <w:rFonts w:eastAsiaTheme="minorEastAsia"/>
              <w:noProof/>
              <w:szCs w:val="22"/>
            </w:rPr>
          </w:pPr>
          <w:hyperlink w:anchor="_Toc144372367" w:history="1">
            <w:r w:rsidRPr="00A16DBD">
              <w:rPr>
                <w:rStyle w:val="a9"/>
                <w:rFonts w:ascii="楷体" w:eastAsia="楷体" w:hAnsi="楷体"/>
                <w:b/>
                <w:noProof/>
              </w:rPr>
              <w:t>焦煤：高位震荡反复，基差修复后，上方压力较大</w:t>
            </w:r>
          </w:hyperlink>
        </w:p>
        <w:p w:rsidR="000C4F17" w:rsidRDefault="000C4F17">
          <w:pPr>
            <w:pStyle w:val="23"/>
            <w:tabs>
              <w:tab w:val="right" w:leader="dot" w:pos="8296"/>
            </w:tabs>
            <w:rPr>
              <w:rFonts w:eastAsiaTheme="minorEastAsia"/>
              <w:noProof/>
              <w:szCs w:val="22"/>
            </w:rPr>
          </w:pPr>
          <w:hyperlink w:anchor="_Toc144372368" w:history="1">
            <w:r w:rsidRPr="00A16DBD">
              <w:rPr>
                <w:rStyle w:val="a9"/>
                <w:rFonts w:ascii="楷体" w:eastAsia="楷体" w:hAnsi="楷体"/>
                <w:b/>
                <w:noProof/>
              </w:rPr>
              <w:t>铜：区间内震荡偏多运行，关注美国非农数据公布</w:t>
            </w:r>
          </w:hyperlink>
        </w:p>
        <w:p w:rsidR="000C4F17" w:rsidRDefault="000C4F17">
          <w:pPr>
            <w:pStyle w:val="23"/>
            <w:tabs>
              <w:tab w:val="right" w:leader="dot" w:pos="8296"/>
            </w:tabs>
            <w:rPr>
              <w:rFonts w:eastAsiaTheme="minorEastAsia"/>
              <w:noProof/>
              <w:szCs w:val="22"/>
            </w:rPr>
          </w:pPr>
          <w:hyperlink w:anchor="_Toc144372369" w:history="1">
            <w:r w:rsidRPr="00A16DBD">
              <w:rPr>
                <w:rStyle w:val="a9"/>
                <w:rFonts w:ascii="楷体" w:eastAsia="楷体" w:hAnsi="楷体"/>
                <w:b/>
                <w:noProof/>
              </w:rPr>
              <w:t>铝：铝价区间偏强震荡</w:t>
            </w:r>
          </w:hyperlink>
        </w:p>
        <w:p w:rsidR="000C4F17" w:rsidRDefault="000C4F17">
          <w:pPr>
            <w:pStyle w:val="23"/>
            <w:tabs>
              <w:tab w:val="right" w:leader="dot" w:pos="8296"/>
            </w:tabs>
            <w:rPr>
              <w:rFonts w:eastAsiaTheme="minorEastAsia"/>
              <w:noProof/>
              <w:szCs w:val="22"/>
            </w:rPr>
          </w:pPr>
          <w:hyperlink w:anchor="_Toc144372370" w:history="1">
            <w:r w:rsidRPr="00A16DBD">
              <w:rPr>
                <w:rStyle w:val="a9"/>
                <w:rFonts w:ascii="楷体" w:eastAsia="楷体" w:hAnsi="楷体"/>
                <w:b/>
                <w:noProof/>
              </w:rPr>
              <w:t>锌：锌价维持偏强态势</w:t>
            </w:r>
          </w:hyperlink>
        </w:p>
        <w:p w:rsidR="000C4F17" w:rsidRDefault="000C4F17">
          <w:pPr>
            <w:pStyle w:val="23"/>
            <w:tabs>
              <w:tab w:val="right" w:leader="dot" w:pos="8296"/>
            </w:tabs>
            <w:rPr>
              <w:rFonts w:eastAsiaTheme="minorEastAsia"/>
              <w:noProof/>
              <w:szCs w:val="22"/>
            </w:rPr>
          </w:pPr>
          <w:hyperlink w:anchor="_Toc144372371" w:history="1">
            <w:r w:rsidRPr="00A16DBD">
              <w:rPr>
                <w:rStyle w:val="a9"/>
                <w:rFonts w:ascii="楷体" w:eastAsia="楷体" w:hAnsi="楷体"/>
                <w:b/>
                <w:noProof/>
              </w:rPr>
              <w:t>镍：下游需求不振而供应边际宽松，短期震荡偏弱</w:t>
            </w:r>
          </w:hyperlink>
        </w:p>
        <w:p w:rsidR="000C4F17" w:rsidRDefault="000C4F17">
          <w:pPr>
            <w:pStyle w:val="23"/>
            <w:tabs>
              <w:tab w:val="right" w:leader="dot" w:pos="8296"/>
            </w:tabs>
            <w:rPr>
              <w:rFonts w:eastAsiaTheme="minorEastAsia"/>
              <w:noProof/>
              <w:szCs w:val="22"/>
            </w:rPr>
          </w:pPr>
          <w:hyperlink w:anchor="_Toc144372372" w:history="1">
            <w:r w:rsidRPr="00A16DBD">
              <w:rPr>
                <w:rStyle w:val="a9"/>
                <w:rFonts w:ascii="楷体" w:eastAsia="楷体" w:hAnsi="楷体"/>
                <w:b/>
                <w:noProof/>
              </w:rPr>
              <w:t>铅：成本支撑较强，或高位震荡</w:t>
            </w:r>
          </w:hyperlink>
        </w:p>
        <w:p w:rsidR="000C4F17" w:rsidRDefault="000C4F17">
          <w:pPr>
            <w:pStyle w:val="23"/>
            <w:tabs>
              <w:tab w:val="right" w:leader="dot" w:pos="8296"/>
            </w:tabs>
            <w:rPr>
              <w:rFonts w:eastAsiaTheme="minorEastAsia"/>
              <w:noProof/>
              <w:szCs w:val="22"/>
            </w:rPr>
          </w:pPr>
          <w:hyperlink w:anchor="_Toc144372373" w:history="1">
            <w:r w:rsidRPr="00A16DBD">
              <w:rPr>
                <w:rStyle w:val="a9"/>
                <w:rFonts w:ascii="楷体" w:eastAsia="楷体" w:hAnsi="楷体"/>
                <w:b/>
                <w:noProof/>
              </w:rPr>
              <w:t>不锈钢：成本支撑与需求疲弱相交织，短期或窄幅震荡</w:t>
            </w:r>
          </w:hyperlink>
        </w:p>
        <w:p w:rsidR="000C4F17" w:rsidRDefault="000C4F17">
          <w:pPr>
            <w:pStyle w:val="23"/>
            <w:tabs>
              <w:tab w:val="right" w:leader="dot" w:pos="8296"/>
            </w:tabs>
            <w:rPr>
              <w:rFonts w:eastAsiaTheme="minorEastAsia"/>
              <w:noProof/>
              <w:szCs w:val="22"/>
            </w:rPr>
          </w:pPr>
          <w:hyperlink w:anchor="_Toc144372374" w:history="1">
            <w:r w:rsidRPr="00A16DBD">
              <w:rPr>
                <w:rStyle w:val="a9"/>
                <w:rFonts w:ascii="楷体" w:eastAsia="楷体" w:hAnsi="楷体"/>
                <w:b/>
                <w:noProof/>
              </w:rPr>
              <w:t>工业硅：市场暂无明显驱动，短期盘面或震荡为主</w:t>
            </w:r>
          </w:hyperlink>
        </w:p>
        <w:p w:rsidR="000C4F17" w:rsidRDefault="000C4F17">
          <w:pPr>
            <w:pStyle w:val="11"/>
            <w:tabs>
              <w:tab w:val="right" w:leader="dot" w:pos="8296"/>
            </w:tabs>
            <w:rPr>
              <w:rFonts w:eastAsiaTheme="minorEastAsia"/>
              <w:noProof/>
              <w:szCs w:val="22"/>
            </w:rPr>
          </w:pPr>
          <w:hyperlink w:anchor="_Toc144372375" w:history="1">
            <w:r w:rsidRPr="00A16DBD">
              <w:rPr>
                <w:rStyle w:val="a9"/>
                <w:rFonts w:ascii="Times New Roman" w:eastAsia="楷体" w:hAnsi="Times New Roman"/>
                <w:b/>
                <w:noProof/>
              </w:rPr>
              <w:t>[</w:t>
            </w:r>
            <w:r w:rsidRPr="00A16DBD">
              <w:rPr>
                <w:rStyle w:val="a9"/>
                <w:rFonts w:ascii="Times New Roman" w:eastAsia="楷体" w:hAnsi="Times New Roman"/>
                <w:b/>
                <w:noProof/>
              </w:rPr>
              <w:t>化工</w:t>
            </w:r>
            <w:r w:rsidRPr="00A16DBD">
              <w:rPr>
                <w:rStyle w:val="a9"/>
                <w:rFonts w:ascii="Times New Roman" w:eastAsia="楷体" w:hAnsi="Times New Roman"/>
                <w:b/>
                <w:noProof/>
              </w:rPr>
              <w:t>]</w:t>
            </w:r>
          </w:hyperlink>
        </w:p>
        <w:p w:rsidR="000C4F17" w:rsidRDefault="000C4F17">
          <w:pPr>
            <w:pStyle w:val="23"/>
            <w:tabs>
              <w:tab w:val="right" w:leader="dot" w:pos="8296"/>
            </w:tabs>
            <w:rPr>
              <w:rFonts w:eastAsiaTheme="minorEastAsia"/>
              <w:noProof/>
              <w:szCs w:val="22"/>
            </w:rPr>
          </w:pPr>
          <w:hyperlink w:anchor="_Toc144372376" w:history="1">
            <w:r w:rsidRPr="00A16DBD">
              <w:rPr>
                <w:rStyle w:val="a9"/>
                <w:rFonts w:ascii="Times New Roman" w:eastAsia="楷体" w:hAnsi="Times New Roman"/>
                <w:b/>
                <w:noProof/>
              </w:rPr>
              <w:t>天然橡胶</w:t>
            </w:r>
            <w:r w:rsidRPr="00A16DBD">
              <w:rPr>
                <w:rStyle w:val="a9"/>
                <w:rFonts w:ascii="Times New Roman" w:eastAsia="楷体" w:hAnsi="Times New Roman"/>
                <w:b/>
                <w:noProof/>
              </w:rPr>
              <w:t>:</w:t>
            </w:r>
            <w:r w:rsidRPr="00A16DBD">
              <w:rPr>
                <w:rStyle w:val="a9"/>
                <w:rFonts w:ascii="楷体" w:eastAsia="楷体" w:hAnsi="楷体"/>
                <w:b/>
                <w:noProof/>
              </w:rPr>
              <w:t xml:space="preserve"> 看多情绪升温 天胶维持偏强震荡</w:t>
            </w:r>
          </w:hyperlink>
        </w:p>
        <w:p w:rsidR="000C4F17" w:rsidRDefault="000C4F17">
          <w:pPr>
            <w:pStyle w:val="23"/>
            <w:tabs>
              <w:tab w:val="right" w:leader="dot" w:pos="8296"/>
            </w:tabs>
            <w:rPr>
              <w:rFonts w:eastAsiaTheme="minorEastAsia"/>
              <w:noProof/>
              <w:szCs w:val="22"/>
            </w:rPr>
          </w:pPr>
          <w:hyperlink w:anchor="_Toc144372377" w:history="1">
            <w:r w:rsidRPr="00A16DBD">
              <w:rPr>
                <w:rStyle w:val="a9"/>
                <w:rFonts w:ascii="楷体" w:eastAsia="楷体" w:hAnsi="楷体"/>
                <w:b/>
                <w:noProof/>
              </w:rPr>
              <w:t>PTA：低加工费及成本端支撑仍偏强</w:t>
            </w:r>
          </w:hyperlink>
        </w:p>
        <w:p w:rsidR="000C4F17" w:rsidRDefault="000C4F17">
          <w:pPr>
            <w:pStyle w:val="23"/>
            <w:tabs>
              <w:tab w:val="right" w:leader="dot" w:pos="8296"/>
            </w:tabs>
            <w:rPr>
              <w:rFonts w:eastAsiaTheme="minorEastAsia"/>
              <w:noProof/>
              <w:szCs w:val="22"/>
            </w:rPr>
          </w:pPr>
          <w:hyperlink w:anchor="_Toc144372378" w:history="1">
            <w:r w:rsidRPr="00A16DBD">
              <w:rPr>
                <w:rStyle w:val="a9"/>
                <w:rFonts w:ascii="楷体" w:eastAsia="楷体" w:hAnsi="楷体"/>
                <w:b/>
                <w:noProof/>
              </w:rPr>
              <w:t>PVC：高库存+弱复苏 驱动不足</w:t>
            </w:r>
          </w:hyperlink>
        </w:p>
        <w:p w:rsidR="000C4F17" w:rsidRDefault="000C4F17">
          <w:pPr>
            <w:pStyle w:val="23"/>
            <w:tabs>
              <w:tab w:val="right" w:leader="dot" w:pos="8296"/>
            </w:tabs>
            <w:rPr>
              <w:rFonts w:eastAsiaTheme="minorEastAsia"/>
              <w:noProof/>
              <w:szCs w:val="22"/>
            </w:rPr>
          </w:pPr>
          <w:hyperlink w:anchor="_Toc144372379" w:history="1">
            <w:r w:rsidRPr="00A16DBD">
              <w:rPr>
                <w:rStyle w:val="a9"/>
                <w:rFonts w:ascii="楷体" w:eastAsia="楷体" w:hAnsi="楷体"/>
                <w:b/>
                <w:noProof/>
              </w:rPr>
              <w:t>聚烯烃：供应压力逐渐凸显，聚烯烃或窄幅调整为主</w:t>
            </w:r>
          </w:hyperlink>
        </w:p>
        <w:p w:rsidR="000C4F17" w:rsidRDefault="000C4F17">
          <w:pPr>
            <w:pStyle w:val="23"/>
            <w:tabs>
              <w:tab w:val="right" w:leader="dot" w:pos="8296"/>
            </w:tabs>
            <w:rPr>
              <w:rFonts w:eastAsiaTheme="minorEastAsia"/>
              <w:noProof/>
              <w:szCs w:val="22"/>
            </w:rPr>
          </w:pPr>
          <w:hyperlink w:anchor="_Toc144372380" w:history="1">
            <w:r w:rsidRPr="00A16DBD">
              <w:rPr>
                <w:rStyle w:val="a9"/>
                <w:rFonts w:ascii="楷体" w:eastAsia="楷体" w:hAnsi="楷体"/>
                <w:b/>
                <w:noProof/>
              </w:rPr>
              <w:t>MEG：存弱反弹估值修复预期，关注01低多机会</w:t>
            </w:r>
          </w:hyperlink>
        </w:p>
        <w:p w:rsidR="000C4F17" w:rsidRDefault="000C4F17">
          <w:pPr>
            <w:pStyle w:val="23"/>
            <w:tabs>
              <w:tab w:val="right" w:leader="dot" w:pos="8296"/>
            </w:tabs>
            <w:rPr>
              <w:rFonts w:eastAsiaTheme="minorEastAsia"/>
              <w:noProof/>
              <w:szCs w:val="22"/>
            </w:rPr>
          </w:pPr>
          <w:hyperlink w:anchor="_Toc144372381" w:history="1">
            <w:r w:rsidRPr="00A16DBD">
              <w:rPr>
                <w:rStyle w:val="a9"/>
                <w:rFonts w:ascii="楷体" w:eastAsia="楷体" w:hAnsi="楷体"/>
                <w:b/>
                <w:noProof/>
              </w:rPr>
              <w:t>玻璃：产销边际改善，持续性尚待观察</w:t>
            </w:r>
          </w:hyperlink>
        </w:p>
        <w:p w:rsidR="000C4F17" w:rsidRDefault="000C4F17">
          <w:pPr>
            <w:pStyle w:val="23"/>
            <w:tabs>
              <w:tab w:val="right" w:leader="dot" w:pos="8296"/>
            </w:tabs>
            <w:rPr>
              <w:rFonts w:eastAsiaTheme="minorEastAsia"/>
              <w:noProof/>
              <w:szCs w:val="22"/>
            </w:rPr>
          </w:pPr>
          <w:hyperlink w:anchor="_Toc144372382" w:history="1">
            <w:r w:rsidRPr="00A16DBD">
              <w:rPr>
                <w:rStyle w:val="a9"/>
                <w:rFonts w:ascii="楷体" w:eastAsia="楷体" w:hAnsi="楷体"/>
                <w:b/>
                <w:noProof/>
              </w:rPr>
              <w:t>纯碱：监管风险释放后，盘面多空博弈</w:t>
            </w:r>
          </w:hyperlink>
        </w:p>
        <w:p w:rsidR="000C4F17" w:rsidRDefault="000C4F17">
          <w:pPr>
            <w:pStyle w:val="11"/>
            <w:tabs>
              <w:tab w:val="right" w:leader="dot" w:pos="8296"/>
            </w:tabs>
            <w:rPr>
              <w:rFonts w:eastAsiaTheme="minorEastAsia"/>
              <w:noProof/>
              <w:szCs w:val="22"/>
            </w:rPr>
          </w:pPr>
          <w:hyperlink w:anchor="_Toc144372383" w:history="1">
            <w:r w:rsidRPr="00A16DBD">
              <w:rPr>
                <w:rStyle w:val="a9"/>
                <w:rFonts w:ascii="Times New Roman" w:eastAsia="楷体" w:hAnsi="Times New Roman"/>
                <w:b/>
                <w:noProof/>
              </w:rPr>
              <w:t>[</w:t>
            </w:r>
            <w:r w:rsidRPr="00A16DBD">
              <w:rPr>
                <w:rStyle w:val="a9"/>
                <w:rFonts w:ascii="Times New Roman" w:eastAsia="楷体" w:hAnsi="Times New Roman"/>
                <w:b/>
                <w:noProof/>
              </w:rPr>
              <w:t>农产品</w:t>
            </w:r>
            <w:r w:rsidRPr="00A16DBD">
              <w:rPr>
                <w:rStyle w:val="a9"/>
                <w:rFonts w:ascii="Times New Roman" w:eastAsia="楷体" w:hAnsi="Times New Roman"/>
                <w:b/>
                <w:noProof/>
              </w:rPr>
              <w:t>]</w:t>
            </w:r>
          </w:hyperlink>
        </w:p>
        <w:p w:rsidR="000C4F17" w:rsidRDefault="000C4F17">
          <w:pPr>
            <w:pStyle w:val="23"/>
            <w:tabs>
              <w:tab w:val="right" w:leader="dot" w:pos="8296"/>
            </w:tabs>
            <w:rPr>
              <w:rFonts w:eastAsiaTheme="minorEastAsia"/>
              <w:noProof/>
              <w:szCs w:val="22"/>
            </w:rPr>
          </w:pPr>
          <w:hyperlink w:anchor="_Toc144372384" w:history="1">
            <w:r w:rsidRPr="00A16DBD">
              <w:rPr>
                <w:rStyle w:val="a9"/>
                <w:rFonts w:ascii="楷体" w:eastAsia="楷体" w:hAnsi="楷体"/>
                <w:b/>
                <w:noProof/>
              </w:rPr>
              <w:t>豆粕/菜粕：短期延续高位震荡</w:t>
            </w:r>
          </w:hyperlink>
        </w:p>
        <w:p w:rsidR="000C4F17" w:rsidRDefault="000C4F17">
          <w:pPr>
            <w:pStyle w:val="23"/>
            <w:tabs>
              <w:tab w:val="right" w:leader="dot" w:pos="8296"/>
            </w:tabs>
            <w:rPr>
              <w:rFonts w:eastAsiaTheme="minorEastAsia"/>
              <w:noProof/>
              <w:szCs w:val="22"/>
            </w:rPr>
          </w:pPr>
          <w:hyperlink w:anchor="_Toc144372385" w:history="1">
            <w:r w:rsidRPr="00A16DBD">
              <w:rPr>
                <w:rStyle w:val="a9"/>
                <w:rFonts w:ascii="楷体" w:eastAsia="楷体" w:hAnsi="楷体"/>
                <w:b/>
                <w:noProof/>
              </w:rPr>
              <w:t>油脂：维持宽幅震荡</w:t>
            </w:r>
          </w:hyperlink>
        </w:p>
        <w:p w:rsidR="000C4F17" w:rsidRDefault="000C4F17">
          <w:pPr>
            <w:pStyle w:val="23"/>
            <w:tabs>
              <w:tab w:val="right" w:leader="dot" w:pos="8296"/>
            </w:tabs>
            <w:rPr>
              <w:rFonts w:eastAsiaTheme="minorEastAsia"/>
              <w:noProof/>
              <w:szCs w:val="22"/>
            </w:rPr>
          </w:pPr>
          <w:hyperlink w:anchor="_Toc144372386" w:history="1">
            <w:r w:rsidRPr="00A16DBD">
              <w:rPr>
                <w:rStyle w:val="a9"/>
                <w:rFonts w:ascii="楷体" w:eastAsia="楷体" w:hAnsi="楷体"/>
                <w:b/>
                <w:bCs/>
                <w:noProof/>
              </w:rPr>
              <w:t>玉米与淀粉：</w:t>
            </w:r>
            <w:r w:rsidRPr="00A16DBD">
              <w:rPr>
                <w:rStyle w:val="a9"/>
                <w:rFonts w:ascii="楷体" w:eastAsia="楷体" w:hAnsi="楷体"/>
                <w:b/>
                <w:noProof/>
              </w:rPr>
              <w:t>华北玉米和小麦现货带动期价震荡上行</w:t>
            </w:r>
          </w:hyperlink>
        </w:p>
        <w:p w:rsidR="000C4F17" w:rsidRDefault="000C4F17">
          <w:pPr>
            <w:pStyle w:val="23"/>
            <w:tabs>
              <w:tab w:val="right" w:leader="dot" w:pos="8296"/>
            </w:tabs>
            <w:rPr>
              <w:rFonts w:eastAsiaTheme="minorEastAsia"/>
              <w:noProof/>
              <w:szCs w:val="22"/>
            </w:rPr>
          </w:pPr>
          <w:hyperlink w:anchor="_Toc144372387" w:history="1">
            <w:r w:rsidRPr="00A16DBD">
              <w:rPr>
                <w:rStyle w:val="a9"/>
                <w:rFonts w:ascii="楷体" w:eastAsia="楷体" w:hAnsi="楷体"/>
                <w:b/>
                <w:bCs/>
                <w:noProof/>
              </w:rPr>
              <w:t>畜禽养殖：期价窄幅震荡</w:t>
            </w:r>
          </w:hyperlink>
        </w:p>
        <w:p w:rsidR="000C4F17" w:rsidRDefault="000C4F17">
          <w:pPr>
            <w:pStyle w:val="23"/>
            <w:tabs>
              <w:tab w:val="right" w:leader="dot" w:pos="8296"/>
            </w:tabs>
            <w:rPr>
              <w:rFonts w:eastAsiaTheme="minorEastAsia"/>
              <w:noProof/>
              <w:szCs w:val="22"/>
            </w:rPr>
          </w:pPr>
          <w:hyperlink w:anchor="_Toc144372388" w:history="1">
            <w:r w:rsidRPr="00A16DBD">
              <w:rPr>
                <w:rStyle w:val="a9"/>
                <w:rFonts w:ascii="楷体" w:eastAsia="楷体" w:hAnsi="楷体"/>
                <w:b/>
                <w:noProof/>
              </w:rPr>
              <w:t>郑棉：看跌期权卖权持有</w:t>
            </w:r>
          </w:hyperlink>
        </w:p>
        <w:p w:rsidR="000C4F17" w:rsidRDefault="000C4F17">
          <w:pPr>
            <w:pStyle w:val="23"/>
            <w:tabs>
              <w:tab w:val="right" w:leader="dot" w:pos="8296"/>
            </w:tabs>
            <w:rPr>
              <w:rFonts w:eastAsiaTheme="minorEastAsia"/>
              <w:noProof/>
              <w:szCs w:val="22"/>
            </w:rPr>
          </w:pPr>
          <w:hyperlink w:anchor="_Toc144372389" w:history="1">
            <w:r w:rsidRPr="00A16DBD">
              <w:rPr>
                <w:rStyle w:val="a9"/>
                <w:rFonts w:ascii="楷体" w:eastAsia="楷体" w:hAnsi="楷体"/>
                <w:b/>
                <w:noProof/>
              </w:rPr>
              <w:t>白糖：看跌期权卖权持有</w:t>
            </w:r>
          </w:hyperlink>
        </w:p>
        <w:p w:rsidR="003F56A5" w:rsidRPr="008F2A6E" w:rsidRDefault="00CC3FFA">
          <w:r>
            <w:rPr>
              <w:bCs/>
            </w:rPr>
            <w:fldChar w:fldCharType="end"/>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437235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4372360"/>
      <w:bookmarkEnd w:id="4"/>
      <w:r>
        <w:rPr>
          <w:rFonts w:ascii="Times New Roman" w:eastAsia="楷体" w:hAnsi="Times New Roman" w:hint="eastAsia"/>
          <w:b/>
          <w:color w:val="000000" w:themeColor="text1"/>
          <w:sz w:val="24"/>
          <w:szCs w:val="24"/>
        </w:rPr>
        <w:t>股指：</w:t>
      </w:r>
      <w:bookmarkEnd w:id="6"/>
      <w:bookmarkEnd w:id="7"/>
      <w:r w:rsidR="000C4F17" w:rsidRPr="000C4F17">
        <w:rPr>
          <w:rFonts w:ascii="Times New Roman" w:eastAsia="楷体" w:hAnsi="Times New Roman" w:hint="eastAsia"/>
          <w:b/>
          <w:color w:val="000000" w:themeColor="text1"/>
          <w:sz w:val="24"/>
          <w:szCs w:val="24"/>
        </w:rPr>
        <w:t>关注多</w:t>
      </w:r>
      <w:r w:rsidR="000C4F17" w:rsidRPr="000C4F17">
        <w:rPr>
          <w:rFonts w:ascii="Times New Roman" w:eastAsia="楷体" w:hAnsi="Times New Roman" w:hint="eastAsia"/>
          <w:b/>
          <w:color w:val="000000" w:themeColor="text1"/>
          <w:sz w:val="24"/>
          <w:szCs w:val="24"/>
        </w:rPr>
        <w:t>IM</w:t>
      </w:r>
      <w:r w:rsidR="000C4F17" w:rsidRPr="000C4F17">
        <w:rPr>
          <w:rFonts w:ascii="Times New Roman" w:eastAsia="楷体" w:hAnsi="Times New Roman" w:hint="eastAsia"/>
          <w:b/>
          <w:color w:val="000000" w:themeColor="text1"/>
          <w:sz w:val="24"/>
          <w:szCs w:val="24"/>
        </w:rPr>
        <w:t>空</w:t>
      </w:r>
      <w:r w:rsidR="000C4F17" w:rsidRPr="000C4F17">
        <w:rPr>
          <w:rFonts w:ascii="Times New Roman" w:eastAsia="楷体" w:hAnsi="Times New Roman" w:hint="eastAsia"/>
          <w:b/>
          <w:color w:val="000000" w:themeColor="text1"/>
          <w:sz w:val="24"/>
          <w:szCs w:val="24"/>
        </w:rPr>
        <w:t>IH</w:t>
      </w:r>
      <w:r w:rsidR="000C4F17" w:rsidRPr="000C4F17">
        <w:rPr>
          <w:rFonts w:ascii="Times New Roman" w:eastAsia="楷体" w:hAnsi="Times New Roman" w:hint="eastAsia"/>
          <w:b/>
          <w:color w:val="000000" w:themeColor="text1"/>
          <w:sz w:val="24"/>
          <w:szCs w:val="24"/>
        </w:rPr>
        <w:t>套利机会</w:t>
      </w:r>
      <w:bookmarkEnd w:id="8"/>
    </w:p>
    <w:p w:rsidR="003F56A5" w:rsidRDefault="000C4F17" w:rsidP="00D14B3E">
      <w:pPr>
        <w:ind w:leftChars="300" w:left="630"/>
        <w:rPr>
          <w:rFonts w:ascii="Times New Roman" w:eastAsia="楷体" w:hAnsi="Times New Roman"/>
          <w:color w:val="000000" w:themeColor="text1"/>
          <w:sz w:val="24"/>
          <w:szCs w:val="24"/>
        </w:rPr>
      </w:pPr>
      <w:r w:rsidRPr="000C4F17">
        <w:rPr>
          <w:rFonts w:ascii="Times New Roman" w:eastAsia="楷体" w:hAnsi="Times New Roman" w:hint="eastAsia"/>
          <w:color w:val="000000" w:themeColor="text1"/>
          <w:sz w:val="24"/>
          <w:szCs w:val="24"/>
        </w:rPr>
        <w:t>超预期活跃资本市场政策出台后，市场情绪有所回暖，尽管在政策底向市场底的过程或仍较为曲折，但不能忽视超预期的政策信号意义。减持限制及</w:t>
      </w:r>
      <w:r w:rsidRPr="000C4F17">
        <w:rPr>
          <w:rFonts w:ascii="Times New Roman" w:eastAsia="楷体" w:hAnsi="Times New Roman" w:hint="eastAsia"/>
          <w:color w:val="000000" w:themeColor="text1"/>
          <w:sz w:val="24"/>
          <w:szCs w:val="24"/>
        </w:rPr>
        <w:t>IPO</w:t>
      </w:r>
      <w:r w:rsidRPr="000C4F17">
        <w:rPr>
          <w:rFonts w:ascii="Times New Roman" w:eastAsia="楷体" w:hAnsi="Times New Roman" w:hint="eastAsia"/>
          <w:color w:val="000000" w:themeColor="text1"/>
          <w:sz w:val="24"/>
          <w:szCs w:val="24"/>
        </w:rPr>
        <w:t>节奏放缓均有利于小盘流动性，驱动资金流入小盘，存在结构性机会，</w:t>
      </w:r>
      <w:r w:rsidRPr="000C4F17">
        <w:rPr>
          <w:rFonts w:ascii="Times New Roman" w:eastAsia="楷体" w:hAnsi="Times New Roman" w:hint="eastAsia"/>
          <w:color w:val="000000" w:themeColor="text1"/>
          <w:sz w:val="24"/>
          <w:szCs w:val="24"/>
        </w:rPr>
        <w:t>IM/IH</w:t>
      </w:r>
      <w:r w:rsidRPr="000C4F17">
        <w:rPr>
          <w:rFonts w:ascii="Times New Roman" w:eastAsia="楷体" w:hAnsi="Times New Roman" w:hint="eastAsia"/>
          <w:color w:val="000000" w:themeColor="text1"/>
          <w:sz w:val="24"/>
          <w:szCs w:val="24"/>
        </w:rPr>
        <w:t>比价已到前低，市场风格或阶段性转向中小盘成长，关注多</w:t>
      </w:r>
      <w:r w:rsidRPr="000C4F17">
        <w:rPr>
          <w:rFonts w:ascii="Times New Roman" w:eastAsia="楷体" w:hAnsi="Times New Roman" w:hint="eastAsia"/>
          <w:color w:val="000000" w:themeColor="text1"/>
          <w:sz w:val="24"/>
          <w:szCs w:val="24"/>
        </w:rPr>
        <w:t>IM</w:t>
      </w:r>
      <w:r w:rsidRPr="000C4F17">
        <w:rPr>
          <w:rFonts w:ascii="Times New Roman" w:eastAsia="楷体" w:hAnsi="Times New Roman" w:hint="eastAsia"/>
          <w:color w:val="000000" w:themeColor="text1"/>
          <w:sz w:val="24"/>
          <w:szCs w:val="24"/>
        </w:rPr>
        <w:t>空</w:t>
      </w:r>
      <w:r w:rsidRPr="000C4F17">
        <w:rPr>
          <w:rFonts w:ascii="Times New Roman" w:eastAsia="楷体" w:hAnsi="Times New Roman" w:hint="eastAsia"/>
          <w:color w:val="000000" w:themeColor="text1"/>
          <w:sz w:val="24"/>
          <w:szCs w:val="24"/>
        </w:rPr>
        <w:t>IH</w:t>
      </w:r>
      <w:r w:rsidRPr="000C4F17">
        <w:rPr>
          <w:rFonts w:ascii="Times New Roman" w:eastAsia="楷体" w:hAnsi="Times New Roman" w:hint="eastAsia"/>
          <w:color w:val="000000" w:themeColor="text1"/>
          <w:sz w:val="24"/>
          <w:szCs w:val="24"/>
        </w:rPr>
        <w:t>套利机会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437236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4372362"/>
      <w:r>
        <w:rPr>
          <w:rFonts w:ascii="Times New Roman" w:eastAsia="楷体" w:hAnsi="Times New Roman" w:hint="eastAsia"/>
          <w:b/>
          <w:color w:val="000000" w:themeColor="text1"/>
          <w:sz w:val="24"/>
          <w:szCs w:val="24"/>
        </w:rPr>
        <w:t>贵金属：</w:t>
      </w:r>
      <w:r w:rsidR="000C4F17" w:rsidRPr="000C4F17">
        <w:rPr>
          <w:rFonts w:ascii="Times New Roman" w:eastAsia="楷体" w:hAnsi="Times New Roman" w:hint="eastAsia"/>
          <w:b/>
          <w:color w:val="000000" w:themeColor="text1"/>
          <w:sz w:val="24"/>
          <w:szCs w:val="24"/>
        </w:rPr>
        <w:t>美国</w:t>
      </w:r>
      <w:r w:rsidR="000C4F17" w:rsidRPr="000C4F17">
        <w:rPr>
          <w:rFonts w:ascii="Times New Roman" w:eastAsia="楷体" w:hAnsi="Times New Roman" w:hint="eastAsia"/>
          <w:b/>
          <w:color w:val="000000" w:themeColor="text1"/>
          <w:sz w:val="24"/>
          <w:szCs w:val="24"/>
        </w:rPr>
        <w:t>ADP</w:t>
      </w:r>
      <w:r w:rsidR="000C4F17" w:rsidRPr="000C4F17">
        <w:rPr>
          <w:rFonts w:ascii="Times New Roman" w:eastAsia="楷体" w:hAnsi="Times New Roman" w:hint="eastAsia"/>
          <w:b/>
          <w:color w:val="000000" w:themeColor="text1"/>
          <w:sz w:val="24"/>
          <w:szCs w:val="24"/>
        </w:rPr>
        <w:t>就业数据低于预期，贵金属价格窄幅震荡</w:t>
      </w:r>
      <w:bookmarkEnd w:id="10"/>
    </w:p>
    <w:p w:rsidR="003F56A5" w:rsidRDefault="000C4F17">
      <w:pPr>
        <w:ind w:leftChars="300" w:left="630"/>
        <w:rPr>
          <w:rFonts w:ascii="Times New Roman" w:eastAsia="楷体" w:hAnsi="Times New Roman"/>
          <w:sz w:val="24"/>
          <w:szCs w:val="24"/>
        </w:rPr>
      </w:pPr>
      <w:r w:rsidRPr="000C4F17">
        <w:rPr>
          <w:rFonts w:ascii="Times New Roman" w:eastAsia="楷体" w:hAnsi="Times New Roman" w:hint="eastAsia"/>
          <w:color w:val="000000" w:themeColor="text1"/>
          <w:sz w:val="24"/>
          <w:szCs w:val="24"/>
        </w:rPr>
        <w:t>美国</w:t>
      </w:r>
      <w:r w:rsidRPr="000C4F17">
        <w:rPr>
          <w:rFonts w:ascii="Times New Roman" w:eastAsia="楷体" w:hAnsi="Times New Roman" w:hint="eastAsia"/>
          <w:color w:val="000000" w:themeColor="text1"/>
          <w:sz w:val="24"/>
          <w:szCs w:val="24"/>
        </w:rPr>
        <w:t>8</w:t>
      </w:r>
      <w:r w:rsidRPr="000C4F17">
        <w:rPr>
          <w:rFonts w:ascii="Times New Roman" w:eastAsia="楷体" w:hAnsi="Times New Roman" w:hint="eastAsia"/>
          <w:color w:val="000000" w:themeColor="text1"/>
          <w:sz w:val="24"/>
          <w:szCs w:val="24"/>
        </w:rPr>
        <w:t>月</w:t>
      </w:r>
      <w:r w:rsidRPr="000C4F17">
        <w:rPr>
          <w:rFonts w:ascii="Times New Roman" w:eastAsia="楷体" w:hAnsi="Times New Roman" w:hint="eastAsia"/>
          <w:color w:val="000000" w:themeColor="text1"/>
          <w:sz w:val="24"/>
          <w:szCs w:val="24"/>
        </w:rPr>
        <w:t>ADP</w:t>
      </w:r>
      <w:r w:rsidRPr="000C4F17">
        <w:rPr>
          <w:rFonts w:ascii="Times New Roman" w:eastAsia="楷体" w:hAnsi="Times New Roman" w:hint="eastAsia"/>
          <w:color w:val="000000" w:themeColor="text1"/>
          <w:sz w:val="24"/>
          <w:szCs w:val="24"/>
        </w:rPr>
        <w:t>就业人数录得</w:t>
      </w:r>
      <w:r w:rsidRPr="000C4F17">
        <w:rPr>
          <w:rFonts w:ascii="Times New Roman" w:eastAsia="楷体" w:hAnsi="Times New Roman" w:hint="eastAsia"/>
          <w:color w:val="000000" w:themeColor="text1"/>
          <w:sz w:val="24"/>
          <w:szCs w:val="24"/>
        </w:rPr>
        <w:t>17.7</w:t>
      </w:r>
      <w:r w:rsidRPr="000C4F17">
        <w:rPr>
          <w:rFonts w:ascii="Times New Roman" w:eastAsia="楷体" w:hAnsi="Times New Roman" w:hint="eastAsia"/>
          <w:color w:val="000000" w:themeColor="text1"/>
          <w:sz w:val="24"/>
          <w:szCs w:val="24"/>
        </w:rPr>
        <w:t>万人，大幅低于前值，或显示美国劳动力市场放缓。数据公布后美元指数短线大幅下跌。美国二季度实际</w:t>
      </w:r>
      <w:r w:rsidRPr="000C4F17">
        <w:rPr>
          <w:rFonts w:ascii="Times New Roman" w:eastAsia="楷体" w:hAnsi="Times New Roman" w:hint="eastAsia"/>
          <w:color w:val="000000" w:themeColor="text1"/>
          <w:sz w:val="24"/>
          <w:szCs w:val="24"/>
        </w:rPr>
        <w:t>GDP</w:t>
      </w:r>
      <w:r w:rsidRPr="000C4F17">
        <w:rPr>
          <w:rFonts w:ascii="Times New Roman" w:eastAsia="楷体" w:hAnsi="Times New Roman" w:hint="eastAsia"/>
          <w:color w:val="000000" w:themeColor="text1"/>
          <w:sz w:val="24"/>
          <w:szCs w:val="24"/>
        </w:rPr>
        <w:t>年化季率修正值为</w:t>
      </w:r>
      <w:r w:rsidRPr="000C4F17">
        <w:rPr>
          <w:rFonts w:ascii="Times New Roman" w:eastAsia="楷体" w:hAnsi="Times New Roman" w:hint="eastAsia"/>
          <w:color w:val="000000" w:themeColor="text1"/>
          <w:sz w:val="24"/>
          <w:szCs w:val="24"/>
        </w:rPr>
        <w:t>2.1%</w:t>
      </w:r>
      <w:r w:rsidRPr="000C4F17">
        <w:rPr>
          <w:rFonts w:ascii="Times New Roman" w:eastAsia="楷体" w:hAnsi="Times New Roman" w:hint="eastAsia"/>
          <w:color w:val="000000" w:themeColor="text1"/>
          <w:sz w:val="24"/>
          <w:szCs w:val="24"/>
        </w:rPr>
        <w:t>，低于预期，较初值下调</w:t>
      </w:r>
      <w:r w:rsidRPr="000C4F17">
        <w:rPr>
          <w:rFonts w:ascii="Times New Roman" w:eastAsia="楷体" w:hAnsi="Times New Roman" w:hint="eastAsia"/>
          <w:color w:val="000000" w:themeColor="text1"/>
          <w:sz w:val="24"/>
          <w:szCs w:val="24"/>
        </w:rPr>
        <w:t>0.3</w:t>
      </w:r>
      <w:r w:rsidRPr="000C4F17">
        <w:rPr>
          <w:rFonts w:ascii="Times New Roman" w:eastAsia="楷体" w:hAnsi="Times New Roman" w:hint="eastAsia"/>
          <w:color w:val="000000" w:themeColor="text1"/>
          <w:sz w:val="24"/>
          <w:szCs w:val="24"/>
        </w:rPr>
        <w:t>个百分点。二季度</w:t>
      </w:r>
      <w:r w:rsidRPr="000C4F17">
        <w:rPr>
          <w:rFonts w:ascii="Times New Roman" w:eastAsia="楷体" w:hAnsi="Times New Roman" w:hint="eastAsia"/>
          <w:color w:val="000000" w:themeColor="text1"/>
          <w:sz w:val="24"/>
          <w:szCs w:val="24"/>
        </w:rPr>
        <w:t>PCE</w:t>
      </w:r>
      <w:r w:rsidRPr="000C4F17">
        <w:rPr>
          <w:rFonts w:ascii="Times New Roman" w:eastAsia="楷体" w:hAnsi="Times New Roman" w:hint="eastAsia"/>
          <w:color w:val="000000" w:themeColor="text1"/>
          <w:sz w:val="24"/>
          <w:szCs w:val="24"/>
        </w:rPr>
        <w:t>通胀指数录得</w:t>
      </w:r>
      <w:r w:rsidRPr="000C4F17">
        <w:rPr>
          <w:rFonts w:ascii="Times New Roman" w:eastAsia="楷体" w:hAnsi="Times New Roman" w:hint="eastAsia"/>
          <w:color w:val="000000" w:themeColor="text1"/>
          <w:sz w:val="24"/>
          <w:szCs w:val="24"/>
        </w:rPr>
        <w:t>2.5%</w:t>
      </w:r>
      <w:r w:rsidRPr="000C4F17">
        <w:rPr>
          <w:rFonts w:ascii="Times New Roman" w:eastAsia="楷体" w:hAnsi="Times New Roman" w:hint="eastAsia"/>
          <w:color w:val="000000" w:themeColor="text1"/>
          <w:sz w:val="24"/>
          <w:szCs w:val="24"/>
        </w:rPr>
        <w:t>，核心</w:t>
      </w:r>
      <w:r w:rsidRPr="000C4F17">
        <w:rPr>
          <w:rFonts w:ascii="Times New Roman" w:eastAsia="楷体" w:hAnsi="Times New Roman" w:hint="eastAsia"/>
          <w:color w:val="000000" w:themeColor="text1"/>
          <w:sz w:val="24"/>
          <w:szCs w:val="24"/>
        </w:rPr>
        <w:t>PCE</w:t>
      </w:r>
      <w:r w:rsidRPr="000C4F17">
        <w:rPr>
          <w:rFonts w:ascii="Times New Roman" w:eastAsia="楷体" w:hAnsi="Times New Roman" w:hint="eastAsia"/>
          <w:color w:val="000000" w:themeColor="text1"/>
          <w:sz w:val="24"/>
          <w:szCs w:val="24"/>
        </w:rPr>
        <w:t>为</w:t>
      </w:r>
      <w:r w:rsidRPr="000C4F17">
        <w:rPr>
          <w:rFonts w:ascii="Times New Roman" w:eastAsia="楷体" w:hAnsi="Times New Roman" w:hint="eastAsia"/>
          <w:color w:val="000000" w:themeColor="text1"/>
          <w:sz w:val="24"/>
          <w:szCs w:val="24"/>
        </w:rPr>
        <w:t>3.7%</w:t>
      </w:r>
      <w:r w:rsidRPr="000C4F17">
        <w:rPr>
          <w:rFonts w:ascii="Times New Roman" w:eastAsia="楷体" w:hAnsi="Times New Roman" w:hint="eastAsia"/>
          <w:color w:val="000000" w:themeColor="text1"/>
          <w:sz w:val="24"/>
          <w:szCs w:val="24"/>
        </w:rPr>
        <w:t>，均较初值下修</w:t>
      </w:r>
      <w:r w:rsidRPr="000C4F17">
        <w:rPr>
          <w:rFonts w:ascii="Times New Roman" w:eastAsia="楷体" w:hAnsi="Times New Roman" w:hint="eastAsia"/>
          <w:color w:val="000000" w:themeColor="text1"/>
          <w:sz w:val="24"/>
          <w:szCs w:val="24"/>
        </w:rPr>
        <w:t>0.1</w:t>
      </w:r>
      <w:r w:rsidRPr="000C4F17">
        <w:rPr>
          <w:rFonts w:ascii="Times New Roman" w:eastAsia="楷体" w:hAnsi="Times New Roman" w:hint="eastAsia"/>
          <w:color w:val="000000" w:themeColor="text1"/>
          <w:sz w:val="24"/>
          <w:szCs w:val="24"/>
        </w:rPr>
        <w:t>个百分点。美十债收益率下跌</w:t>
      </w:r>
      <w:r w:rsidRPr="000C4F17">
        <w:rPr>
          <w:rFonts w:ascii="Times New Roman" w:eastAsia="楷体" w:hAnsi="Times New Roman" w:hint="eastAsia"/>
          <w:color w:val="000000" w:themeColor="text1"/>
          <w:sz w:val="24"/>
          <w:szCs w:val="24"/>
        </w:rPr>
        <w:t>0.3bp</w:t>
      </w:r>
      <w:r w:rsidRPr="000C4F17">
        <w:rPr>
          <w:rFonts w:ascii="Times New Roman" w:eastAsia="楷体" w:hAnsi="Times New Roman" w:hint="eastAsia"/>
          <w:color w:val="000000" w:themeColor="text1"/>
          <w:sz w:val="24"/>
          <w:szCs w:val="24"/>
        </w:rPr>
        <w:t>至</w:t>
      </w:r>
      <w:r w:rsidRPr="000C4F17">
        <w:rPr>
          <w:rFonts w:ascii="Times New Roman" w:eastAsia="楷体" w:hAnsi="Times New Roman" w:hint="eastAsia"/>
          <w:color w:val="000000" w:themeColor="text1"/>
          <w:sz w:val="24"/>
          <w:szCs w:val="24"/>
        </w:rPr>
        <w:t>4.123%</w:t>
      </w:r>
      <w:r w:rsidRPr="000C4F17">
        <w:rPr>
          <w:rFonts w:ascii="Times New Roman" w:eastAsia="楷体" w:hAnsi="Times New Roman" w:hint="eastAsia"/>
          <w:color w:val="000000" w:themeColor="text1"/>
          <w:sz w:val="24"/>
          <w:szCs w:val="24"/>
        </w:rPr>
        <w:t>，昨夜沪金横盘运行、沪银小幅回落，中长线看多思路不变，建议沪金、沪银逢低试多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437236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4372364"/>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0C4F17" w:rsidRPr="000C4F17">
        <w:rPr>
          <w:rFonts w:ascii="楷体" w:eastAsia="楷体" w:hAnsi="楷体" w:hint="eastAsia"/>
          <w:b/>
          <w:color w:val="000000" w:themeColor="text1"/>
          <w:sz w:val="24"/>
          <w:szCs w:val="24"/>
        </w:rPr>
        <w:t>下游需求维持偏弱，现货价格进一步下行</w:t>
      </w:r>
      <w:bookmarkEnd w:id="18"/>
    </w:p>
    <w:p w:rsidR="00F50569" w:rsidRDefault="000C4F17" w:rsidP="00F50569">
      <w:pPr>
        <w:ind w:leftChars="300" w:left="630"/>
        <w:rPr>
          <w:rFonts w:ascii="楷体" w:eastAsia="楷体" w:hAnsi="楷体"/>
          <w:color w:val="000000" w:themeColor="text1"/>
          <w:sz w:val="24"/>
          <w:szCs w:val="24"/>
        </w:rPr>
      </w:pPr>
      <w:r w:rsidRPr="000C4F17">
        <w:rPr>
          <w:rFonts w:ascii="楷体" w:eastAsia="楷体" w:hAnsi="楷体" w:hint="eastAsia"/>
          <w:color w:val="000000" w:themeColor="text1"/>
          <w:sz w:val="24"/>
          <w:szCs w:val="24"/>
        </w:rPr>
        <w:t>碳酸锂现货价格进一步下行，昨日期价小幅反弹，或受部分锂企停产检修消息所影响。上游库存去化进程相对缓慢，下游需求维持偏弱，观望情绪浓厚。周初部分贸易商抛货带动锂价进一步下行，未来下游采购量的变化将明确地反映下游需求，后续持续关注下游补库需求能否兑现，若需求未见好转，近期锂价或维持偏弱走势</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4372365"/>
      <w:r>
        <w:rPr>
          <w:rFonts w:ascii="楷体" w:eastAsia="楷体" w:hAnsi="楷体" w:hint="eastAsia"/>
          <w:b/>
          <w:color w:val="000000" w:themeColor="text1"/>
          <w:sz w:val="24"/>
          <w:szCs w:val="24"/>
        </w:rPr>
        <w:t>螺纹钢：</w:t>
      </w:r>
      <w:bookmarkEnd w:id="16"/>
      <w:bookmarkEnd w:id="17"/>
      <w:r w:rsidR="000C4F17" w:rsidRPr="000C4F17">
        <w:rPr>
          <w:rFonts w:ascii="楷体" w:eastAsia="楷体" w:hAnsi="楷体" w:hint="eastAsia"/>
          <w:b/>
          <w:color w:val="000000" w:themeColor="text1"/>
          <w:sz w:val="24"/>
          <w:szCs w:val="24"/>
        </w:rPr>
        <w:t>表需环比走弱，消息刺激下反弹，上方压力依旧</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0C4F17" w:rsidP="00201944">
      <w:pPr>
        <w:ind w:leftChars="300" w:left="630"/>
        <w:rPr>
          <w:rFonts w:ascii="楷体" w:eastAsia="楷体" w:hAnsi="楷体"/>
          <w:color w:val="000000" w:themeColor="text1"/>
          <w:sz w:val="24"/>
          <w:szCs w:val="24"/>
        </w:rPr>
      </w:pPr>
      <w:r w:rsidRPr="000C4F17">
        <w:rPr>
          <w:rFonts w:ascii="楷体" w:eastAsia="楷体" w:hAnsi="楷体" w:hint="eastAsia"/>
          <w:color w:val="000000" w:themeColor="text1"/>
          <w:sz w:val="24"/>
          <w:szCs w:val="24"/>
        </w:rPr>
        <w:t>热卷、带钢累库下带动调整预期，找钢表需环比走弱，受情绪刺激，原料反弹继续修复基差，短期上方现实压力依旧，关注明日钢联数据出台后市场反应，预计01合约震荡区间（3700,3750）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4372366"/>
      <w:r>
        <w:rPr>
          <w:rFonts w:ascii="楷体" w:eastAsia="楷体" w:hAnsi="楷体" w:hint="eastAsia"/>
          <w:b/>
          <w:color w:val="000000" w:themeColor="text1"/>
          <w:sz w:val="24"/>
          <w:szCs w:val="24"/>
        </w:rPr>
        <w:t>焦炭：</w:t>
      </w:r>
      <w:bookmarkEnd w:id="20"/>
      <w:bookmarkEnd w:id="21"/>
      <w:r w:rsidR="000C4F17" w:rsidRPr="000C4F17">
        <w:rPr>
          <w:rFonts w:ascii="楷体" w:eastAsia="楷体" w:hAnsi="楷体" w:hint="eastAsia"/>
          <w:b/>
          <w:color w:val="000000" w:themeColor="text1"/>
          <w:sz w:val="24"/>
          <w:szCs w:val="24"/>
        </w:rPr>
        <w:t>情绪推动基差修复，短期偏强，但上方压力依旧</w:t>
      </w:r>
      <w:bookmarkEnd w:id="22"/>
    </w:p>
    <w:p w:rsidR="003F56A5" w:rsidRDefault="000C4F17" w:rsidP="00572E35">
      <w:pPr>
        <w:ind w:leftChars="300" w:left="630"/>
        <w:rPr>
          <w:rFonts w:ascii="楷体" w:eastAsia="楷体" w:hAnsi="楷体"/>
          <w:color w:val="000000" w:themeColor="text1"/>
          <w:sz w:val="24"/>
          <w:szCs w:val="24"/>
        </w:rPr>
      </w:pPr>
      <w:r w:rsidRPr="000C4F17">
        <w:rPr>
          <w:rFonts w:ascii="楷体" w:eastAsia="楷体" w:hAnsi="楷体" w:hint="eastAsia"/>
          <w:color w:val="000000" w:themeColor="text1"/>
          <w:sz w:val="24"/>
          <w:szCs w:val="24"/>
        </w:rPr>
        <w:t>港口现货价格稳定，出厂价格第一提降落地，现货或处于累库周期中，价格或震荡下行，01合约中期存在较大调整压力，短期消息刺激反弹再次修复基差，预计区间(2180,2250)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4372367"/>
      <w:r>
        <w:rPr>
          <w:rFonts w:ascii="楷体" w:eastAsia="楷体" w:hAnsi="楷体" w:hint="eastAsia"/>
          <w:b/>
          <w:color w:val="000000" w:themeColor="text1"/>
          <w:sz w:val="24"/>
          <w:szCs w:val="24"/>
        </w:rPr>
        <w:t>焦煤：</w:t>
      </w:r>
      <w:r w:rsidR="000C4F17" w:rsidRPr="000C4F17">
        <w:rPr>
          <w:rFonts w:ascii="楷体" w:eastAsia="楷体" w:hAnsi="楷体" w:hint="eastAsia"/>
          <w:b/>
          <w:sz w:val="24"/>
          <w:szCs w:val="24"/>
        </w:rPr>
        <w:t>高位震荡反复，基差修复后，上方压力较大</w:t>
      </w:r>
      <w:bookmarkEnd w:id="23"/>
    </w:p>
    <w:p w:rsidR="003F56A5" w:rsidRDefault="000C4F17">
      <w:pPr>
        <w:ind w:leftChars="300" w:left="630"/>
        <w:rPr>
          <w:rFonts w:ascii="楷体" w:eastAsia="楷体" w:hAnsi="楷体"/>
          <w:bCs/>
          <w:sz w:val="24"/>
          <w:szCs w:val="24"/>
        </w:rPr>
      </w:pPr>
      <w:r w:rsidRPr="000C4F17">
        <w:rPr>
          <w:rFonts w:ascii="楷体" w:eastAsia="楷体" w:hAnsi="楷体" w:hint="eastAsia"/>
          <w:sz w:val="24"/>
          <w:szCs w:val="24"/>
        </w:rPr>
        <w:t>昨日蒙煤原煤上涨20元/吨，消息刺激下情绪偏强，基差修复行情走向尾声，价格高位反复，但中期焦煤01或开启震荡调整期，01合约或震荡下</w:t>
      </w:r>
      <w:r w:rsidRPr="000C4F17">
        <w:rPr>
          <w:rFonts w:ascii="楷体" w:eastAsia="楷体" w:hAnsi="楷体" w:hint="eastAsia"/>
          <w:sz w:val="24"/>
          <w:szCs w:val="24"/>
        </w:rPr>
        <w:lastRenderedPageBreak/>
        <w:t>行，预计震荡区间（1490，1540）。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4372368"/>
      <w:r>
        <w:rPr>
          <w:rFonts w:ascii="楷体" w:eastAsia="楷体" w:hAnsi="楷体" w:hint="eastAsia"/>
          <w:b/>
          <w:color w:val="000000" w:themeColor="text1"/>
          <w:sz w:val="24"/>
          <w:szCs w:val="24"/>
        </w:rPr>
        <w:t>铜：</w:t>
      </w:r>
      <w:bookmarkEnd w:id="24"/>
      <w:bookmarkEnd w:id="25"/>
      <w:r w:rsidR="000C4F17" w:rsidRPr="000C4F17">
        <w:rPr>
          <w:rFonts w:ascii="楷体" w:eastAsia="楷体" w:hAnsi="楷体" w:hint="eastAsia"/>
          <w:b/>
          <w:color w:val="000000" w:themeColor="text1"/>
          <w:sz w:val="24"/>
          <w:szCs w:val="24"/>
        </w:rPr>
        <w:t>区间内震荡偏多运行，关注美国非农数据公布</w:t>
      </w:r>
      <w:bookmarkEnd w:id="26"/>
    </w:p>
    <w:p w:rsidR="000C4F17" w:rsidRPr="000C4F17" w:rsidRDefault="000C4F17" w:rsidP="000C4F17">
      <w:pPr>
        <w:ind w:leftChars="300" w:left="630"/>
        <w:rPr>
          <w:rFonts w:ascii="楷体" w:eastAsia="楷体" w:hAnsi="楷体" w:hint="eastAsia"/>
          <w:color w:val="000000" w:themeColor="text1"/>
          <w:sz w:val="24"/>
          <w:szCs w:val="24"/>
        </w:rPr>
      </w:pPr>
      <w:r w:rsidRPr="000C4F17">
        <w:rPr>
          <w:rFonts w:ascii="楷体" w:eastAsia="楷体" w:hAnsi="楷体" w:hint="eastAsia"/>
          <w:color w:val="000000" w:themeColor="text1"/>
          <w:sz w:val="24"/>
          <w:szCs w:val="24"/>
        </w:rPr>
        <w:t>(1)宏观：美国8月ADP就业人数增加17.7万人，增幅创3月份以来最低，且低于预期值19.5万人，前值由32.4万人上修至37.1万人。该数据整体上与近期显示劳动力需求放缓的数据相符。</w:t>
      </w:r>
    </w:p>
    <w:p w:rsidR="000C4F17" w:rsidRPr="000C4F17" w:rsidRDefault="000C4F17" w:rsidP="000C4F17">
      <w:pPr>
        <w:ind w:leftChars="300" w:left="630"/>
        <w:rPr>
          <w:rFonts w:ascii="楷体" w:eastAsia="楷体" w:hAnsi="楷体" w:hint="eastAsia"/>
          <w:color w:val="000000" w:themeColor="text1"/>
          <w:sz w:val="24"/>
          <w:szCs w:val="24"/>
        </w:rPr>
      </w:pPr>
      <w:r w:rsidRPr="000C4F17">
        <w:rPr>
          <w:rFonts w:ascii="楷体" w:eastAsia="楷体" w:hAnsi="楷体" w:hint="eastAsia"/>
          <w:color w:val="000000" w:themeColor="text1"/>
          <w:sz w:val="24"/>
          <w:szCs w:val="24"/>
        </w:rPr>
        <w:t>(2)库存：8月30日，SHFE仓单库存7512吨，减100吨；LME仓单库存99225吨，增1575吨。</w:t>
      </w:r>
    </w:p>
    <w:p w:rsidR="000C4F17" w:rsidRPr="000C4F17" w:rsidRDefault="000C4F17" w:rsidP="000C4F17">
      <w:pPr>
        <w:ind w:leftChars="300" w:left="630"/>
        <w:rPr>
          <w:rFonts w:ascii="楷体" w:eastAsia="楷体" w:hAnsi="楷体" w:hint="eastAsia"/>
          <w:color w:val="000000" w:themeColor="text1"/>
          <w:sz w:val="24"/>
          <w:szCs w:val="24"/>
        </w:rPr>
      </w:pPr>
      <w:r w:rsidRPr="000C4F17">
        <w:rPr>
          <w:rFonts w:ascii="楷体" w:eastAsia="楷体" w:hAnsi="楷体" w:hint="eastAsia"/>
          <w:color w:val="000000" w:themeColor="text1"/>
          <w:sz w:val="24"/>
          <w:szCs w:val="24"/>
        </w:rPr>
        <w:t>(2)精废价差：8月30日，Mysteel精废价差1498，收窄6。目前价差在合理价差1396之上。</w:t>
      </w:r>
    </w:p>
    <w:p w:rsidR="000C4F17" w:rsidRPr="000C4F17" w:rsidRDefault="000C4F17" w:rsidP="000C4F17">
      <w:pPr>
        <w:ind w:leftChars="300" w:left="630"/>
        <w:rPr>
          <w:rFonts w:ascii="楷体" w:eastAsia="楷体" w:hAnsi="楷体"/>
          <w:color w:val="000000" w:themeColor="text1"/>
          <w:sz w:val="24"/>
          <w:szCs w:val="24"/>
        </w:rPr>
      </w:pPr>
    </w:p>
    <w:p w:rsidR="00127803" w:rsidRPr="00127803" w:rsidRDefault="000C4F17" w:rsidP="000C4F17">
      <w:pPr>
        <w:ind w:leftChars="300" w:left="630"/>
        <w:rPr>
          <w:rFonts w:ascii="楷体" w:eastAsia="楷体" w:hAnsi="楷体"/>
          <w:color w:val="000000" w:themeColor="text1"/>
          <w:sz w:val="24"/>
          <w:szCs w:val="24"/>
        </w:rPr>
      </w:pPr>
      <w:r w:rsidRPr="000C4F17">
        <w:rPr>
          <w:rFonts w:ascii="楷体" w:eastAsia="楷体" w:hAnsi="楷体" w:hint="eastAsia"/>
          <w:color w:val="000000" w:themeColor="text1"/>
          <w:sz w:val="24"/>
          <w:szCs w:val="24"/>
        </w:rPr>
        <w:t>综述：近期经济数据反应美国就业市场有所降温，美联储加息预期降温，美元指数回落带动铜价反弹。国内方面，近期利好政策不断兑现，一线城市“认房不认贷”接连落地执行！继广州之后，深圳也正式官宣了“认房不认贷”新政，市场信心持续得到提振。接下来，国内传统旺季下的需求增量预期及现实验证是影响当下行情的主要因素，沪铜主力波动区间参考68000-70000。短期关注本周五美国非农数据公布</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4372369"/>
      <w:r>
        <w:rPr>
          <w:rFonts w:ascii="楷体" w:eastAsia="楷体" w:hAnsi="楷体" w:hint="eastAsia"/>
          <w:b/>
          <w:color w:val="000000" w:themeColor="text1"/>
          <w:sz w:val="24"/>
          <w:szCs w:val="24"/>
        </w:rPr>
        <w:t>铝：</w:t>
      </w:r>
      <w:bookmarkEnd w:id="27"/>
      <w:bookmarkEnd w:id="28"/>
      <w:r w:rsidR="000C4F17" w:rsidRPr="000C4F17">
        <w:rPr>
          <w:rFonts w:ascii="楷体" w:eastAsia="楷体" w:hAnsi="楷体" w:hint="eastAsia"/>
          <w:b/>
          <w:color w:val="000000" w:themeColor="text1"/>
          <w:sz w:val="24"/>
          <w:szCs w:val="24"/>
        </w:rPr>
        <w:t>铝价区间偏强震荡</w:t>
      </w:r>
      <w:bookmarkEnd w:id="29"/>
    </w:p>
    <w:p w:rsidR="003F56A5" w:rsidRDefault="000C4F17" w:rsidP="00127803">
      <w:pPr>
        <w:ind w:leftChars="300" w:left="630"/>
        <w:rPr>
          <w:rFonts w:ascii="楷体" w:eastAsia="楷体" w:hAnsi="楷体"/>
          <w:color w:val="000000" w:themeColor="text1"/>
          <w:sz w:val="24"/>
          <w:szCs w:val="24"/>
        </w:rPr>
      </w:pPr>
      <w:r w:rsidRPr="000C4F17">
        <w:rPr>
          <w:rFonts w:ascii="楷体" w:eastAsia="楷体" w:hAnsi="楷体" w:hint="eastAsia"/>
          <w:color w:val="000000" w:themeColor="text1"/>
          <w:sz w:val="24"/>
          <w:szCs w:val="24"/>
        </w:rPr>
        <w:t>美国8月ADP新增就业人数低于预期，美国通胀有所抑制，联储加息预期降温，国内出台多项利好政策但市场情绪提振有限。基本面供需双增，云南复产接近尾声，铝水比例维持高位，铝锭产量走低，进口盈利窗口打开，进口铝锭持续补充带来增量，库存依旧表现为季节性偏低位去库，进入金九银十旺季，需求边际回暖预期走强，低库存叠加消费改善预期带动铝价偏强运行</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4372370"/>
      <w:r>
        <w:rPr>
          <w:rFonts w:ascii="楷体" w:eastAsia="楷体" w:hAnsi="楷体" w:hint="eastAsia"/>
          <w:b/>
          <w:color w:val="000000" w:themeColor="text1"/>
          <w:sz w:val="24"/>
          <w:szCs w:val="24"/>
        </w:rPr>
        <w:t>锌：</w:t>
      </w:r>
      <w:r w:rsidR="000C4F17" w:rsidRPr="000C4F17">
        <w:rPr>
          <w:rFonts w:ascii="楷体" w:eastAsia="楷体" w:hAnsi="楷体" w:hint="eastAsia"/>
          <w:b/>
          <w:color w:val="000000" w:themeColor="text1"/>
          <w:sz w:val="24"/>
          <w:szCs w:val="24"/>
        </w:rPr>
        <w:t>锌价维持偏强态势</w:t>
      </w:r>
      <w:bookmarkEnd w:id="30"/>
    </w:p>
    <w:p w:rsidR="003F56A5" w:rsidRDefault="000C4F17" w:rsidP="000B0648">
      <w:pPr>
        <w:ind w:leftChars="300" w:left="630"/>
        <w:rPr>
          <w:rFonts w:ascii="楷体" w:eastAsia="楷体" w:hAnsi="楷体"/>
          <w:color w:val="000000" w:themeColor="text1"/>
          <w:sz w:val="24"/>
          <w:szCs w:val="24"/>
        </w:rPr>
      </w:pPr>
      <w:r w:rsidRPr="000C4F17">
        <w:rPr>
          <w:rFonts w:ascii="楷体" w:eastAsia="楷体" w:hAnsi="楷体" w:hint="eastAsia"/>
          <w:color w:val="000000" w:themeColor="text1"/>
          <w:sz w:val="24"/>
          <w:szCs w:val="24"/>
        </w:rPr>
        <w:t>美国就业数据降温，联储加息预期走弱，国内仍在政策利多红利期，宏观情绪走强。国内矿端供应宽松偏稳，冶炼方面除常规检修和湖南地区临时检修以外，其他地区正常开产，锌市目前现货偏紧导致市场价格升水，进口锌锭持续补充。需求来看，下游企业逢低采买，但加工企业开工率暂无明显改善，目前锌库维持低位去库。短期在低库存叠加未来进入旺季消费将有改善预期的情况下，锌价在2w上方偏强震荡运行</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4372371"/>
      <w:r>
        <w:rPr>
          <w:rFonts w:ascii="楷体" w:eastAsia="楷体" w:hAnsi="楷体" w:hint="eastAsia"/>
          <w:b/>
          <w:color w:val="000000" w:themeColor="text1"/>
          <w:sz w:val="24"/>
          <w:szCs w:val="24"/>
        </w:rPr>
        <w:t>镍：</w:t>
      </w:r>
      <w:r w:rsidR="000C4F17" w:rsidRPr="000C4F17">
        <w:rPr>
          <w:rFonts w:ascii="楷体" w:eastAsia="楷体" w:hAnsi="楷体" w:hint="eastAsia"/>
          <w:b/>
          <w:color w:val="000000" w:themeColor="text1"/>
          <w:sz w:val="24"/>
          <w:szCs w:val="24"/>
        </w:rPr>
        <w:t>下游需求不振而供应边际宽松，短期震荡偏弱</w:t>
      </w:r>
      <w:bookmarkEnd w:id="31"/>
    </w:p>
    <w:p w:rsidR="003F56A5" w:rsidRDefault="000C4F17">
      <w:pPr>
        <w:ind w:leftChars="300" w:left="630"/>
        <w:rPr>
          <w:rFonts w:ascii="楷体" w:eastAsia="楷体" w:hAnsi="楷体"/>
          <w:color w:val="000000" w:themeColor="text1"/>
          <w:sz w:val="24"/>
          <w:szCs w:val="24"/>
        </w:rPr>
      </w:pPr>
      <w:r w:rsidRPr="000C4F17">
        <w:rPr>
          <w:rFonts w:ascii="楷体" w:eastAsia="楷体" w:hAnsi="楷体" w:hint="eastAsia"/>
          <w:color w:val="000000" w:themeColor="text1"/>
          <w:sz w:val="24"/>
          <w:szCs w:val="24"/>
        </w:rPr>
        <w:t>宏观方面，美国ADP新增就业人数和7月职位空缺减少人数不及预期，反映美国劳动力市场紧张局面放缓，市场对美联储继续加息的预期有所降温，继续关注本周五将公布的美国非农就业数据；国内出台降低印花税等重磅利好政策有助于活跃资本市场，提振市场信心。印尼能源和矿产资源部将取消矿产RKAB审批的简化程序，印尼镍矿配额签发继续推迟，镍矿供应处于紧缺局面，且工厂在雨季来临前对镍矿的备库需求较强烈，矿端价格高位运行，拉升整个镍产业链的成本。印尼精炼镍新项目投产，中间品和纯镍持续放量，且近日镍板进口量增加，供应边际宽松，压制镍价上行。需求方面，不锈钢和硫酸镍的下游成交氛围都较平淡，传统旺季消费增量有</w:t>
      </w:r>
      <w:r w:rsidRPr="000C4F17">
        <w:rPr>
          <w:rFonts w:ascii="楷体" w:eastAsia="楷体" w:hAnsi="楷体" w:hint="eastAsia"/>
          <w:color w:val="000000" w:themeColor="text1"/>
          <w:sz w:val="24"/>
          <w:szCs w:val="24"/>
        </w:rPr>
        <w:lastRenderedPageBreak/>
        <w:t>待验证。受下游不振影响，现货升水均承压下跌，俄镍在近一年来首次出现贴水。库存仍处于历史低位，对镍价给予支撑。综合来看，镍基本面偏弱，预计震荡偏弱运行</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4372372"/>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1B0610" w:rsidRPr="001B0610">
        <w:rPr>
          <w:rFonts w:ascii="楷体" w:eastAsia="楷体" w:hAnsi="楷体" w:hint="eastAsia"/>
          <w:b/>
          <w:color w:val="000000" w:themeColor="text1"/>
          <w:sz w:val="24"/>
          <w:szCs w:val="24"/>
        </w:rPr>
        <w:t>成本支撑较强，或高位震荡</w:t>
      </w:r>
      <w:bookmarkEnd w:id="32"/>
    </w:p>
    <w:p w:rsidR="008B13D2" w:rsidRPr="008B13D2" w:rsidRDefault="001B0610" w:rsidP="008B13D2">
      <w:pPr>
        <w:ind w:leftChars="300" w:left="630"/>
        <w:rPr>
          <w:rFonts w:ascii="楷体" w:eastAsia="楷体" w:hAnsi="楷体"/>
          <w:color w:val="000000" w:themeColor="text1"/>
          <w:sz w:val="24"/>
          <w:szCs w:val="24"/>
        </w:rPr>
      </w:pPr>
      <w:r w:rsidRPr="001B0610">
        <w:rPr>
          <w:rFonts w:ascii="楷体" w:eastAsia="楷体" w:hAnsi="楷体" w:hint="eastAsia"/>
          <w:color w:val="000000" w:themeColor="text1"/>
          <w:sz w:val="24"/>
          <w:szCs w:val="24"/>
        </w:rPr>
        <w:t>成本端来看，铅精矿维持短缺，原材料供应整体上呈紧张局面，对铅价提供较强的支撑作用。供应端来看，原生铅开工率有所下滑；受废电瓶高价影响，再生铅供应无明显增量。需求端来看，铅酸蓄电池终端消费需求疲弱，不过传统销售旺季增量预期走强。8月期货合约平稳交割，社库近期呈累库态势。整体而言，暂无明显供应压力，传统旺季增消费量预期走强，成本提供有力支撑，沪铅短期或高位震荡</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4372373"/>
      <w:r>
        <w:rPr>
          <w:rFonts w:ascii="楷体" w:eastAsia="楷体" w:hAnsi="楷体" w:hint="eastAsia"/>
          <w:b/>
          <w:color w:val="000000" w:themeColor="text1"/>
          <w:sz w:val="24"/>
          <w:szCs w:val="24"/>
        </w:rPr>
        <w:t>不锈钢：</w:t>
      </w:r>
      <w:r w:rsidR="000C4F17" w:rsidRPr="000C4F17">
        <w:rPr>
          <w:rFonts w:ascii="楷体" w:eastAsia="楷体" w:hAnsi="楷体" w:hint="eastAsia"/>
          <w:b/>
          <w:color w:val="000000" w:themeColor="text1"/>
          <w:sz w:val="24"/>
          <w:szCs w:val="24"/>
        </w:rPr>
        <w:t>成本支撑与需求疲弱相交织，短期或窄幅震荡</w:t>
      </w:r>
      <w:bookmarkEnd w:id="33"/>
    </w:p>
    <w:p w:rsidR="003F56A5" w:rsidRDefault="000C4F17">
      <w:pPr>
        <w:ind w:leftChars="300" w:left="630"/>
        <w:rPr>
          <w:rFonts w:ascii="楷体" w:eastAsia="楷体" w:hAnsi="楷体"/>
          <w:color w:val="000000" w:themeColor="text1"/>
          <w:sz w:val="24"/>
          <w:szCs w:val="24"/>
        </w:rPr>
      </w:pPr>
      <w:r w:rsidRPr="000C4F17">
        <w:rPr>
          <w:rFonts w:ascii="楷体" w:eastAsia="楷体" w:hAnsi="楷体" w:hint="eastAsia"/>
          <w:color w:val="000000" w:themeColor="text1"/>
          <w:sz w:val="24"/>
          <w:szCs w:val="24"/>
        </w:rPr>
        <w:t>美国8月ADP新增就业人数和第二季度实际GDP皆低于预期，抑制通胀继续上行压力。印尼矿端RKAB事件造成的镍矿供应紧缺局面仍在持续，印尼RKAB审批的简化程序将被取消，目前已换回旧审批程序，镍矿配额签发继续推迟，加上目前处于雨季前的备库期，许多工厂加价询购镍矿，镍矿价格坚挺，高镍铁价格预计维持高位，成本端为不锈钢价提供强有力支撑。需求端，下游以逢低补库为主，成交氛围较平淡，压制不锈钢价，关注消费旺季增量预期能否兑现。库存方面，据钢联数据显示，上周全国主流市场的400系不锈钢明显去库，200系和300库存小幅累库。综合来看，成本端为不锈钢价提供较强支撑，传统消费旺季增量预期等待市场验证，短期窄幅震荡运行</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4372374"/>
      <w:r>
        <w:rPr>
          <w:rFonts w:ascii="楷体" w:eastAsia="楷体" w:hAnsi="楷体" w:hint="eastAsia"/>
          <w:b/>
          <w:color w:val="000000" w:themeColor="text1"/>
          <w:sz w:val="24"/>
          <w:szCs w:val="24"/>
        </w:rPr>
        <w:t>工业硅：</w:t>
      </w:r>
      <w:r w:rsidR="000C4F17" w:rsidRPr="000C4F17">
        <w:rPr>
          <w:rFonts w:ascii="楷体" w:eastAsia="楷体" w:hAnsi="楷体" w:hint="eastAsia"/>
          <w:b/>
          <w:sz w:val="24"/>
          <w:szCs w:val="24"/>
        </w:rPr>
        <w:t>市场暂无明显驱动，短期盘面或震荡为主</w:t>
      </w:r>
      <w:bookmarkEnd w:id="34"/>
    </w:p>
    <w:p w:rsidR="003F56A5" w:rsidRDefault="000C4F17" w:rsidP="00827E8A">
      <w:pPr>
        <w:ind w:leftChars="300" w:left="630"/>
        <w:rPr>
          <w:rFonts w:ascii="楷体" w:eastAsia="楷体" w:hAnsi="楷体"/>
          <w:sz w:val="24"/>
          <w:szCs w:val="24"/>
        </w:rPr>
      </w:pPr>
      <w:r w:rsidRPr="000C4F17">
        <w:rPr>
          <w:rFonts w:ascii="楷体" w:eastAsia="楷体" w:hAnsi="楷体" w:hint="eastAsia"/>
          <w:sz w:val="24"/>
          <w:szCs w:val="24"/>
        </w:rPr>
        <w:t>8月30日，Si2310主力合约呈反弹走势，收盘价13540元/吨，较上一收盘价涨跌幅+0.22%。传统旺季即将来临，下游需求有望得到改善。一方面，部分检修的有机硅单体厂计划月底将重启装置、恢复生产，或将增加对工业硅采购需求；另一方面，多晶硅厂目前库存相对低位，市场也持续反弹，叠加新增产能即将投产，存在采购工业硅备货需求。整体而言，市场对需求存在改善预期，叠加工厂库存偏低，预计盘面仍或支撑，但供应增也将压制盘面反弹空间。综合来看，市场暂明显驱动，短期盘面或震荡为主。策略上，以为波段操作为主，参考区间（13400，13900）</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437237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5B790A" w:rsidRDefault="00CC3FFA" w:rsidP="005B790A">
      <w:pPr>
        <w:ind w:firstLineChars="200" w:firstLine="482"/>
        <w:outlineLvl w:val="1"/>
        <w:rPr>
          <w:rFonts w:ascii="楷体" w:eastAsia="楷体" w:hAnsi="楷体"/>
          <w:b/>
          <w:sz w:val="24"/>
          <w:szCs w:val="24"/>
        </w:rPr>
      </w:pPr>
      <w:bookmarkStart w:id="37" w:name="_Toc144372376"/>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0C4F17" w:rsidRPr="000C4F17">
        <w:rPr>
          <w:rFonts w:ascii="楷体" w:eastAsia="楷体" w:hAnsi="楷体" w:hint="eastAsia"/>
          <w:b/>
          <w:sz w:val="24"/>
          <w:szCs w:val="24"/>
        </w:rPr>
        <w:t>看多情绪升温 天胶维持偏强震荡</w:t>
      </w:r>
      <w:bookmarkEnd w:id="37"/>
    </w:p>
    <w:p w:rsidR="003F56A5" w:rsidRDefault="000C4F17">
      <w:pPr>
        <w:ind w:leftChars="300" w:left="630"/>
        <w:rPr>
          <w:rFonts w:ascii="楷体" w:eastAsia="楷体" w:hAnsi="楷体"/>
          <w:sz w:val="24"/>
          <w:szCs w:val="24"/>
        </w:rPr>
      </w:pPr>
      <w:r w:rsidRPr="000C4F17">
        <w:rPr>
          <w:rFonts w:ascii="楷体" w:eastAsia="楷体" w:hAnsi="楷体" w:hint="eastAsia"/>
          <w:sz w:val="24"/>
          <w:szCs w:val="24"/>
        </w:rPr>
        <w:t>点评：供给端，尽管全球即将进入季节性增产阶段，但近期主产区泰国、越南受到降雨干扰，割胶工作开展受限，原料产出维持偏少状态，加之乳胶制品需求回暖拉涨原料价格，对胶价存一定支撑。8-9月份天胶到港量偏少，本周港口库存延续小幅去库，提振市场信心。需求端来看，下游轮胎企业开工率半钢胎略好于全钢胎，国内稳经济政策将有利于轮胎替换及配套需求的改善。此外，半钢胎外贸雪地胎需求旺盛，将进一步支撑半钢</w:t>
      </w:r>
      <w:r w:rsidRPr="000C4F17">
        <w:rPr>
          <w:rFonts w:ascii="楷体" w:eastAsia="楷体" w:hAnsi="楷体" w:hint="eastAsia"/>
          <w:sz w:val="24"/>
          <w:szCs w:val="24"/>
        </w:rPr>
        <w:lastRenderedPageBreak/>
        <w:t>胎开工率高位运行。前期检修的全钢胎厂目前也恢复生产，因此近两周全钢胎开工率提升明显。整体看，轮胎平稳排产、表现强劲。终端汽车方面，7月数据同环比均有所走弱，但仍处于近十年同期次高位。整体看，橡胶供应压力小幅缓解，下游轮胎排产顺畅，国内深色胶库存延续去库。短期天然橡胶市场看多情绪升温或稳中偏强运行</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4372377"/>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0C4F17" w:rsidRPr="000C4F17">
        <w:rPr>
          <w:rFonts w:ascii="楷体" w:eastAsia="楷体" w:hAnsi="楷体" w:hint="eastAsia"/>
          <w:b/>
          <w:color w:val="000000" w:themeColor="text1"/>
          <w:sz w:val="24"/>
          <w:szCs w:val="24"/>
        </w:rPr>
        <w:t>低加工费及成本端支撑仍偏强</w:t>
      </w:r>
      <w:bookmarkEnd w:id="38"/>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0C4F17" w:rsidP="002C73FE">
      <w:pPr>
        <w:ind w:leftChars="300" w:left="630"/>
        <w:rPr>
          <w:rFonts w:ascii="楷体" w:eastAsia="楷体" w:hAnsi="楷体"/>
          <w:color w:val="000000" w:themeColor="text1"/>
          <w:sz w:val="24"/>
          <w:szCs w:val="24"/>
        </w:rPr>
      </w:pPr>
      <w:r w:rsidRPr="000C4F17">
        <w:rPr>
          <w:rFonts w:ascii="楷体" w:eastAsia="楷体" w:hAnsi="楷体" w:hint="eastAsia"/>
          <w:color w:val="000000" w:themeColor="text1"/>
          <w:sz w:val="24"/>
          <w:szCs w:val="24"/>
        </w:rPr>
        <w:t>原油方面，近期宏观情绪持续改善，美股止跌反弹带动油价冲高。PTA供给方面，百宏250万吨，英力士235万吨，中泰120万吨装置提负，蓬威90万吨装置重启，PTA负荷上涨至82.2%附近（+3.3%）附近。需求方面，本周聚酯装置负荷基本持稳，截至8.25，初步核算国内大陆地区聚酯负荷仍在92.8%高位。市场对9-10月份旺季有预期，低库存下预计近期聚酯不会轻易减停产。而前期因上游原料成本走高导致减产的长丝和切片企业后期存负荷提升预期。终端方面，近期织造、印染开机有小幅提升，秋冬季订单陆下单有所增多，坯布库存小幅去化，需求边际季节性改善。展望后市，成本端支撑仍存+聚酯因库存低位高开工维持需求韧性尚可，三季度旺季预期或值得期待。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4372378"/>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40" w:name="_Toc144372379"/>
      <w:r>
        <w:rPr>
          <w:rFonts w:ascii="楷体" w:eastAsia="楷体" w:hAnsi="楷体" w:hint="eastAsia"/>
          <w:b/>
          <w:color w:val="000000" w:themeColor="text1"/>
          <w:sz w:val="24"/>
          <w:szCs w:val="24"/>
        </w:rPr>
        <w:t>聚烯烃：</w:t>
      </w:r>
      <w:r w:rsidR="000C4F17" w:rsidRPr="000C4F17">
        <w:rPr>
          <w:rFonts w:ascii="楷体" w:eastAsia="楷体" w:hAnsi="楷体" w:hint="eastAsia"/>
          <w:b/>
          <w:color w:val="000000" w:themeColor="text1"/>
          <w:sz w:val="24"/>
          <w:szCs w:val="24"/>
        </w:rPr>
        <w:t>供应压力逐渐凸显，聚烯烃或窄幅调整为主</w:t>
      </w:r>
      <w:bookmarkEnd w:id="40"/>
    </w:p>
    <w:p w:rsidR="003F56A5" w:rsidRDefault="000C4F17">
      <w:pPr>
        <w:ind w:leftChars="300" w:left="630"/>
        <w:rPr>
          <w:rFonts w:ascii="楷体" w:eastAsia="楷体" w:hAnsi="楷体"/>
          <w:bCs/>
          <w:sz w:val="24"/>
          <w:szCs w:val="24"/>
        </w:rPr>
      </w:pPr>
      <w:r w:rsidRPr="000C4F17">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美国原油库存大幅度下降，欧美原油期货继续小幅上涨，WTI连续五个交易日上涨，为3月份以来最长的连续涨势。市场同时也在关注大西洋飓风和产油国加蓬形势。需求方面，PE下游方面，农膜整体需求平平，工厂生产清淡。棚膜工厂多停机检修；PP下游方面，BOPP市场成交刚需有量，整体量较上一交易日增加，BOPP企业未交付订单多数在一周以内，个别可至八月中。综合来看，PE方面，原油价格上涨，聚乙烯成本面支撑加强，今日无增停车装置，供应压力有所回升，需求累</w:t>
      </w:r>
      <w:r w:rsidRPr="000C4F17">
        <w:rPr>
          <w:rFonts w:ascii="楷体" w:eastAsia="楷体" w:hAnsi="楷体" w:hint="eastAsia"/>
          <w:color w:val="000000" w:themeColor="text1"/>
          <w:sz w:val="24"/>
          <w:szCs w:val="24"/>
        </w:rPr>
        <w:lastRenderedPageBreak/>
        <w:t>计订单，补库为主，综合来看，预计今日PE价格窄幅调整。PP方面，近期PP装置检修季进入尾声，供应量有所上涨，产能利用率维持80%以上。宏观政策提振及成本高位支撑下，市场价格延续上行，下游企业补库稍有改善，但仍不及预期。金九银十即将到来，业者期待性较高，预计短期PP价格或窄幅调整为主</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4372380"/>
      <w:r>
        <w:rPr>
          <w:rFonts w:ascii="楷体" w:eastAsia="楷体" w:hAnsi="楷体" w:hint="eastAsia"/>
          <w:b/>
          <w:color w:val="000000" w:themeColor="text1"/>
          <w:sz w:val="24"/>
          <w:szCs w:val="24"/>
        </w:rPr>
        <w:t>MEG：</w:t>
      </w:r>
      <w:r w:rsidR="000C4F17" w:rsidRPr="000C4F17">
        <w:rPr>
          <w:rFonts w:ascii="楷体" w:eastAsia="楷体" w:hAnsi="楷体" w:hint="eastAsia"/>
          <w:b/>
          <w:color w:val="000000" w:themeColor="text1"/>
          <w:sz w:val="24"/>
          <w:szCs w:val="24"/>
        </w:rPr>
        <w:t>存弱反弹估值修复预期，关注01低多机会</w:t>
      </w:r>
      <w:bookmarkEnd w:id="41"/>
    </w:p>
    <w:p w:rsidR="003F56A5" w:rsidRDefault="000C4F17" w:rsidP="00115EEA">
      <w:pPr>
        <w:ind w:leftChars="300" w:left="630"/>
        <w:rPr>
          <w:rFonts w:ascii="楷体" w:eastAsia="楷体" w:hAnsi="楷体"/>
          <w:color w:val="000000" w:themeColor="text1"/>
          <w:sz w:val="24"/>
          <w:szCs w:val="24"/>
        </w:rPr>
      </w:pPr>
      <w:r w:rsidRPr="000C4F17">
        <w:rPr>
          <w:rFonts w:ascii="楷体" w:eastAsia="楷体" w:hAnsi="楷体" w:hint="eastAsia"/>
          <w:color w:val="000000" w:themeColor="text1"/>
          <w:sz w:val="24"/>
          <w:szCs w:val="24"/>
        </w:rPr>
        <w:t>供需情况，8.28华东主港地区MEG港口库存约116.7万吨附近，环比上期增加1.2万吨。截至8月24日，中国大陆地区乙二醇整体开工负荷在64.97%（+1.24%），其中煤制乙二醇开工负荷在62.43%（+2.08%）。</w:t>
      </w:r>
      <w:r w:rsidRPr="000C4F17">
        <w:rPr>
          <w:rFonts w:ascii="Calibri" w:eastAsia="楷体" w:hAnsi="Calibri" w:cs="Calibri"/>
          <w:color w:val="000000" w:themeColor="text1"/>
          <w:sz w:val="24"/>
          <w:szCs w:val="24"/>
        </w:rPr>
        <w:t> </w:t>
      </w:r>
      <w:r w:rsidRPr="000C4F17">
        <w:rPr>
          <w:rFonts w:ascii="楷体" w:eastAsia="楷体" w:hAnsi="楷体" w:hint="eastAsia"/>
          <w:color w:val="000000" w:themeColor="text1"/>
          <w:sz w:val="24"/>
          <w:szCs w:val="24"/>
        </w:rPr>
        <w:t>目前盛虹炼化1#仍在提负中，榆林化学单线将恢复运行，山西寿阳、陕煤渭化重启出料计划，国内开工仍有上行空间，整体供应表现宽松。聚酯下游方面，截至8.25，初步核算国内大陆地区聚酯负荷在92.8%附近。终端开工小幅提升，江浙加弹综合开工率78%，江浙织机综合开工率71%（+1%），江浙印染综合开工率77%。展望后市，油价及煤炭价格高位，乙二醇成本支撑力度仍强。估值偏低但高供应及高库存压制盘面反弹空间，多单波段操作。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4372381"/>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0C4F17" w:rsidRPr="000C4F17">
        <w:rPr>
          <w:rFonts w:ascii="楷体" w:eastAsia="楷体" w:hAnsi="楷体" w:hint="eastAsia"/>
          <w:b/>
          <w:color w:val="000000" w:themeColor="text1"/>
          <w:sz w:val="24"/>
          <w:szCs w:val="24"/>
        </w:rPr>
        <w:t>产销边际改善，持续性尚待观察</w:t>
      </w:r>
      <w:bookmarkEnd w:id="42"/>
    </w:p>
    <w:p w:rsidR="00A71A7E" w:rsidRDefault="000C4F17" w:rsidP="001F79C6">
      <w:pPr>
        <w:ind w:leftChars="300" w:left="630"/>
        <w:rPr>
          <w:rFonts w:ascii="楷体" w:eastAsia="楷体" w:hAnsi="楷体"/>
          <w:color w:val="000000" w:themeColor="text1"/>
          <w:sz w:val="24"/>
          <w:szCs w:val="24"/>
        </w:rPr>
      </w:pPr>
      <w:r w:rsidRPr="000C4F17">
        <w:rPr>
          <w:rFonts w:ascii="楷体" w:eastAsia="楷体" w:hAnsi="楷体" w:hint="eastAsia"/>
          <w:color w:val="000000" w:themeColor="text1"/>
          <w:sz w:val="24"/>
          <w:szCs w:val="24"/>
        </w:rPr>
        <w:t>隆众资讯8月30日报道：今日浮法玻璃现货价格2009元/吨，较上一交易日上涨1元/吨。昨日各区域平均产销边际改善，沙河试探性抬价，前期补库后贸易商库存不高，中下游补库积极性增强。供给端，产量继续抬升至17万吨/日；需求端，产销回升，预计周内累库。基本面边际改善，月底临近旺季，强预期无法证伪，盘面是否能持续上涨尚需现货配合，重点关注1.产销持续性，2.现货价格变化</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4372382"/>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0C4F17" w:rsidRPr="000C4F17">
        <w:rPr>
          <w:rFonts w:ascii="楷体" w:eastAsia="楷体" w:hAnsi="楷体" w:hint="eastAsia"/>
          <w:b/>
          <w:color w:val="000000" w:themeColor="text1"/>
          <w:sz w:val="24"/>
          <w:szCs w:val="24"/>
        </w:rPr>
        <w:t>监管风险释放后，盘面多空博弈</w:t>
      </w:r>
      <w:bookmarkEnd w:id="43"/>
    </w:p>
    <w:p w:rsidR="00A71A7E" w:rsidRDefault="000C4F17" w:rsidP="00A71A7E">
      <w:pPr>
        <w:ind w:leftChars="300" w:left="630"/>
        <w:rPr>
          <w:rFonts w:ascii="楷体" w:eastAsia="楷体" w:hAnsi="楷体"/>
          <w:bCs/>
          <w:sz w:val="24"/>
          <w:szCs w:val="24"/>
        </w:rPr>
      </w:pPr>
      <w:r w:rsidRPr="000C4F17">
        <w:rPr>
          <w:rFonts w:ascii="楷体" w:eastAsia="楷体" w:hAnsi="楷体" w:hint="eastAsia"/>
          <w:color w:val="000000" w:themeColor="text1"/>
          <w:sz w:val="24"/>
          <w:szCs w:val="24"/>
        </w:rPr>
        <w:t>今日纯碱价格稳中有涨，重碱华南最高报价3500元/吨，华北和华中最低报价3050元/吨（较前一日+50元/吨），临近月底现货价格维持在高位震荡。供给方面，安徽红四方设备问题产量下降3-4成，恢复时间待定，预计周产量在56-57万吨左右。库存上，上周国内纯碱厂家总库存14.60万吨，环比下降1.87万吨，下降11.35%，已经到达库存底部，预计这周延续1-2万吨的去库，库存紧张局面未改。需求方面，碱厂订单充足，排单到下月中旬，现货短缺，玻璃企业纯碱库存已不足一周，备货积极性增强。盘面上，月底最后几个交易日，交易所提保限仓，流动性收紧后，多头踩踏离场，盘面大跌以后，市场空方远月过剩预期和现实现货紧缺多方博弈，盘面反弹，预计最后一个交易日延续宽幅震荡行情，谨慎参与</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437238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4372384"/>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0C4F17" w:rsidRPr="000C4F17">
        <w:rPr>
          <w:rFonts w:ascii="楷体" w:eastAsia="楷体" w:hAnsi="楷体" w:hint="eastAsia"/>
          <w:b/>
          <w:sz w:val="24"/>
          <w:szCs w:val="24"/>
        </w:rPr>
        <w:t>短期延续高位震荡</w:t>
      </w:r>
      <w:bookmarkEnd w:id="45"/>
    </w:p>
    <w:p w:rsidR="003F56A5" w:rsidRDefault="000C4F17">
      <w:pPr>
        <w:ind w:leftChars="300" w:left="630"/>
        <w:rPr>
          <w:rFonts w:ascii="楷体" w:eastAsia="楷体" w:hAnsi="楷体"/>
          <w:sz w:val="24"/>
          <w:szCs w:val="24"/>
        </w:rPr>
      </w:pPr>
      <w:r w:rsidRPr="000C4F17">
        <w:rPr>
          <w:rFonts w:ascii="楷体" w:eastAsia="楷体" w:hAnsi="楷体" w:hint="eastAsia"/>
          <w:sz w:val="24"/>
          <w:szCs w:val="24"/>
        </w:rPr>
        <w:t>国际方面，交易商月底前平仓令期价下跌，但是出口销售限制跌幅，CBOT主力期约大豆收于1386跌6.25。此次田间调研结果7个主产州平均结荚数同比增幅5.5%，但仍低于三年平均值。在当前北美天气持续转干下，市</w:t>
      </w:r>
      <w:r w:rsidRPr="000C4F17">
        <w:rPr>
          <w:rFonts w:ascii="楷体" w:eastAsia="楷体" w:hAnsi="楷体" w:hint="eastAsia"/>
          <w:sz w:val="24"/>
          <w:szCs w:val="24"/>
        </w:rPr>
        <w:lastRenderedPageBreak/>
        <w:t>场也非常关注美农9月对美豆供需数据的调整。最新美豆优良率好于市场预估，截至8月28日当周，美国大豆优良率为58%，前一周为59%，上年同期为57%，市场预估为56%。国内现货维持高位对期价构成支撑，海关抽查趋严，进口大豆入关速度较慢，当前油厂大豆库存有所回升，部分油厂存在停机检修情况，在下游提货较好下，豆粕库存仍维持同期低位，支撑现货报价坚挺，当前沿海主流油厂豆粕现货报价小幅下调至4950-5050元/吨。大豆6-8月到港量仍较充裕，7月到港有973万吨，但9-10月进口到港预期减少，远月供应担忧支撑11-1基差报价坚挺，关注9月实际到港是否符合预期。需求，下游生猪养殖利润近期有所改善，叠加存栏高位，豆粕表需表现较好，但近一周下游对高现货基差接受度不高，成交下降。菜粕当前供需相对偏紧，随着6月份后菜籽到港减少，油厂压榨也在逐步下滑，但库存连续两周回升，因需求不及预期。而需求方面，当前处于水产养殖旺季，供给偏紧，仍对期价构成支撑。策略方面，当前仍处于上行趋势，短期预计维持偏强震荡，建议多单谨慎持有或者月间正套参与</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4372385"/>
      <w:r>
        <w:rPr>
          <w:rFonts w:ascii="楷体" w:eastAsia="楷体" w:hAnsi="楷体" w:hint="eastAsia"/>
          <w:b/>
          <w:color w:val="000000" w:themeColor="text1"/>
          <w:sz w:val="24"/>
          <w:szCs w:val="24"/>
        </w:rPr>
        <w:t>油脂：</w:t>
      </w:r>
      <w:r w:rsidR="000C4F17" w:rsidRPr="000C4F17">
        <w:rPr>
          <w:rFonts w:ascii="楷体" w:eastAsia="楷体" w:hAnsi="楷体" w:hint="eastAsia"/>
          <w:b/>
          <w:sz w:val="24"/>
          <w:szCs w:val="24"/>
        </w:rPr>
        <w:t>维持宽幅震荡</w:t>
      </w:r>
      <w:bookmarkEnd w:id="46"/>
    </w:p>
    <w:p w:rsidR="003F56A5" w:rsidRDefault="000C4F17" w:rsidP="00792D31">
      <w:pPr>
        <w:ind w:leftChars="300" w:left="630"/>
        <w:rPr>
          <w:rFonts w:ascii="楷体" w:eastAsia="楷体" w:hAnsi="楷体"/>
          <w:sz w:val="24"/>
          <w:szCs w:val="24"/>
        </w:rPr>
      </w:pPr>
      <w:r w:rsidRPr="000C4F17">
        <w:rPr>
          <w:rFonts w:ascii="楷体" w:eastAsia="楷体" w:hAnsi="楷体" w:hint="eastAsia"/>
          <w:sz w:val="24"/>
          <w:szCs w:val="24"/>
        </w:rPr>
        <w:t>外盘油脂走强，提振内盘油脂价格。加拿大菜籽产量预估利好，23/24年度菜籽产量预估，产量接近1760万吨，比去年的1870万吨减少6.1%，也低于加拿大农业部预测的1880万吨。棕榈油，产地仍处于季节性增产周期，当前供需矛盾没有很突出，印尼棕榈油5月份在供给增量大于需求下，库存持续回升，供给压力显现。而马棕产量7月显著改善，8-9月份仍处于产量的季节性增产阶段，关注后续产量修复情况；但7月库存增幅不及预期，因出口环比增加，且根据船运机构数据，马棕出口8月1日至25日期间下降了4.3%至7.8%，8月在供需两旺下，马棕累库速度预计仍偏慢，价格仍有支撑。国内棕榈油7-8月份进口到港预计维持高位，库存维持同期高位，最新商业库存为64.66万吨，较前一周增加。需求端，当前在豆棕价差拉大下，利好棕榈油下游消费需求，但四季度为棕榈油消费淡季，预计四季度北方地区需求仍将转向豆油。豆油累库放缓。国内7-8月进口大豆到港量仍不少，但受海关检验趋严影响，大豆到厂时间延长，整体压榨水平不高，也影响豆油累库进程。需求端，8月份后下游将陆续开始为双节备货且高校等将陆续开学，需求端或能逐步好转。菜油在进口菜籽减少下，供应压力减轻。当前主产地菜籽还未集中上市，供应处于青黄不接的阶段，全球菜籽新作产量不确定性仍存。随着后续进口加籽到港量的减少，菜籽开机及压榨水平也有所降低，7月菜籽进口环比下滑64.8%。需求方面，与替代油脂价差仍不存在优势，当前去库速度缓慢，关注下游需求情况。短期建议波段操作，中长期对于油脂维持谨慎看多观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4372386"/>
      <w:r>
        <w:rPr>
          <w:rFonts w:ascii="楷体" w:eastAsia="楷体" w:hAnsi="楷体" w:hint="eastAsia"/>
          <w:b/>
          <w:bCs/>
          <w:color w:val="000000" w:themeColor="text1"/>
        </w:rPr>
        <w:t>玉米与淀粉：</w:t>
      </w:r>
      <w:r w:rsidR="00816F85" w:rsidRPr="00816F85">
        <w:rPr>
          <w:rFonts w:ascii="楷体" w:eastAsia="楷体" w:hAnsi="楷体" w:hint="eastAsia"/>
          <w:b/>
        </w:rPr>
        <w:t>华北玉米和小麦现货带动期价震荡上行</w:t>
      </w:r>
      <w:bookmarkEnd w:id="47"/>
    </w:p>
    <w:p w:rsidR="00816F85" w:rsidRPr="00816F85" w:rsidRDefault="00816F85" w:rsidP="00816F85">
      <w:pPr>
        <w:pStyle w:val="paragraph"/>
        <w:spacing w:before="60" w:after="60"/>
        <w:ind w:leftChars="300" w:left="630"/>
        <w:rPr>
          <w:rFonts w:ascii="楷体" w:eastAsia="楷体" w:hAnsi="楷体"/>
        </w:rPr>
      </w:pPr>
      <w:r w:rsidRPr="00816F85">
        <w:rPr>
          <w:rFonts w:ascii="楷体" w:eastAsia="楷体" w:hAnsi="楷体" w:hint="eastAsia"/>
        </w:rPr>
        <w:t>对于玉米而言，更多沿袭前期逻辑，当前玉米期价下方空间有限，主要源于陈化水稻拍卖底价支撑，其上涨驱动主要来自两个方面，其一是中下游库存依然处于历史同期低位，在新作上市之前或仍存在被动补库存的可能性，其而是小麦有望带动玉米上涨，因小麦上涨趋势或已经形成，因其经历3月以来的主动去库存和6月以来的被动去库存之后，目</w:t>
      </w:r>
      <w:r w:rsidRPr="00816F85">
        <w:rPr>
          <w:rFonts w:ascii="楷体" w:eastAsia="楷体" w:hAnsi="楷体" w:hint="eastAsia"/>
        </w:rPr>
        <w:lastRenderedPageBreak/>
        <w:t>前或已经进入主动补库存阶段。在这种情况下，建议投资者如有前期多单，则背靠7月持续区间震荡后的起涨点继续持有；如无前期多单，则可以上述位置作为止损再次入场做多。</w:t>
      </w:r>
    </w:p>
    <w:p w:rsidR="003F56A5" w:rsidRDefault="00816F85" w:rsidP="00816F85">
      <w:pPr>
        <w:pStyle w:val="paragraph"/>
        <w:spacing w:before="60" w:beforeAutospacing="0" w:after="60" w:afterAutospacing="0"/>
        <w:ind w:leftChars="300" w:left="630"/>
        <w:rPr>
          <w:rFonts w:ascii="楷体" w:eastAsia="楷体" w:hAnsi="楷体"/>
        </w:rPr>
      </w:pPr>
      <w:r w:rsidRPr="00816F85">
        <w:rPr>
          <w:rFonts w:ascii="楷体" w:eastAsia="楷体" w:hAnsi="楷体" w:hint="eastAsia"/>
        </w:rPr>
        <w:t>对于淀粉而言，近期淀粉-玉米价差表现分化，因影响价差的因素依然多空交织，一方面近期行业出库量大幅改善，带动行业库存连续环比下滑，供需有所改善；另一方面淀粉副产品特别是玉米蛋白粉受蛋白粕带动大幅上涨，带动期现货生产利润整体改善，这不利于后期行业开机率的回落。综合来看，淀粉-玉米价差套利交易方向仍不具备确定性，不建议投资者介入，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4372387"/>
      <w:r>
        <w:rPr>
          <w:rFonts w:ascii="楷体" w:eastAsia="楷体" w:hAnsi="楷体" w:hint="eastAsia"/>
          <w:b/>
          <w:bCs/>
          <w:color w:val="000000" w:themeColor="text1"/>
        </w:rPr>
        <w:t>畜禽养殖：</w:t>
      </w:r>
      <w:r w:rsidR="000C4F17" w:rsidRPr="000C4F17">
        <w:rPr>
          <w:rFonts w:ascii="楷体" w:eastAsia="楷体" w:hAnsi="楷体" w:hint="eastAsia"/>
          <w:b/>
          <w:bCs/>
          <w:color w:val="000000" w:themeColor="text1"/>
        </w:rPr>
        <w:t>期价窄幅震荡</w:t>
      </w:r>
      <w:bookmarkEnd w:id="48"/>
    </w:p>
    <w:p w:rsidR="000C4F17" w:rsidRPr="000C4F17" w:rsidRDefault="000C4F17" w:rsidP="000C4F17">
      <w:pPr>
        <w:pStyle w:val="paragraph"/>
        <w:spacing w:before="60" w:after="60"/>
        <w:ind w:leftChars="300" w:left="630"/>
        <w:rPr>
          <w:rFonts w:ascii="楷体" w:eastAsia="楷体" w:hAnsi="楷体" w:hint="eastAsia"/>
        </w:rPr>
      </w:pPr>
      <w:r w:rsidRPr="000C4F17">
        <w:rPr>
          <w:rFonts w:ascii="楷体" w:eastAsia="楷体" w:hAnsi="楷体" w:hint="eastAsia"/>
        </w:rPr>
        <w:t>对于生猪而言，在前期报告中我们指出，3月以来现货表现不及我们之前预期，问题出在供应量，在供应去化的过程中市场会关注两个方面的机会，其一是去产能带来的周期见底机会，其二是去库存带来的阶段性反弹机会。随着生猪期现货的反弹，市场首先需要评估其上涨性质，考虑到各机构预计的能繁母猪下降幅度缓慢，且仔猪养殖亏损持续时间较短，近期生猪期现货反弹反而不利于产能去化，因此我们更倾向于后者，即去库存带来的阶段性反弹。在这种情况下，市场或更多转向关注阶段性反弹的高度，近期现货抗跌带动期价反弹，或主要源于接下来需求改善的预期，这需要跟踪接下来的现货价格走势能否达到市场预期。综上所述，维持谨慎看多观点，建议持有前期多单。</w:t>
      </w:r>
    </w:p>
    <w:p w:rsidR="003F56A5" w:rsidRDefault="000C4F17" w:rsidP="000C4F17">
      <w:pPr>
        <w:pStyle w:val="paragraph"/>
        <w:spacing w:before="60" w:beforeAutospacing="0" w:after="60" w:afterAutospacing="0"/>
        <w:ind w:leftChars="300" w:left="630"/>
        <w:rPr>
          <w:rFonts w:ascii="楷体" w:eastAsia="楷体" w:hAnsi="楷体"/>
        </w:rPr>
      </w:pPr>
      <w:r w:rsidRPr="000C4F17">
        <w:rPr>
          <w:rFonts w:ascii="楷体" w:eastAsia="楷体" w:hAnsi="楷体" w:hint="eastAsia"/>
        </w:rPr>
        <w:t>对于鸡蛋而言，鸡蛋期价特别是远月合约在3-6月曾经历大幅下跌，这主要源于春节后鸡蛋现货价格带动养殖利润高企，继而带动蛋鸡补栏积极性上升，淘汰积极性下降，使得市场预期鸡蛋供需趋于改善，这也导致当时鸡蛋远月-近月价差持续收窄。但7月以来鸡蛋现货价格大幅上涨，或导致市场重新评估之前的这一预期，因截至6月底，在产蛋鸡存栏并未环比显著提高，依然维持历史低位运行，在这种情况下，2-5月蛋鸡苗销售量同比增加带来的供应增量会否带来在产蛋鸡存栏的环比回升，值得重点留意。近期鸡蛋期价大幅贴水，表明市场预期依然悲观，或源于市场三个方面的担心，其一是价格持续上涨或抑制下游消费，其二是近期上涨或部分源于北方暴雨天气的影响；其三是春节后补栏对应新开产带来供应的增加。在这种情况下，接下来需要关注现货上涨的持续性。综合来看，我们暂维持谨慎看多观点，建议谨慎投资者观望，激进投资者持有前期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4372388"/>
      <w:r>
        <w:rPr>
          <w:rFonts w:ascii="楷体" w:eastAsia="楷体" w:hAnsi="楷体" w:hint="eastAsia"/>
          <w:b/>
          <w:sz w:val="24"/>
          <w:szCs w:val="24"/>
        </w:rPr>
        <w:t>郑棉：</w:t>
      </w:r>
      <w:r w:rsidR="000C4F17" w:rsidRPr="000C4F17">
        <w:rPr>
          <w:rFonts w:ascii="楷体" w:eastAsia="楷体" w:hAnsi="楷体" w:hint="eastAsia"/>
          <w:b/>
          <w:sz w:val="24"/>
          <w:szCs w:val="24"/>
        </w:rPr>
        <w:t>看跌期权卖权持有</w:t>
      </w:r>
      <w:bookmarkEnd w:id="49"/>
    </w:p>
    <w:p w:rsidR="003F56A5" w:rsidRDefault="000C4F17" w:rsidP="007B3290">
      <w:pPr>
        <w:ind w:leftChars="300" w:left="630"/>
        <w:rPr>
          <w:rFonts w:ascii="楷体" w:eastAsia="楷体" w:hAnsi="楷体"/>
          <w:sz w:val="24"/>
          <w:szCs w:val="24"/>
        </w:rPr>
      </w:pPr>
      <w:r w:rsidRPr="000C4F17">
        <w:rPr>
          <w:rFonts w:ascii="楷体" w:eastAsia="楷体" w:hAnsi="楷体" w:hint="eastAsia"/>
          <w:sz w:val="24"/>
          <w:szCs w:val="24"/>
        </w:rPr>
        <w:t>新疆近期有多个调研团队正在进行调研。近期由于积温情况较好，减产情况或不及此前市场预期。不过，今年棉花长势滞后，正式上市时间或较往常晚10-20天。若后续天气转冷，寒潮提前降临，产量则依然存在变数。纺织企业亏损状态不改，新疆纺织企业表示有降开机打算，对金九银十传统旺季的期待值并不高。尽管随着新棉上市时间临近，抢收预期影响力正</w:t>
      </w:r>
      <w:r w:rsidRPr="000C4F17">
        <w:rPr>
          <w:rFonts w:ascii="楷体" w:eastAsia="楷体" w:hAnsi="楷体" w:hint="eastAsia"/>
          <w:sz w:val="24"/>
          <w:szCs w:val="24"/>
        </w:rPr>
        <w:lastRenderedPageBreak/>
        <w:t>在增强，但市场预期已开始分化，不再一致看涨。不过，新棉下来前现货供应相对紧张，回调空间同样有限。看跌期权卖权继续持有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50" w:name="_Toc144372389"/>
      <w:r>
        <w:rPr>
          <w:rFonts w:ascii="楷体" w:eastAsia="楷体" w:hAnsi="楷体" w:hint="eastAsia"/>
          <w:b/>
          <w:sz w:val="24"/>
          <w:szCs w:val="24"/>
        </w:rPr>
        <w:t>白糖：</w:t>
      </w:r>
      <w:r w:rsidR="000C4F17" w:rsidRPr="000C4F17">
        <w:rPr>
          <w:rFonts w:ascii="楷体" w:eastAsia="楷体" w:hAnsi="楷体" w:hint="eastAsia"/>
          <w:b/>
          <w:sz w:val="24"/>
          <w:szCs w:val="24"/>
        </w:rPr>
        <w:t>看跌期权卖权持有</w:t>
      </w:r>
      <w:bookmarkEnd w:id="50"/>
    </w:p>
    <w:p w:rsidR="00296325" w:rsidRDefault="000C4F17" w:rsidP="00296325">
      <w:pPr>
        <w:ind w:leftChars="300" w:left="630"/>
        <w:rPr>
          <w:rFonts w:ascii="楷体" w:eastAsia="楷体" w:hAnsi="楷体"/>
          <w:sz w:val="24"/>
          <w:szCs w:val="24"/>
        </w:rPr>
      </w:pPr>
      <w:r w:rsidRPr="000C4F17">
        <w:rPr>
          <w:rFonts w:ascii="楷体" w:eastAsia="楷体" w:hAnsi="楷体" w:hint="eastAsia"/>
          <w:sz w:val="24"/>
          <w:szCs w:val="24"/>
        </w:rPr>
        <w:t>巴西甘蔗行业协会(Unica)数据显示，8月上半月巴西中南部地区压榨甘蔗47871万吨，同比增加23.38%;产糖345.6万吨，同比增加31.22%;乙醇产量同比增加16.43%，至23.46亿升。担忧亚洲供应，原糖价格大幅走强，但巴西的极高产量和预期仍是当前压制国际糖价的最主要因素。国内现货价格坚挺，新糖上市前现货格局越发紧张，预计短期内高位偏强震荡，看跌期权卖权持有</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1" w:name="_Toc71212556"/>
      <w:bookmarkStart w:id="52" w:name="_Toc19667"/>
      <w:bookmarkStart w:id="53" w:name="_Toc98426751"/>
      <w:bookmarkStart w:id="54" w:name="_Toc12779"/>
      <w:bookmarkStart w:id="55" w:name="_Toc72481108"/>
      <w:r>
        <w:rPr>
          <w:rFonts w:ascii="Times New Roman" w:eastAsia="楷体" w:hAnsi="Times New Roman"/>
          <w:b/>
          <w:color w:val="411D05"/>
          <w:sz w:val="30"/>
          <w:szCs w:val="30"/>
        </w:rPr>
        <w:lastRenderedPageBreak/>
        <w:t>免责声明</w:t>
      </w:r>
      <w:bookmarkEnd w:id="51"/>
      <w:bookmarkEnd w:id="52"/>
      <w:bookmarkEnd w:id="53"/>
      <w:bookmarkEnd w:id="54"/>
      <w:bookmarkEnd w:id="55"/>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257" w:rsidRDefault="00D66257">
      <w:r>
        <w:separator/>
      </w:r>
    </w:p>
  </w:endnote>
  <w:endnote w:type="continuationSeparator" w:id="0">
    <w:p w:rsidR="00D66257" w:rsidRDefault="00D6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07C40A1D" wp14:editId="06C4B210">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0C4F17">
                            <w:rPr>
                              <w:rFonts w:ascii="Times New Roman" w:eastAsia="楷体" w:hAnsi="Times New Roman" w:cs="Times New Roman"/>
                              <w:b/>
                              <w:noProof/>
                              <w:color w:val="833C0B"/>
                              <w:sz w:val="21"/>
                              <w:lang w:bidi="ar"/>
                            </w:rPr>
                            <w:t>1</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0C4F17">
                      <w:rPr>
                        <w:rFonts w:ascii="Times New Roman" w:eastAsia="楷体" w:hAnsi="Times New Roman" w:cs="Times New Roman"/>
                        <w:b/>
                        <w:noProof/>
                        <w:color w:val="833C0B"/>
                        <w:sz w:val="21"/>
                        <w:lang w:bidi="ar"/>
                      </w:rPr>
                      <w:t>1</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257" w:rsidRDefault="00D66257">
      <w:r>
        <w:separator/>
      </w:r>
    </w:p>
  </w:footnote>
  <w:footnote w:type="continuationSeparator" w:id="0">
    <w:p w:rsidR="00D66257" w:rsidRDefault="00D662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2703FEE4" wp14:editId="5F562B32">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42EFB3C7" wp14:editId="00D0BA54">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0C4F17">
      <w:rPr>
        <w:rFonts w:ascii="Times New Roman" w:eastAsia="楷体" w:hAnsi="Times New Roman" w:hint="eastAsia"/>
        <w:b/>
        <w:bCs/>
        <w:noProof/>
        <w:color w:val="833C0B"/>
        <w:sz w:val="21"/>
      </w:rPr>
      <w:t>2023</w:t>
    </w:r>
    <w:r w:rsidR="000C4F17">
      <w:rPr>
        <w:rFonts w:ascii="Times New Roman" w:eastAsia="楷体" w:hAnsi="Times New Roman" w:hint="eastAsia"/>
        <w:b/>
        <w:bCs/>
        <w:noProof/>
        <w:color w:val="833C0B"/>
        <w:sz w:val="21"/>
      </w:rPr>
      <w:t>年</w:t>
    </w:r>
    <w:r w:rsidR="000C4F17">
      <w:rPr>
        <w:rFonts w:ascii="Times New Roman" w:eastAsia="楷体" w:hAnsi="Times New Roman" w:hint="eastAsia"/>
        <w:b/>
        <w:bCs/>
        <w:noProof/>
        <w:color w:val="833C0B"/>
        <w:sz w:val="21"/>
      </w:rPr>
      <w:t>8</w:t>
    </w:r>
    <w:r w:rsidR="000C4F17">
      <w:rPr>
        <w:rFonts w:ascii="Times New Roman" w:eastAsia="楷体" w:hAnsi="Times New Roman" w:hint="eastAsia"/>
        <w:b/>
        <w:bCs/>
        <w:noProof/>
        <w:color w:val="833C0B"/>
        <w:sz w:val="21"/>
      </w:rPr>
      <w:t>月</w:t>
    </w:r>
    <w:r w:rsidR="000C4F17">
      <w:rPr>
        <w:rFonts w:ascii="Times New Roman" w:eastAsia="楷体" w:hAnsi="Times New Roman" w:hint="eastAsia"/>
        <w:b/>
        <w:bCs/>
        <w:noProof/>
        <w:color w:val="833C0B"/>
        <w:sz w:val="21"/>
      </w:rPr>
      <w:t>31</w:t>
    </w:r>
    <w:r w:rsidR="000C4F17">
      <w:rPr>
        <w:rFonts w:ascii="Times New Roman" w:eastAsia="楷体" w:hAnsi="Times New Roman" w:hint="eastAsia"/>
        <w:b/>
        <w:bCs/>
        <w:noProof/>
        <w:color w:val="833C0B"/>
        <w:sz w:val="21"/>
      </w:rPr>
      <w:t>日星期四</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5EB2"/>
    <w:rsid w:val="000417D7"/>
    <w:rsid w:val="00050B6C"/>
    <w:rsid w:val="0005286B"/>
    <w:rsid w:val="0005726F"/>
    <w:rsid w:val="00057E99"/>
    <w:rsid w:val="00072EAA"/>
    <w:rsid w:val="00076420"/>
    <w:rsid w:val="000820C6"/>
    <w:rsid w:val="00093E40"/>
    <w:rsid w:val="00096258"/>
    <w:rsid w:val="000A413E"/>
    <w:rsid w:val="000B0648"/>
    <w:rsid w:val="000B4E70"/>
    <w:rsid w:val="000C102A"/>
    <w:rsid w:val="000C475E"/>
    <w:rsid w:val="000C4F17"/>
    <w:rsid w:val="000D36DC"/>
    <w:rsid w:val="000D42E2"/>
    <w:rsid w:val="000D7CF0"/>
    <w:rsid w:val="000E03FC"/>
    <w:rsid w:val="000E0968"/>
    <w:rsid w:val="000E0C15"/>
    <w:rsid w:val="000E4EEB"/>
    <w:rsid w:val="00115EEA"/>
    <w:rsid w:val="00117470"/>
    <w:rsid w:val="00120B1F"/>
    <w:rsid w:val="00127803"/>
    <w:rsid w:val="00127FF1"/>
    <w:rsid w:val="00147668"/>
    <w:rsid w:val="00147B03"/>
    <w:rsid w:val="0015047B"/>
    <w:rsid w:val="00156FEB"/>
    <w:rsid w:val="00170E7B"/>
    <w:rsid w:val="001801C4"/>
    <w:rsid w:val="001942CB"/>
    <w:rsid w:val="001945E9"/>
    <w:rsid w:val="001A3E49"/>
    <w:rsid w:val="001A44F9"/>
    <w:rsid w:val="001B0610"/>
    <w:rsid w:val="001B179D"/>
    <w:rsid w:val="001B1904"/>
    <w:rsid w:val="001B25C9"/>
    <w:rsid w:val="001B2D4C"/>
    <w:rsid w:val="001B6043"/>
    <w:rsid w:val="001B6394"/>
    <w:rsid w:val="001C2E87"/>
    <w:rsid w:val="001C77D0"/>
    <w:rsid w:val="001D1F0A"/>
    <w:rsid w:val="001D40EA"/>
    <w:rsid w:val="001D4474"/>
    <w:rsid w:val="001D5419"/>
    <w:rsid w:val="001D7D0A"/>
    <w:rsid w:val="001E1A3C"/>
    <w:rsid w:val="001F5438"/>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82262"/>
    <w:rsid w:val="00285297"/>
    <w:rsid w:val="00291461"/>
    <w:rsid w:val="00292AE8"/>
    <w:rsid w:val="002951EB"/>
    <w:rsid w:val="00296325"/>
    <w:rsid w:val="00297A1B"/>
    <w:rsid w:val="002A0670"/>
    <w:rsid w:val="002A6C89"/>
    <w:rsid w:val="002B0F87"/>
    <w:rsid w:val="002B2257"/>
    <w:rsid w:val="002B32AE"/>
    <w:rsid w:val="002C73FE"/>
    <w:rsid w:val="002F075C"/>
    <w:rsid w:val="002F545E"/>
    <w:rsid w:val="002F6AD1"/>
    <w:rsid w:val="002F7810"/>
    <w:rsid w:val="0031065A"/>
    <w:rsid w:val="00320AB1"/>
    <w:rsid w:val="00321629"/>
    <w:rsid w:val="003230A0"/>
    <w:rsid w:val="00323550"/>
    <w:rsid w:val="0033167B"/>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626D"/>
    <w:rsid w:val="0038677D"/>
    <w:rsid w:val="003953FD"/>
    <w:rsid w:val="003A1F3C"/>
    <w:rsid w:val="003A3DB4"/>
    <w:rsid w:val="003A5DDB"/>
    <w:rsid w:val="003C32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6646"/>
    <w:rsid w:val="00487F77"/>
    <w:rsid w:val="00490056"/>
    <w:rsid w:val="00491DD7"/>
    <w:rsid w:val="004977A9"/>
    <w:rsid w:val="004A1926"/>
    <w:rsid w:val="004A382D"/>
    <w:rsid w:val="004A3F85"/>
    <w:rsid w:val="004A65B5"/>
    <w:rsid w:val="004B4D4D"/>
    <w:rsid w:val="004C11A7"/>
    <w:rsid w:val="004C5F3F"/>
    <w:rsid w:val="004D0484"/>
    <w:rsid w:val="004D6F74"/>
    <w:rsid w:val="004E269E"/>
    <w:rsid w:val="004E3A10"/>
    <w:rsid w:val="004E58A5"/>
    <w:rsid w:val="004E6093"/>
    <w:rsid w:val="005145ED"/>
    <w:rsid w:val="00521683"/>
    <w:rsid w:val="005245A4"/>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8F8"/>
    <w:rsid w:val="005F2CE6"/>
    <w:rsid w:val="005F45A8"/>
    <w:rsid w:val="005F5D8E"/>
    <w:rsid w:val="00606E2B"/>
    <w:rsid w:val="00610C41"/>
    <w:rsid w:val="00612D79"/>
    <w:rsid w:val="0061390B"/>
    <w:rsid w:val="00615F78"/>
    <w:rsid w:val="006353D1"/>
    <w:rsid w:val="00637F19"/>
    <w:rsid w:val="00641752"/>
    <w:rsid w:val="00650F05"/>
    <w:rsid w:val="0065454E"/>
    <w:rsid w:val="00657B01"/>
    <w:rsid w:val="00661BB3"/>
    <w:rsid w:val="00666DE4"/>
    <w:rsid w:val="006811C5"/>
    <w:rsid w:val="006911F3"/>
    <w:rsid w:val="006A135D"/>
    <w:rsid w:val="006A2D10"/>
    <w:rsid w:val="006A5214"/>
    <w:rsid w:val="006A6067"/>
    <w:rsid w:val="006A7A79"/>
    <w:rsid w:val="006B4A5D"/>
    <w:rsid w:val="006D21ED"/>
    <w:rsid w:val="006D66AE"/>
    <w:rsid w:val="006D725E"/>
    <w:rsid w:val="006E3745"/>
    <w:rsid w:val="006F6553"/>
    <w:rsid w:val="007029E1"/>
    <w:rsid w:val="00710028"/>
    <w:rsid w:val="007103A5"/>
    <w:rsid w:val="0072164F"/>
    <w:rsid w:val="007253E7"/>
    <w:rsid w:val="0072736C"/>
    <w:rsid w:val="007315D8"/>
    <w:rsid w:val="00743CFD"/>
    <w:rsid w:val="007664C1"/>
    <w:rsid w:val="00772382"/>
    <w:rsid w:val="00782EFA"/>
    <w:rsid w:val="00785519"/>
    <w:rsid w:val="007866A5"/>
    <w:rsid w:val="0079299D"/>
    <w:rsid w:val="00792D31"/>
    <w:rsid w:val="00794D36"/>
    <w:rsid w:val="007952E9"/>
    <w:rsid w:val="00796CB2"/>
    <w:rsid w:val="007A410D"/>
    <w:rsid w:val="007A66FE"/>
    <w:rsid w:val="007B3290"/>
    <w:rsid w:val="007B42D0"/>
    <w:rsid w:val="007B4FCE"/>
    <w:rsid w:val="007C1DB9"/>
    <w:rsid w:val="007C2FD2"/>
    <w:rsid w:val="007C7B84"/>
    <w:rsid w:val="007D29EC"/>
    <w:rsid w:val="007D4BBD"/>
    <w:rsid w:val="007F09BE"/>
    <w:rsid w:val="007F1327"/>
    <w:rsid w:val="007F140C"/>
    <w:rsid w:val="007F186E"/>
    <w:rsid w:val="007F197B"/>
    <w:rsid w:val="0080612D"/>
    <w:rsid w:val="00806354"/>
    <w:rsid w:val="0080692E"/>
    <w:rsid w:val="00806CD5"/>
    <w:rsid w:val="00806F4A"/>
    <w:rsid w:val="0080753A"/>
    <w:rsid w:val="008111C8"/>
    <w:rsid w:val="008149F4"/>
    <w:rsid w:val="00815011"/>
    <w:rsid w:val="00815817"/>
    <w:rsid w:val="00816F85"/>
    <w:rsid w:val="00820D28"/>
    <w:rsid w:val="00822591"/>
    <w:rsid w:val="00827E8A"/>
    <w:rsid w:val="0083605E"/>
    <w:rsid w:val="00840F4E"/>
    <w:rsid w:val="008463FD"/>
    <w:rsid w:val="00853880"/>
    <w:rsid w:val="00856132"/>
    <w:rsid w:val="008649BB"/>
    <w:rsid w:val="008655EA"/>
    <w:rsid w:val="00867CA5"/>
    <w:rsid w:val="00873ECE"/>
    <w:rsid w:val="008740D4"/>
    <w:rsid w:val="00874708"/>
    <w:rsid w:val="0087785E"/>
    <w:rsid w:val="00892203"/>
    <w:rsid w:val="0089393F"/>
    <w:rsid w:val="008A0893"/>
    <w:rsid w:val="008A11C6"/>
    <w:rsid w:val="008A1D22"/>
    <w:rsid w:val="008B13D2"/>
    <w:rsid w:val="008B3268"/>
    <w:rsid w:val="008B361D"/>
    <w:rsid w:val="008C1554"/>
    <w:rsid w:val="008C3F42"/>
    <w:rsid w:val="008C53CE"/>
    <w:rsid w:val="008E2B15"/>
    <w:rsid w:val="008E33F3"/>
    <w:rsid w:val="008E3B84"/>
    <w:rsid w:val="008F1360"/>
    <w:rsid w:val="008F229B"/>
    <w:rsid w:val="008F2A6E"/>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E0994"/>
    <w:rsid w:val="009E25E0"/>
    <w:rsid w:val="009E4452"/>
    <w:rsid w:val="009E7578"/>
    <w:rsid w:val="009E75B7"/>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B4BF2"/>
    <w:rsid w:val="00AC00CF"/>
    <w:rsid w:val="00AC52CB"/>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33C93"/>
    <w:rsid w:val="00B443CE"/>
    <w:rsid w:val="00B4555A"/>
    <w:rsid w:val="00B51CAF"/>
    <w:rsid w:val="00B53C56"/>
    <w:rsid w:val="00B60464"/>
    <w:rsid w:val="00B606EF"/>
    <w:rsid w:val="00B618F8"/>
    <w:rsid w:val="00B64133"/>
    <w:rsid w:val="00B72E2D"/>
    <w:rsid w:val="00B745CB"/>
    <w:rsid w:val="00B805BD"/>
    <w:rsid w:val="00B91D3D"/>
    <w:rsid w:val="00B94E7D"/>
    <w:rsid w:val="00B97F08"/>
    <w:rsid w:val="00BA4663"/>
    <w:rsid w:val="00BA696B"/>
    <w:rsid w:val="00BA7212"/>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27B89"/>
    <w:rsid w:val="00C43DDB"/>
    <w:rsid w:val="00C575E9"/>
    <w:rsid w:val="00C62202"/>
    <w:rsid w:val="00C6240E"/>
    <w:rsid w:val="00C647F2"/>
    <w:rsid w:val="00C66C6C"/>
    <w:rsid w:val="00C706BF"/>
    <w:rsid w:val="00C70FDD"/>
    <w:rsid w:val="00C80C0D"/>
    <w:rsid w:val="00C82E4D"/>
    <w:rsid w:val="00C91234"/>
    <w:rsid w:val="00C93E36"/>
    <w:rsid w:val="00C950F3"/>
    <w:rsid w:val="00CA1C01"/>
    <w:rsid w:val="00CB0962"/>
    <w:rsid w:val="00CB16F4"/>
    <w:rsid w:val="00CB1AC3"/>
    <w:rsid w:val="00CB1F18"/>
    <w:rsid w:val="00CB2FD2"/>
    <w:rsid w:val="00CB3015"/>
    <w:rsid w:val="00CB60E6"/>
    <w:rsid w:val="00CC03C4"/>
    <w:rsid w:val="00CC3E40"/>
    <w:rsid w:val="00CC3FFA"/>
    <w:rsid w:val="00CC6C03"/>
    <w:rsid w:val="00CD4FE6"/>
    <w:rsid w:val="00CD5884"/>
    <w:rsid w:val="00CD5DE8"/>
    <w:rsid w:val="00CD70A0"/>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45E53"/>
    <w:rsid w:val="00D47039"/>
    <w:rsid w:val="00D55EAF"/>
    <w:rsid w:val="00D63655"/>
    <w:rsid w:val="00D66257"/>
    <w:rsid w:val="00D673AD"/>
    <w:rsid w:val="00D75630"/>
    <w:rsid w:val="00D762B2"/>
    <w:rsid w:val="00D842AA"/>
    <w:rsid w:val="00D86D76"/>
    <w:rsid w:val="00D87130"/>
    <w:rsid w:val="00D93E0B"/>
    <w:rsid w:val="00DA7546"/>
    <w:rsid w:val="00DB6FBE"/>
    <w:rsid w:val="00DD145E"/>
    <w:rsid w:val="00DD334E"/>
    <w:rsid w:val="00DE02C4"/>
    <w:rsid w:val="00DF1796"/>
    <w:rsid w:val="00DF270D"/>
    <w:rsid w:val="00DF3137"/>
    <w:rsid w:val="00DF3B28"/>
    <w:rsid w:val="00DF56EC"/>
    <w:rsid w:val="00E020F2"/>
    <w:rsid w:val="00E12059"/>
    <w:rsid w:val="00E25D21"/>
    <w:rsid w:val="00E2618F"/>
    <w:rsid w:val="00E31716"/>
    <w:rsid w:val="00E32B95"/>
    <w:rsid w:val="00E34551"/>
    <w:rsid w:val="00E34EAB"/>
    <w:rsid w:val="00E373B2"/>
    <w:rsid w:val="00E40036"/>
    <w:rsid w:val="00E45000"/>
    <w:rsid w:val="00E451FD"/>
    <w:rsid w:val="00E4667F"/>
    <w:rsid w:val="00E50E93"/>
    <w:rsid w:val="00E556EC"/>
    <w:rsid w:val="00E55B22"/>
    <w:rsid w:val="00E60D44"/>
    <w:rsid w:val="00E63EF8"/>
    <w:rsid w:val="00E64502"/>
    <w:rsid w:val="00E66570"/>
    <w:rsid w:val="00E7672C"/>
    <w:rsid w:val="00E771D2"/>
    <w:rsid w:val="00E80EDB"/>
    <w:rsid w:val="00E84794"/>
    <w:rsid w:val="00E847DF"/>
    <w:rsid w:val="00E90013"/>
    <w:rsid w:val="00E928BB"/>
    <w:rsid w:val="00E93488"/>
    <w:rsid w:val="00EA0CCD"/>
    <w:rsid w:val="00EA28CA"/>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31CCA"/>
    <w:rsid w:val="00F32BBA"/>
    <w:rsid w:val="00F43E0E"/>
    <w:rsid w:val="00F473F0"/>
    <w:rsid w:val="00F47540"/>
    <w:rsid w:val="00F50569"/>
    <w:rsid w:val="00F52969"/>
    <w:rsid w:val="00F55F14"/>
    <w:rsid w:val="00F622ED"/>
    <w:rsid w:val="00F65EEA"/>
    <w:rsid w:val="00F776D3"/>
    <w:rsid w:val="00F90537"/>
    <w:rsid w:val="00F91733"/>
    <w:rsid w:val="00F920DB"/>
    <w:rsid w:val="00F95209"/>
    <w:rsid w:val="00F964AD"/>
    <w:rsid w:val="00FB3956"/>
    <w:rsid w:val="00FC0F8B"/>
    <w:rsid w:val="00FD6B0E"/>
    <w:rsid w:val="00FE1B77"/>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BA425E-1BA8-49AC-AFCA-A4BA78ACF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3524</TotalTime>
  <Pages>10</Pages>
  <Words>1611</Words>
  <Characters>9189</Characters>
  <Application>Microsoft Office Word</Application>
  <DocSecurity>0</DocSecurity>
  <Lines>76</Lines>
  <Paragraphs>21</Paragraphs>
  <ScaleCrop>false</ScaleCrop>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76</cp:revision>
  <cp:lastPrinted>2023-06-08T02:23:00Z</cp:lastPrinted>
  <dcterms:created xsi:type="dcterms:W3CDTF">2022-11-15T10:06:00Z</dcterms:created>
  <dcterms:modified xsi:type="dcterms:W3CDTF">2023-08-31T03:05:00Z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