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5F28F8"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5F28F8" w:rsidRPr="0009476D">
            <w:rPr>
              <w:rStyle w:val="a9"/>
              <w:noProof/>
            </w:rPr>
            <w:fldChar w:fldCharType="begin"/>
          </w:r>
          <w:r w:rsidR="005F28F8" w:rsidRPr="0009476D">
            <w:rPr>
              <w:rStyle w:val="a9"/>
              <w:noProof/>
            </w:rPr>
            <w:instrText xml:space="preserve"> </w:instrText>
          </w:r>
          <w:r w:rsidR="005F28F8">
            <w:rPr>
              <w:noProof/>
            </w:rPr>
            <w:instrText>HYPERLINK \l "_Toc144196637"</w:instrText>
          </w:r>
          <w:r w:rsidR="005F28F8" w:rsidRPr="0009476D">
            <w:rPr>
              <w:rStyle w:val="a9"/>
              <w:noProof/>
            </w:rPr>
            <w:instrText xml:space="preserve"> </w:instrText>
          </w:r>
          <w:r w:rsidR="005F28F8" w:rsidRPr="0009476D">
            <w:rPr>
              <w:rStyle w:val="a9"/>
              <w:noProof/>
            </w:rPr>
          </w:r>
          <w:r w:rsidR="005F28F8" w:rsidRPr="0009476D">
            <w:rPr>
              <w:rStyle w:val="a9"/>
              <w:noProof/>
            </w:rPr>
            <w:fldChar w:fldCharType="separate"/>
          </w:r>
          <w:r w:rsidR="005F28F8" w:rsidRPr="0009476D">
            <w:rPr>
              <w:rStyle w:val="a9"/>
              <w:rFonts w:ascii="Times New Roman" w:eastAsia="楷体" w:hAnsi="Times New Roman"/>
              <w:b/>
              <w:noProof/>
            </w:rPr>
            <w:t>[</w:t>
          </w:r>
          <w:r w:rsidR="005F28F8" w:rsidRPr="0009476D">
            <w:rPr>
              <w:rStyle w:val="a9"/>
              <w:rFonts w:ascii="Times New Roman" w:eastAsia="楷体" w:hAnsi="Times New Roman"/>
              <w:b/>
              <w:noProof/>
            </w:rPr>
            <w:t>金融</w:t>
          </w:r>
          <w:r w:rsidR="005F28F8" w:rsidRPr="0009476D">
            <w:rPr>
              <w:rStyle w:val="a9"/>
              <w:rFonts w:ascii="Times New Roman" w:eastAsia="楷体" w:hAnsi="Times New Roman"/>
              <w:b/>
              <w:noProof/>
            </w:rPr>
            <w:t>]</w:t>
          </w:r>
          <w:r w:rsidR="005F28F8" w:rsidRPr="0009476D">
            <w:rPr>
              <w:rStyle w:val="a9"/>
              <w:noProof/>
            </w:rPr>
            <w:fldChar w:fldCharType="end"/>
          </w:r>
        </w:p>
        <w:p w:rsidR="005F28F8" w:rsidRDefault="005F28F8">
          <w:pPr>
            <w:pStyle w:val="23"/>
            <w:tabs>
              <w:tab w:val="right" w:leader="dot" w:pos="8296"/>
            </w:tabs>
            <w:rPr>
              <w:rFonts w:eastAsiaTheme="minorEastAsia"/>
              <w:noProof/>
              <w:szCs w:val="22"/>
            </w:rPr>
          </w:pPr>
          <w:hyperlink w:anchor="_Toc144196638" w:history="1">
            <w:r w:rsidRPr="0009476D">
              <w:rPr>
                <w:rStyle w:val="a9"/>
                <w:rFonts w:ascii="Times New Roman" w:eastAsia="楷体" w:hAnsi="Times New Roman"/>
                <w:b/>
                <w:noProof/>
              </w:rPr>
              <w:t>股指：观望为主</w:t>
            </w:r>
          </w:hyperlink>
        </w:p>
        <w:p w:rsidR="005F28F8" w:rsidRDefault="005F28F8">
          <w:pPr>
            <w:pStyle w:val="11"/>
            <w:tabs>
              <w:tab w:val="right" w:leader="dot" w:pos="8296"/>
            </w:tabs>
            <w:rPr>
              <w:rFonts w:eastAsiaTheme="minorEastAsia"/>
              <w:noProof/>
              <w:szCs w:val="22"/>
            </w:rPr>
          </w:pPr>
          <w:hyperlink w:anchor="_Toc144196639" w:history="1">
            <w:r w:rsidRPr="0009476D">
              <w:rPr>
                <w:rStyle w:val="a9"/>
                <w:rFonts w:ascii="Times New Roman" w:eastAsia="楷体" w:hAnsi="Times New Roman"/>
                <w:b/>
                <w:noProof/>
              </w:rPr>
              <w:t>[</w:t>
            </w:r>
            <w:r w:rsidRPr="0009476D">
              <w:rPr>
                <w:rStyle w:val="a9"/>
                <w:rFonts w:ascii="Times New Roman" w:eastAsia="楷体" w:hAnsi="Times New Roman"/>
                <w:b/>
                <w:noProof/>
              </w:rPr>
              <w:t>贵金属</w:t>
            </w:r>
            <w:r w:rsidRPr="0009476D">
              <w:rPr>
                <w:rStyle w:val="a9"/>
                <w:rFonts w:ascii="Times New Roman" w:eastAsia="楷体" w:hAnsi="Times New Roman"/>
                <w:b/>
                <w:noProof/>
              </w:rPr>
              <w:t>]</w:t>
            </w:r>
          </w:hyperlink>
        </w:p>
        <w:p w:rsidR="005F28F8" w:rsidRDefault="005F28F8">
          <w:pPr>
            <w:pStyle w:val="23"/>
            <w:tabs>
              <w:tab w:val="right" w:leader="dot" w:pos="8296"/>
            </w:tabs>
            <w:rPr>
              <w:rFonts w:eastAsiaTheme="minorEastAsia"/>
              <w:noProof/>
              <w:szCs w:val="22"/>
            </w:rPr>
          </w:pPr>
          <w:hyperlink w:anchor="_Toc144196640" w:history="1">
            <w:r w:rsidRPr="0009476D">
              <w:rPr>
                <w:rStyle w:val="a9"/>
                <w:rFonts w:ascii="Times New Roman" w:eastAsia="楷体" w:hAnsi="Times New Roman"/>
                <w:b/>
                <w:noProof/>
              </w:rPr>
              <w:t>贵金属：美联储年内或仍有一次加息，贵金属价格窄幅震荡</w:t>
            </w:r>
          </w:hyperlink>
        </w:p>
        <w:p w:rsidR="005F28F8" w:rsidRDefault="005F28F8">
          <w:pPr>
            <w:pStyle w:val="11"/>
            <w:tabs>
              <w:tab w:val="right" w:leader="dot" w:pos="8296"/>
            </w:tabs>
            <w:rPr>
              <w:rFonts w:eastAsiaTheme="minorEastAsia"/>
              <w:noProof/>
              <w:szCs w:val="22"/>
            </w:rPr>
          </w:pPr>
          <w:hyperlink w:anchor="_Toc144196641" w:history="1">
            <w:r w:rsidRPr="0009476D">
              <w:rPr>
                <w:rStyle w:val="a9"/>
                <w:rFonts w:ascii="Times New Roman" w:eastAsia="楷体" w:hAnsi="Times New Roman"/>
                <w:b/>
                <w:noProof/>
              </w:rPr>
              <w:t>[</w:t>
            </w:r>
            <w:r w:rsidRPr="0009476D">
              <w:rPr>
                <w:rStyle w:val="a9"/>
                <w:rFonts w:ascii="Times New Roman" w:eastAsia="楷体" w:hAnsi="Times New Roman"/>
                <w:b/>
                <w:noProof/>
              </w:rPr>
              <w:t>金属</w:t>
            </w:r>
            <w:r w:rsidRPr="0009476D">
              <w:rPr>
                <w:rStyle w:val="a9"/>
                <w:rFonts w:ascii="Times New Roman" w:eastAsia="楷体" w:hAnsi="Times New Roman"/>
                <w:b/>
                <w:noProof/>
              </w:rPr>
              <w:t>]</w:t>
            </w:r>
          </w:hyperlink>
        </w:p>
        <w:p w:rsidR="005F28F8" w:rsidRDefault="005F28F8">
          <w:pPr>
            <w:pStyle w:val="23"/>
            <w:tabs>
              <w:tab w:val="right" w:leader="dot" w:pos="8296"/>
            </w:tabs>
            <w:rPr>
              <w:rFonts w:eastAsiaTheme="minorEastAsia"/>
              <w:noProof/>
              <w:szCs w:val="22"/>
            </w:rPr>
          </w:pPr>
          <w:hyperlink w:anchor="_Toc144196642" w:history="1">
            <w:r w:rsidRPr="0009476D">
              <w:rPr>
                <w:rStyle w:val="a9"/>
                <w:rFonts w:ascii="楷体" w:eastAsia="楷体" w:hAnsi="楷体"/>
                <w:b/>
                <w:noProof/>
              </w:rPr>
              <w:t>碳酸锂：下游需求疲弱，期价或维持偏弱走势</w:t>
            </w:r>
          </w:hyperlink>
        </w:p>
        <w:p w:rsidR="005F28F8" w:rsidRDefault="005F28F8">
          <w:pPr>
            <w:pStyle w:val="23"/>
            <w:tabs>
              <w:tab w:val="right" w:leader="dot" w:pos="8296"/>
            </w:tabs>
            <w:rPr>
              <w:rFonts w:eastAsiaTheme="minorEastAsia"/>
              <w:noProof/>
              <w:szCs w:val="22"/>
            </w:rPr>
          </w:pPr>
          <w:hyperlink w:anchor="_Toc144196643" w:history="1">
            <w:r w:rsidRPr="0009476D">
              <w:rPr>
                <w:rStyle w:val="a9"/>
                <w:rFonts w:ascii="楷体" w:eastAsia="楷体" w:hAnsi="楷体"/>
                <w:b/>
                <w:noProof/>
              </w:rPr>
              <w:t>螺纹钢：震荡偏弱运行，关注前低支撑情况</w:t>
            </w:r>
          </w:hyperlink>
        </w:p>
        <w:p w:rsidR="005F28F8" w:rsidRDefault="005F28F8">
          <w:pPr>
            <w:pStyle w:val="23"/>
            <w:tabs>
              <w:tab w:val="right" w:leader="dot" w:pos="8296"/>
            </w:tabs>
            <w:rPr>
              <w:rFonts w:eastAsiaTheme="minorEastAsia"/>
              <w:noProof/>
              <w:szCs w:val="22"/>
            </w:rPr>
          </w:pPr>
          <w:hyperlink w:anchor="_Toc144196644" w:history="1">
            <w:r w:rsidRPr="0009476D">
              <w:rPr>
                <w:rStyle w:val="a9"/>
                <w:rFonts w:ascii="楷体" w:eastAsia="楷体" w:hAnsi="楷体"/>
                <w:b/>
                <w:noProof/>
              </w:rPr>
              <w:t>焦炭：中期调整压力较大，短期或随成偏弱材震荡</w:t>
            </w:r>
          </w:hyperlink>
        </w:p>
        <w:p w:rsidR="005F28F8" w:rsidRDefault="005F28F8">
          <w:pPr>
            <w:pStyle w:val="23"/>
            <w:tabs>
              <w:tab w:val="right" w:leader="dot" w:pos="8296"/>
            </w:tabs>
            <w:rPr>
              <w:rFonts w:eastAsiaTheme="minorEastAsia"/>
              <w:noProof/>
              <w:szCs w:val="22"/>
            </w:rPr>
          </w:pPr>
          <w:hyperlink w:anchor="_Toc144196645" w:history="1">
            <w:r w:rsidRPr="0009476D">
              <w:rPr>
                <w:rStyle w:val="a9"/>
                <w:rFonts w:ascii="楷体" w:eastAsia="楷体" w:hAnsi="楷体"/>
                <w:b/>
                <w:noProof/>
              </w:rPr>
              <w:t>焦煤：短期现货支撑价格中枢，随成材偏弱震荡运行，中期调整压力较大</w:t>
            </w:r>
          </w:hyperlink>
        </w:p>
        <w:p w:rsidR="005F28F8" w:rsidRDefault="005F28F8">
          <w:pPr>
            <w:pStyle w:val="23"/>
            <w:tabs>
              <w:tab w:val="right" w:leader="dot" w:pos="8296"/>
            </w:tabs>
            <w:rPr>
              <w:rFonts w:eastAsiaTheme="minorEastAsia"/>
              <w:noProof/>
              <w:szCs w:val="22"/>
            </w:rPr>
          </w:pPr>
          <w:hyperlink w:anchor="_Toc144196646" w:history="1">
            <w:r w:rsidRPr="0009476D">
              <w:rPr>
                <w:rStyle w:val="a9"/>
                <w:rFonts w:ascii="楷体" w:eastAsia="楷体" w:hAnsi="楷体"/>
                <w:b/>
                <w:noProof/>
              </w:rPr>
              <w:t>铜：区间内震荡偏多运行</w:t>
            </w:r>
          </w:hyperlink>
        </w:p>
        <w:p w:rsidR="005F28F8" w:rsidRDefault="005F28F8">
          <w:pPr>
            <w:pStyle w:val="23"/>
            <w:tabs>
              <w:tab w:val="right" w:leader="dot" w:pos="8296"/>
            </w:tabs>
            <w:rPr>
              <w:rFonts w:eastAsiaTheme="minorEastAsia"/>
              <w:noProof/>
              <w:szCs w:val="22"/>
            </w:rPr>
          </w:pPr>
          <w:hyperlink w:anchor="_Toc144196647" w:history="1">
            <w:r w:rsidRPr="0009476D">
              <w:rPr>
                <w:rStyle w:val="a9"/>
                <w:rFonts w:ascii="楷体" w:eastAsia="楷体" w:hAnsi="楷体"/>
                <w:b/>
                <w:noProof/>
              </w:rPr>
              <w:t>铝：铝价保持震荡偏强态势</w:t>
            </w:r>
          </w:hyperlink>
        </w:p>
        <w:p w:rsidR="005F28F8" w:rsidRDefault="005F28F8">
          <w:pPr>
            <w:pStyle w:val="23"/>
            <w:tabs>
              <w:tab w:val="right" w:leader="dot" w:pos="8296"/>
            </w:tabs>
            <w:rPr>
              <w:rFonts w:eastAsiaTheme="minorEastAsia"/>
              <w:noProof/>
              <w:szCs w:val="22"/>
            </w:rPr>
          </w:pPr>
          <w:hyperlink w:anchor="_Toc144196648" w:history="1">
            <w:r w:rsidRPr="0009476D">
              <w:rPr>
                <w:rStyle w:val="a9"/>
                <w:rFonts w:ascii="楷体" w:eastAsia="楷体" w:hAnsi="楷体"/>
                <w:b/>
                <w:noProof/>
              </w:rPr>
              <w:t>锌：锌价偏强震荡运行</w:t>
            </w:r>
          </w:hyperlink>
        </w:p>
        <w:p w:rsidR="005F28F8" w:rsidRDefault="005F28F8">
          <w:pPr>
            <w:pStyle w:val="23"/>
            <w:tabs>
              <w:tab w:val="right" w:leader="dot" w:pos="8296"/>
            </w:tabs>
            <w:rPr>
              <w:rFonts w:eastAsiaTheme="minorEastAsia"/>
              <w:noProof/>
              <w:szCs w:val="22"/>
            </w:rPr>
          </w:pPr>
          <w:hyperlink w:anchor="_Toc144196649" w:history="1">
            <w:r w:rsidRPr="0009476D">
              <w:rPr>
                <w:rStyle w:val="a9"/>
                <w:rFonts w:ascii="楷体" w:eastAsia="楷体" w:hAnsi="楷体"/>
                <w:b/>
                <w:noProof/>
              </w:rPr>
              <w:t>镍：基本面偏弱，但低库存及成本支撑仍在</w:t>
            </w:r>
          </w:hyperlink>
        </w:p>
        <w:p w:rsidR="005F28F8" w:rsidRDefault="005F28F8">
          <w:pPr>
            <w:pStyle w:val="23"/>
            <w:tabs>
              <w:tab w:val="right" w:leader="dot" w:pos="8296"/>
            </w:tabs>
            <w:rPr>
              <w:rFonts w:eastAsiaTheme="minorEastAsia"/>
              <w:noProof/>
              <w:szCs w:val="22"/>
            </w:rPr>
          </w:pPr>
          <w:hyperlink w:anchor="_Toc144196650" w:history="1">
            <w:r w:rsidRPr="0009476D">
              <w:rPr>
                <w:rStyle w:val="a9"/>
                <w:rFonts w:ascii="楷体" w:eastAsia="楷体" w:hAnsi="楷体"/>
                <w:b/>
                <w:noProof/>
              </w:rPr>
              <w:t>铅：成本支撑较强，或高位震荡</w:t>
            </w:r>
          </w:hyperlink>
        </w:p>
        <w:p w:rsidR="005F28F8" w:rsidRDefault="005F28F8">
          <w:pPr>
            <w:pStyle w:val="23"/>
            <w:tabs>
              <w:tab w:val="right" w:leader="dot" w:pos="8296"/>
            </w:tabs>
            <w:rPr>
              <w:rFonts w:eastAsiaTheme="minorEastAsia"/>
              <w:noProof/>
              <w:szCs w:val="22"/>
            </w:rPr>
          </w:pPr>
          <w:hyperlink w:anchor="_Toc144196651" w:history="1">
            <w:r w:rsidRPr="0009476D">
              <w:rPr>
                <w:rStyle w:val="a9"/>
                <w:rFonts w:ascii="楷体" w:eastAsia="楷体" w:hAnsi="楷体"/>
                <w:b/>
                <w:noProof/>
              </w:rPr>
              <w:t>不锈钢：成本支撑较强，关注消费旺季增量预期能否兑现</w:t>
            </w:r>
          </w:hyperlink>
        </w:p>
        <w:p w:rsidR="005F28F8" w:rsidRDefault="005F28F8">
          <w:pPr>
            <w:pStyle w:val="23"/>
            <w:tabs>
              <w:tab w:val="right" w:leader="dot" w:pos="8296"/>
            </w:tabs>
            <w:rPr>
              <w:rFonts w:eastAsiaTheme="minorEastAsia"/>
              <w:noProof/>
              <w:szCs w:val="22"/>
            </w:rPr>
          </w:pPr>
          <w:hyperlink w:anchor="_Toc144196652" w:history="1">
            <w:r w:rsidRPr="0009476D">
              <w:rPr>
                <w:rStyle w:val="a9"/>
                <w:rFonts w:ascii="楷体" w:eastAsia="楷体" w:hAnsi="楷体"/>
                <w:b/>
                <w:noProof/>
              </w:rPr>
              <w:t>工业硅：需求改善预期仍存，短期下行空间或有限</w:t>
            </w:r>
          </w:hyperlink>
        </w:p>
        <w:p w:rsidR="005F28F8" w:rsidRDefault="005F28F8">
          <w:pPr>
            <w:pStyle w:val="11"/>
            <w:tabs>
              <w:tab w:val="right" w:leader="dot" w:pos="8296"/>
            </w:tabs>
            <w:rPr>
              <w:rFonts w:eastAsiaTheme="minorEastAsia"/>
              <w:noProof/>
              <w:szCs w:val="22"/>
            </w:rPr>
          </w:pPr>
          <w:hyperlink w:anchor="_Toc144196653" w:history="1">
            <w:r w:rsidRPr="0009476D">
              <w:rPr>
                <w:rStyle w:val="a9"/>
                <w:rFonts w:ascii="Times New Roman" w:eastAsia="楷体" w:hAnsi="Times New Roman"/>
                <w:b/>
                <w:noProof/>
              </w:rPr>
              <w:t>[</w:t>
            </w:r>
            <w:r w:rsidRPr="0009476D">
              <w:rPr>
                <w:rStyle w:val="a9"/>
                <w:rFonts w:ascii="Times New Roman" w:eastAsia="楷体" w:hAnsi="Times New Roman"/>
                <w:b/>
                <w:noProof/>
              </w:rPr>
              <w:t>化工</w:t>
            </w:r>
            <w:r w:rsidRPr="0009476D">
              <w:rPr>
                <w:rStyle w:val="a9"/>
                <w:rFonts w:ascii="Times New Roman" w:eastAsia="楷体" w:hAnsi="Times New Roman"/>
                <w:b/>
                <w:noProof/>
              </w:rPr>
              <w:t>]</w:t>
            </w:r>
          </w:hyperlink>
        </w:p>
        <w:p w:rsidR="005F28F8" w:rsidRDefault="005F28F8">
          <w:pPr>
            <w:pStyle w:val="23"/>
            <w:tabs>
              <w:tab w:val="right" w:leader="dot" w:pos="8296"/>
            </w:tabs>
            <w:rPr>
              <w:rFonts w:eastAsiaTheme="minorEastAsia"/>
              <w:noProof/>
              <w:szCs w:val="22"/>
            </w:rPr>
          </w:pPr>
          <w:hyperlink w:anchor="_Toc144196654" w:history="1">
            <w:r w:rsidRPr="0009476D">
              <w:rPr>
                <w:rStyle w:val="a9"/>
                <w:rFonts w:ascii="Times New Roman" w:eastAsia="楷体" w:hAnsi="Times New Roman"/>
                <w:b/>
                <w:noProof/>
              </w:rPr>
              <w:t>天然橡胶</w:t>
            </w:r>
            <w:r w:rsidRPr="0009476D">
              <w:rPr>
                <w:rStyle w:val="a9"/>
                <w:rFonts w:ascii="Times New Roman" w:eastAsia="楷体" w:hAnsi="Times New Roman"/>
                <w:b/>
                <w:noProof/>
              </w:rPr>
              <w:t>:</w:t>
            </w:r>
            <w:r w:rsidRPr="0009476D">
              <w:rPr>
                <w:rStyle w:val="a9"/>
                <w:rFonts w:ascii="楷体" w:eastAsia="楷体" w:hAnsi="楷体"/>
                <w:b/>
                <w:noProof/>
              </w:rPr>
              <w:t xml:space="preserve"> 看多情绪升温 天胶维持偏强震荡</w:t>
            </w:r>
          </w:hyperlink>
        </w:p>
        <w:p w:rsidR="005F28F8" w:rsidRDefault="005F28F8">
          <w:pPr>
            <w:pStyle w:val="23"/>
            <w:tabs>
              <w:tab w:val="right" w:leader="dot" w:pos="8296"/>
            </w:tabs>
            <w:rPr>
              <w:rFonts w:eastAsiaTheme="minorEastAsia"/>
              <w:noProof/>
              <w:szCs w:val="22"/>
            </w:rPr>
          </w:pPr>
          <w:hyperlink w:anchor="_Toc144196655" w:history="1">
            <w:r w:rsidRPr="0009476D">
              <w:rPr>
                <w:rStyle w:val="a9"/>
                <w:rFonts w:ascii="楷体" w:eastAsia="楷体" w:hAnsi="楷体"/>
                <w:b/>
                <w:noProof/>
              </w:rPr>
              <w:t>PTA：低加工费及成本端支撑仍偏强</w:t>
            </w:r>
          </w:hyperlink>
        </w:p>
        <w:p w:rsidR="005F28F8" w:rsidRDefault="005F28F8">
          <w:pPr>
            <w:pStyle w:val="23"/>
            <w:tabs>
              <w:tab w:val="right" w:leader="dot" w:pos="8296"/>
            </w:tabs>
            <w:rPr>
              <w:rFonts w:eastAsiaTheme="minorEastAsia"/>
              <w:noProof/>
              <w:szCs w:val="22"/>
            </w:rPr>
          </w:pPr>
          <w:hyperlink w:anchor="_Toc144196656" w:history="1">
            <w:r w:rsidRPr="0009476D">
              <w:rPr>
                <w:rStyle w:val="a9"/>
                <w:rFonts w:ascii="楷体" w:eastAsia="楷体" w:hAnsi="楷体"/>
                <w:b/>
                <w:noProof/>
              </w:rPr>
              <w:t>PVC：高库存+弱复苏 驱动不足</w:t>
            </w:r>
          </w:hyperlink>
        </w:p>
        <w:p w:rsidR="005F28F8" w:rsidRDefault="005F28F8">
          <w:pPr>
            <w:pStyle w:val="23"/>
            <w:tabs>
              <w:tab w:val="right" w:leader="dot" w:pos="8296"/>
            </w:tabs>
            <w:rPr>
              <w:rFonts w:eastAsiaTheme="minorEastAsia"/>
              <w:noProof/>
              <w:szCs w:val="22"/>
            </w:rPr>
          </w:pPr>
          <w:hyperlink w:anchor="_Toc144196657" w:history="1">
            <w:r w:rsidRPr="0009476D">
              <w:rPr>
                <w:rStyle w:val="a9"/>
                <w:rFonts w:ascii="楷体" w:eastAsia="楷体" w:hAnsi="楷体"/>
                <w:b/>
                <w:noProof/>
              </w:rPr>
              <w:t>聚烯烃：下游开工下降，聚烯烃或偏弱整理</w:t>
            </w:r>
          </w:hyperlink>
        </w:p>
        <w:p w:rsidR="005F28F8" w:rsidRDefault="005F28F8">
          <w:pPr>
            <w:pStyle w:val="23"/>
            <w:tabs>
              <w:tab w:val="right" w:leader="dot" w:pos="8296"/>
            </w:tabs>
            <w:rPr>
              <w:rFonts w:eastAsiaTheme="minorEastAsia"/>
              <w:noProof/>
              <w:szCs w:val="22"/>
            </w:rPr>
          </w:pPr>
          <w:hyperlink w:anchor="_Toc144196658" w:history="1">
            <w:r w:rsidRPr="0009476D">
              <w:rPr>
                <w:rStyle w:val="a9"/>
                <w:rFonts w:ascii="楷体" w:eastAsia="楷体" w:hAnsi="楷体"/>
                <w:b/>
                <w:noProof/>
              </w:rPr>
              <w:t>MEG：成本提振但高库存压制反弹空间</w:t>
            </w:r>
          </w:hyperlink>
        </w:p>
        <w:p w:rsidR="005F28F8" w:rsidRDefault="005F28F8">
          <w:pPr>
            <w:pStyle w:val="23"/>
            <w:tabs>
              <w:tab w:val="right" w:leader="dot" w:pos="8296"/>
            </w:tabs>
            <w:rPr>
              <w:rFonts w:eastAsiaTheme="minorEastAsia"/>
              <w:noProof/>
              <w:szCs w:val="22"/>
            </w:rPr>
          </w:pPr>
          <w:hyperlink w:anchor="_Toc144196659" w:history="1">
            <w:r w:rsidRPr="0009476D">
              <w:rPr>
                <w:rStyle w:val="a9"/>
                <w:rFonts w:ascii="楷体" w:eastAsia="楷体" w:hAnsi="楷体"/>
                <w:b/>
                <w:noProof/>
              </w:rPr>
              <w:t>玻璃：周末产销回落，震荡偏弱</w:t>
            </w:r>
          </w:hyperlink>
        </w:p>
        <w:p w:rsidR="005F28F8" w:rsidRDefault="005F28F8">
          <w:pPr>
            <w:pStyle w:val="23"/>
            <w:tabs>
              <w:tab w:val="right" w:leader="dot" w:pos="8296"/>
            </w:tabs>
            <w:rPr>
              <w:rFonts w:eastAsiaTheme="minorEastAsia"/>
              <w:noProof/>
              <w:szCs w:val="22"/>
            </w:rPr>
          </w:pPr>
          <w:hyperlink w:anchor="_Toc144196660" w:history="1">
            <w:r w:rsidRPr="0009476D">
              <w:rPr>
                <w:rStyle w:val="a9"/>
                <w:rFonts w:ascii="楷体" w:eastAsia="楷体" w:hAnsi="楷体"/>
                <w:b/>
                <w:noProof/>
              </w:rPr>
              <w:t>纯碱：临近交割近强远弱明显，注意尾部风险谨慎参与</w:t>
            </w:r>
          </w:hyperlink>
        </w:p>
        <w:p w:rsidR="005F28F8" w:rsidRDefault="005F28F8">
          <w:pPr>
            <w:pStyle w:val="11"/>
            <w:tabs>
              <w:tab w:val="right" w:leader="dot" w:pos="8296"/>
            </w:tabs>
            <w:rPr>
              <w:rFonts w:eastAsiaTheme="minorEastAsia"/>
              <w:noProof/>
              <w:szCs w:val="22"/>
            </w:rPr>
          </w:pPr>
          <w:hyperlink w:anchor="_Toc144196661" w:history="1">
            <w:r w:rsidRPr="0009476D">
              <w:rPr>
                <w:rStyle w:val="a9"/>
                <w:rFonts w:ascii="Times New Roman" w:eastAsia="楷体" w:hAnsi="Times New Roman"/>
                <w:b/>
                <w:noProof/>
              </w:rPr>
              <w:t>[</w:t>
            </w:r>
            <w:r w:rsidRPr="0009476D">
              <w:rPr>
                <w:rStyle w:val="a9"/>
                <w:rFonts w:ascii="Times New Roman" w:eastAsia="楷体" w:hAnsi="Times New Roman"/>
                <w:b/>
                <w:noProof/>
              </w:rPr>
              <w:t>农产品</w:t>
            </w:r>
            <w:r w:rsidRPr="0009476D">
              <w:rPr>
                <w:rStyle w:val="a9"/>
                <w:rFonts w:ascii="Times New Roman" w:eastAsia="楷体" w:hAnsi="Times New Roman"/>
                <w:b/>
                <w:noProof/>
              </w:rPr>
              <w:t>]</w:t>
            </w:r>
          </w:hyperlink>
        </w:p>
        <w:p w:rsidR="005F28F8" w:rsidRDefault="005F28F8">
          <w:pPr>
            <w:pStyle w:val="23"/>
            <w:tabs>
              <w:tab w:val="right" w:leader="dot" w:pos="8296"/>
            </w:tabs>
            <w:rPr>
              <w:rFonts w:eastAsiaTheme="minorEastAsia"/>
              <w:noProof/>
              <w:szCs w:val="22"/>
            </w:rPr>
          </w:pPr>
          <w:hyperlink w:anchor="_Toc144196662" w:history="1">
            <w:r w:rsidRPr="0009476D">
              <w:rPr>
                <w:rStyle w:val="a9"/>
                <w:rFonts w:ascii="楷体" w:eastAsia="楷体" w:hAnsi="楷体"/>
                <w:b/>
                <w:noProof/>
              </w:rPr>
              <w:t>豆粕/菜粕：短期延续偏强震荡</w:t>
            </w:r>
          </w:hyperlink>
        </w:p>
        <w:p w:rsidR="005F28F8" w:rsidRDefault="005F28F8">
          <w:pPr>
            <w:pStyle w:val="23"/>
            <w:tabs>
              <w:tab w:val="right" w:leader="dot" w:pos="8296"/>
            </w:tabs>
            <w:rPr>
              <w:rFonts w:eastAsiaTheme="minorEastAsia"/>
              <w:noProof/>
              <w:szCs w:val="22"/>
            </w:rPr>
          </w:pPr>
          <w:hyperlink w:anchor="_Toc144196663" w:history="1">
            <w:r w:rsidRPr="0009476D">
              <w:rPr>
                <w:rStyle w:val="a9"/>
                <w:rFonts w:ascii="楷体" w:eastAsia="楷体" w:hAnsi="楷体"/>
                <w:b/>
                <w:noProof/>
              </w:rPr>
              <w:t>油脂：宽幅震荡</w:t>
            </w:r>
          </w:hyperlink>
        </w:p>
        <w:p w:rsidR="005F28F8" w:rsidRDefault="005F28F8">
          <w:pPr>
            <w:pStyle w:val="23"/>
            <w:tabs>
              <w:tab w:val="right" w:leader="dot" w:pos="8296"/>
            </w:tabs>
            <w:rPr>
              <w:rFonts w:eastAsiaTheme="minorEastAsia"/>
              <w:noProof/>
              <w:szCs w:val="22"/>
            </w:rPr>
          </w:pPr>
          <w:hyperlink w:anchor="_Toc144196664" w:history="1">
            <w:r w:rsidRPr="0009476D">
              <w:rPr>
                <w:rStyle w:val="a9"/>
                <w:rFonts w:ascii="楷体" w:eastAsia="楷体" w:hAnsi="楷体"/>
                <w:b/>
                <w:bCs/>
                <w:noProof/>
              </w:rPr>
              <w:t>玉米与淀粉：</w:t>
            </w:r>
            <w:r w:rsidRPr="0009476D">
              <w:rPr>
                <w:rStyle w:val="a9"/>
                <w:rFonts w:ascii="楷体" w:eastAsia="楷体" w:hAnsi="楷体"/>
                <w:b/>
                <w:noProof/>
              </w:rPr>
              <w:t>期价夜盘继续震荡上行</w:t>
            </w:r>
          </w:hyperlink>
        </w:p>
        <w:p w:rsidR="005F28F8" w:rsidRDefault="005F28F8">
          <w:pPr>
            <w:pStyle w:val="23"/>
            <w:tabs>
              <w:tab w:val="right" w:leader="dot" w:pos="8296"/>
            </w:tabs>
            <w:rPr>
              <w:rFonts w:eastAsiaTheme="minorEastAsia"/>
              <w:noProof/>
              <w:szCs w:val="22"/>
            </w:rPr>
          </w:pPr>
          <w:hyperlink w:anchor="_Toc144196665" w:history="1">
            <w:r w:rsidRPr="0009476D">
              <w:rPr>
                <w:rStyle w:val="a9"/>
                <w:rFonts w:ascii="楷体" w:eastAsia="楷体" w:hAnsi="楷体"/>
                <w:b/>
                <w:bCs/>
                <w:noProof/>
              </w:rPr>
              <w:t>畜禽养殖：生猪期价大幅回落</w:t>
            </w:r>
          </w:hyperlink>
        </w:p>
        <w:p w:rsidR="005F28F8" w:rsidRDefault="005F28F8">
          <w:pPr>
            <w:pStyle w:val="23"/>
            <w:tabs>
              <w:tab w:val="right" w:leader="dot" w:pos="8296"/>
            </w:tabs>
            <w:rPr>
              <w:rFonts w:eastAsiaTheme="minorEastAsia"/>
              <w:noProof/>
              <w:szCs w:val="22"/>
            </w:rPr>
          </w:pPr>
          <w:hyperlink w:anchor="_Toc144196666" w:history="1">
            <w:r w:rsidRPr="0009476D">
              <w:rPr>
                <w:rStyle w:val="a9"/>
                <w:rFonts w:ascii="楷体" w:eastAsia="楷体" w:hAnsi="楷体"/>
                <w:b/>
                <w:noProof/>
              </w:rPr>
              <w:t>郑棉：多单止盈，01看跌期权卖权持有</w:t>
            </w:r>
          </w:hyperlink>
        </w:p>
        <w:p w:rsidR="005F28F8" w:rsidRDefault="005F28F8">
          <w:pPr>
            <w:pStyle w:val="23"/>
            <w:tabs>
              <w:tab w:val="right" w:leader="dot" w:pos="8296"/>
            </w:tabs>
            <w:rPr>
              <w:rFonts w:eastAsiaTheme="minorEastAsia"/>
              <w:noProof/>
              <w:szCs w:val="22"/>
            </w:rPr>
          </w:pPr>
          <w:hyperlink w:anchor="_Toc144196667" w:history="1">
            <w:r w:rsidRPr="0009476D">
              <w:rPr>
                <w:rStyle w:val="a9"/>
                <w:rFonts w:ascii="楷体" w:eastAsia="楷体" w:hAnsi="楷体"/>
                <w:b/>
                <w:noProof/>
              </w:rPr>
              <w:t>白糖：看跌期权卖权持有</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419663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4196638"/>
      <w:bookmarkEnd w:id="4"/>
      <w:r>
        <w:rPr>
          <w:rFonts w:ascii="Times New Roman" w:eastAsia="楷体" w:hAnsi="Times New Roman" w:hint="eastAsia"/>
          <w:b/>
          <w:color w:val="000000" w:themeColor="text1"/>
          <w:sz w:val="24"/>
          <w:szCs w:val="24"/>
        </w:rPr>
        <w:t>股指：</w:t>
      </w:r>
      <w:bookmarkEnd w:id="6"/>
      <w:bookmarkEnd w:id="7"/>
      <w:r w:rsidR="00D673AD" w:rsidRPr="00D673AD">
        <w:rPr>
          <w:rFonts w:ascii="Times New Roman" w:eastAsia="楷体" w:hAnsi="Times New Roman" w:hint="eastAsia"/>
          <w:b/>
          <w:color w:val="000000" w:themeColor="text1"/>
          <w:sz w:val="24"/>
          <w:szCs w:val="24"/>
        </w:rPr>
        <w:t>观望为主</w:t>
      </w:r>
      <w:bookmarkEnd w:id="8"/>
    </w:p>
    <w:p w:rsidR="003F56A5" w:rsidRDefault="00D673AD" w:rsidP="00D14B3E">
      <w:pPr>
        <w:ind w:leftChars="300" w:left="630"/>
        <w:rPr>
          <w:rFonts w:ascii="Times New Roman" w:eastAsia="楷体" w:hAnsi="Times New Roman"/>
          <w:color w:val="000000" w:themeColor="text1"/>
          <w:sz w:val="24"/>
          <w:szCs w:val="24"/>
        </w:rPr>
      </w:pPr>
      <w:r w:rsidRPr="00D673AD">
        <w:rPr>
          <w:rFonts w:ascii="Times New Roman" w:eastAsia="楷体" w:hAnsi="Times New Roman" w:hint="eastAsia"/>
          <w:color w:val="000000" w:themeColor="text1"/>
          <w:sz w:val="24"/>
          <w:szCs w:val="24"/>
        </w:rPr>
        <w:t>市场位置已经计入较多悲观预期，底部特征逐渐显现。在政策预期的心理落差下或导致市场短期仍有波动风险，杰克逊霍尔会议前，预计市场交易美联储鹰派，且未见有效刺激政策，汇率压制下，北向资金加速退场，情绪不稳。后续是否开启反转行情还需关注汇率及外资动向等因素。耐心等待政策效果的发挥和行情的逐步筑底过程</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419663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4196640"/>
      <w:r>
        <w:rPr>
          <w:rFonts w:ascii="Times New Roman" w:eastAsia="楷体" w:hAnsi="Times New Roman" w:hint="eastAsia"/>
          <w:b/>
          <w:color w:val="000000" w:themeColor="text1"/>
          <w:sz w:val="24"/>
          <w:szCs w:val="24"/>
        </w:rPr>
        <w:t>贵金属：</w:t>
      </w:r>
      <w:r w:rsidR="005F28F8" w:rsidRPr="005F28F8">
        <w:rPr>
          <w:rFonts w:ascii="Times New Roman" w:eastAsia="楷体" w:hAnsi="Times New Roman" w:hint="eastAsia"/>
          <w:b/>
          <w:color w:val="000000" w:themeColor="text1"/>
          <w:sz w:val="24"/>
          <w:szCs w:val="24"/>
        </w:rPr>
        <w:t>美联储年内或仍有一次加息，贵金属价格窄幅震荡</w:t>
      </w:r>
      <w:bookmarkEnd w:id="10"/>
    </w:p>
    <w:p w:rsidR="003F56A5" w:rsidRDefault="005F28F8">
      <w:pPr>
        <w:ind w:leftChars="300" w:left="630"/>
        <w:rPr>
          <w:rFonts w:ascii="Times New Roman" w:eastAsia="楷体" w:hAnsi="Times New Roman"/>
          <w:sz w:val="24"/>
          <w:szCs w:val="24"/>
        </w:rPr>
      </w:pPr>
      <w:r w:rsidRPr="005F28F8">
        <w:rPr>
          <w:rFonts w:ascii="Times New Roman" w:eastAsia="楷体" w:hAnsi="Times New Roman" w:hint="eastAsia"/>
          <w:color w:val="000000" w:themeColor="text1"/>
          <w:sz w:val="24"/>
          <w:szCs w:val="24"/>
        </w:rPr>
        <w:t>美国</w:t>
      </w:r>
      <w:r w:rsidRPr="005F28F8">
        <w:rPr>
          <w:rFonts w:ascii="Times New Roman" w:eastAsia="楷体" w:hAnsi="Times New Roman" w:hint="eastAsia"/>
          <w:color w:val="000000" w:themeColor="text1"/>
          <w:sz w:val="24"/>
          <w:szCs w:val="24"/>
        </w:rPr>
        <w:t>8</w:t>
      </w:r>
      <w:r w:rsidRPr="005F28F8">
        <w:rPr>
          <w:rFonts w:ascii="Times New Roman" w:eastAsia="楷体" w:hAnsi="Times New Roman" w:hint="eastAsia"/>
          <w:color w:val="000000" w:themeColor="text1"/>
          <w:sz w:val="24"/>
          <w:szCs w:val="24"/>
        </w:rPr>
        <w:t>月达拉斯联储商业活动指数小幅回升至</w:t>
      </w:r>
      <w:r w:rsidRPr="005F28F8">
        <w:rPr>
          <w:rFonts w:ascii="Times New Roman" w:eastAsia="楷体" w:hAnsi="Times New Roman" w:hint="eastAsia"/>
          <w:color w:val="000000" w:themeColor="text1"/>
          <w:sz w:val="24"/>
          <w:szCs w:val="24"/>
        </w:rPr>
        <w:t>-17.2</w:t>
      </w:r>
      <w:r w:rsidRPr="005F28F8">
        <w:rPr>
          <w:rFonts w:ascii="Times New Roman" w:eastAsia="楷体" w:hAnsi="Times New Roman" w:hint="eastAsia"/>
          <w:color w:val="000000" w:themeColor="text1"/>
          <w:sz w:val="24"/>
          <w:szCs w:val="24"/>
        </w:rPr>
        <w:t>，略高于预期。海外市场预期年内仍有一次加息、美联储大概率启动降息时点小幅后移至明年</w:t>
      </w:r>
      <w:r w:rsidRPr="005F28F8">
        <w:rPr>
          <w:rFonts w:ascii="Times New Roman" w:eastAsia="楷体" w:hAnsi="Times New Roman" w:hint="eastAsia"/>
          <w:color w:val="000000" w:themeColor="text1"/>
          <w:sz w:val="24"/>
          <w:szCs w:val="24"/>
        </w:rPr>
        <w:t>6</w:t>
      </w:r>
      <w:r w:rsidRPr="005F28F8">
        <w:rPr>
          <w:rFonts w:ascii="Times New Roman" w:eastAsia="楷体" w:hAnsi="Times New Roman" w:hint="eastAsia"/>
          <w:color w:val="000000" w:themeColor="text1"/>
          <w:sz w:val="24"/>
          <w:szCs w:val="24"/>
        </w:rPr>
        <w:t>月。美元指数跌</w:t>
      </w:r>
      <w:r w:rsidRPr="005F28F8">
        <w:rPr>
          <w:rFonts w:ascii="Times New Roman" w:eastAsia="楷体" w:hAnsi="Times New Roman" w:hint="eastAsia"/>
          <w:color w:val="000000" w:themeColor="text1"/>
          <w:sz w:val="24"/>
          <w:szCs w:val="24"/>
        </w:rPr>
        <w:t>0.18%</w:t>
      </w:r>
      <w:r w:rsidRPr="005F28F8">
        <w:rPr>
          <w:rFonts w:ascii="Times New Roman" w:eastAsia="楷体" w:hAnsi="Times New Roman" w:hint="eastAsia"/>
          <w:color w:val="000000" w:themeColor="text1"/>
          <w:sz w:val="24"/>
          <w:szCs w:val="24"/>
        </w:rPr>
        <w:t>至</w:t>
      </w:r>
      <w:r w:rsidRPr="005F28F8">
        <w:rPr>
          <w:rFonts w:ascii="Times New Roman" w:eastAsia="楷体" w:hAnsi="Times New Roman" w:hint="eastAsia"/>
          <w:color w:val="000000" w:themeColor="text1"/>
          <w:sz w:val="24"/>
          <w:szCs w:val="24"/>
        </w:rPr>
        <w:t>104.01</w:t>
      </w:r>
      <w:r w:rsidRPr="005F28F8">
        <w:rPr>
          <w:rFonts w:ascii="Times New Roman" w:eastAsia="楷体" w:hAnsi="Times New Roman" w:hint="eastAsia"/>
          <w:color w:val="000000" w:themeColor="text1"/>
          <w:sz w:val="24"/>
          <w:szCs w:val="24"/>
        </w:rPr>
        <w:t>，美十债收益率下跌</w:t>
      </w:r>
      <w:r w:rsidRPr="005F28F8">
        <w:rPr>
          <w:rFonts w:ascii="Times New Roman" w:eastAsia="楷体" w:hAnsi="Times New Roman" w:hint="eastAsia"/>
          <w:color w:val="000000" w:themeColor="text1"/>
          <w:sz w:val="24"/>
          <w:szCs w:val="24"/>
        </w:rPr>
        <w:t>3.3bp</w:t>
      </w:r>
      <w:r w:rsidRPr="005F28F8">
        <w:rPr>
          <w:rFonts w:ascii="Times New Roman" w:eastAsia="楷体" w:hAnsi="Times New Roman" w:hint="eastAsia"/>
          <w:color w:val="000000" w:themeColor="text1"/>
          <w:sz w:val="24"/>
          <w:szCs w:val="24"/>
        </w:rPr>
        <w:t>至</w:t>
      </w:r>
      <w:r w:rsidRPr="005F28F8">
        <w:rPr>
          <w:rFonts w:ascii="Times New Roman" w:eastAsia="楷体" w:hAnsi="Times New Roman" w:hint="eastAsia"/>
          <w:color w:val="000000" w:themeColor="text1"/>
          <w:sz w:val="24"/>
          <w:szCs w:val="24"/>
        </w:rPr>
        <w:t>4.207%</w:t>
      </w:r>
      <w:r w:rsidRPr="005F28F8">
        <w:rPr>
          <w:rFonts w:ascii="Times New Roman" w:eastAsia="楷体" w:hAnsi="Times New Roman" w:hint="eastAsia"/>
          <w:color w:val="000000" w:themeColor="text1"/>
          <w:sz w:val="24"/>
          <w:szCs w:val="24"/>
        </w:rPr>
        <w:t>，离岸人民币上涨</w:t>
      </w:r>
      <w:r w:rsidRPr="005F28F8">
        <w:rPr>
          <w:rFonts w:ascii="Times New Roman" w:eastAsia="楷体" w:hAnsi="Times New Roman" w:hint="eastAsia"/>
          <w:color w:val="000000" w:themeColor="text1"/>
          <w:sz w:val="24"/>
          <w:szCs w:val="24"/>
        </w:rPr>
        <w:t>16bp</w:t>
      </w:r>
      <w:r w:rsidRPr="005F28F8">
        <w:rPr>
          <w:rFonts w:ascii="Times New Roman" w:eastAsia="楷体" w:hAnsi="Times New Roman" w:hint="eastAsia"/>
          <w:color w:val="000000" w:themeColor="text1"/>
          <w:sz w:val="24"/>
          <w:szCs w:val="24"/>
        </w:rPr>
        <w:t>至</w:t>
      </w:r>
      <w:r w:rsidRPr="005F28F8">
        <w:rPr>
          <w:rFonts w:ascii="Times New Roman" w:eastAsia="楷体" w:hAnsi="Times New Roman" w:hint="eastAsia"/>
          <w:color w:val="000000" w:themeColor="text1"/>
          <w:sz w:val="24"/>
          <w:szCs w:val="24"/>
        </w:rPr>
        <w:t>7.2933</w:t>
      </w:r>
      <w:r w:rsidRPr="005F28F8">
        <w:rPr>
          <w:rFonts w:ascii="Times New Roman" w:eastAsia="楷体" w:hAnsi="Times New Roman" w:hint="eastAsia"/>
          <w:color w:val="000000" w:themeColor="text1"/>
          <w:sz w:val="24"/>
          <w:szCs w:val="24"/>
        </w:rPr>
        <w:t>。昨夜沪金、沪银窄幅震荡，中长线看多思路不变，建议沪金、沪银逢低试多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419664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4196642"/>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5F28F8" w:rsidRPr="005F28F8">
        <w:rPr>
          <w:rFonts w:ascii="楷体" w:eastAsia="楷体" w:hAnsi="楷体" w:hint="eastAsia"/>
          <w:b/>
          <w:color w:val="000000" w:themeColor="text1"/>
          <w:sz w:val="24"/>
          <w:szCs w:val="24"/>
        </w:rPr>
        <w:t>下游需求疲弱，期价或维持偏弱走势</w:t>
      </w:r>
      <w:bookmarkEnd w:id="18"/>
    </w:p>
    <w:p w:rsidR="00F50569" w:rsidRDefault="005F28F8" w:rsidP="00F50569">
      <w:pPr>
        <w:ind w:leftChars="300" w:left="630"/>
        <w:rPr>
          <w:rFonts w:ascii="楷体" w:eastAsia="楷体" w:hAnsi="楷体"/>
          <w:color w:val="000000" w:themeColor="text1"/>
          <w:sz w:val="24"/>
          <w:szCs w:val="24"/>
        </w:rPr>
      </w:pPr>
      <w:r w:rsidRPr="005F28F8">
        <w:rPr>
          <w:rFonts w:ascii="楷体" w:eastAsia="楷体" w:hAnsi="楷体" w:hint="eastAsia"/>
          <w:color w:val="000000" w:themeColor="text1"/>
          <w:sz w:val="24"/>
          <w:szCs w:val="24"/>
        </w:rPr>
        <w:t>目前碳酸锂供过于求，上游因库存维持高位而面临出货压力，挺价情绪有所减弱。下游维持去库，需求弱的预期逐步得到确认，近期现货工碳已有低于20万元/吨的成交价格出现，对于今年旺季延后甚至“旺季不旺”的担忧使得市场情绪整体趋弱。周初部分贸易商抛货带动锂价进一步下行，昨日LC2401进一步下跌破位前低支撑，一度触及跌停，最终收报185700元/吨，日内跌幅5.86%。未来下游采购量的变化将明确地反映下游需求，后续持续关注下游补库需求能否兑现，若需求未见好转，近期锂价或维持偏弱走势</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4196643"/>
      <w:r>
        <w:rPr>
          <w:rFonts w:ascii="楷体" w:eastAsia="楷体" w:hAnsi="楷体" w:hint="eastAsia"/>
          <w:b/>
          <w:color w:val="000000" w:themeColor="text1"/>
          <w:sz w:val="24"/>
          <w:szCs w:val="24"/>
        </w:rPr>
        <w:t>螺纹钢：</w:t>
      </w:r>
      <w:bookmarkEnd w:id="16"/>
      <w:bookmarkEnd w:id="17"/>
      <w:r w:rsidR="005F28F8" w:rsidRPr="005F28F8">
        <w:rPr>
          <w:rFonts w:ascii="楷体" w:eastAsia="楷体" w:hAnsi="楷体" w:hint="eastAsia"/>
          <w:b/>
          <w:color w:val="000000" w:themeColor="text1"/>
          <w:sz w:val="24"/>
          <w:szCs w:val="24"/>
        </w:rPr>
        <w:t>震荡偏弱运行，关注前低支撑情况</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5F28F8" w:rsidP="00201944">
      <w:pPr>
        <w:ind w:leftChars="300" w:left="630"/>
        <w:rPr>
          <w:rFonts w:ascii="楷体" w:eastAsia="楷体" w:hAnsi="楷体"/>
          <w:color w:val="000000" w:themeColor="text1"/>
          <w:sz w:val="24"/>
          <w:szCs w:val="24"/>
        </w:rPr>
      </w:pPr>
      <w:r w:rsidRPr="005F28F8">
        <w:rPr>
          <w:rFonts w:ascii="楷体" w:eastAsia="楷体" w:hAnsi="楷体" w:hint="eastAsia"/>
          <w:color w:val="000000" w:themeColor="text1"/>
          <w:sz w:val="24"/>
          <w:szCs w:val="24"/>
        </w:rPr>
        <w:t>昨日利好政策下股市高开低走，钢价随之冲高回落，市场成交较好，夜盘弱反弹，短期成本支撑较强，需求尚可，预计短期前底仍有支撑，预计01合约震荡区间（3650,3720）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4196644"/>
      <w:r>
        <w:rPr>
          <w:rFonts w:ascii="楷体" w:eastAsia="楷体" w:hAnsi="楷体" w:hint="eastAsia"/>
          <w:b/>
          <w:color w:val="000000" w:themeColor="text1"/>
          <w:sz w:val="24"/>
          <w:szCs w:val="24"/>
        </w:rPr>
        <w:t>焦炭：</w:t>
      </w:r>
      <w:bookmarkEnd w:id="20"/>
      <w:bookmarkEnd w:id="21"/>
      <w:r w:rsidR="005F28F8" w:rsidRPr="005F28F8">
        <w:rPr>
          <w:rFonts w:ascii="楷体" w:eastAsia="楷体" w:hAnsi="楷体" w:hint="eastAsia"/>
          <w:b/>
          <w:color w:val="000000" w:themeColor="text1"/>
          <w:sz w:val="24"/>
          <w:szCs w:val="24"/>
        </w:rPr>
        <w:t>中期调整压力较大，短期或随成偏弱材震荡</w:t>
      </w:r>
      <w:bookmarkEnd w:id="22"/>
    </w:p>
    <w:p w:rsidR="003F56A5" w:rsidRDefault="005F28F8" w:rsidP="00572E35">
      <w:pPr>
        <w:ind w:leftChars="300" w:left="630"/>
        <w:rPr>
          <w:rFonts w:ascii="楷体" w:eastAsia="楷体" w:hAnsi="楷体"/>
          <w:color w:val="000000" w:themeColor="text1"/>
          <w:sz w:val="24"/>
          <w:szCs w:val="24"/>
        </w:rPr>
      </w:pPr>
      <w:r w:rsidRPr="005F28F8">
        <w:rPr>
          <w:rFonts w:ascii="楷体" w:eastAsia="楷体" w:hAnsi="楷体" w:hint="eastAsia"/>
          <w:color w:val="000000" w:themeColor="text1"/>
          <w:sz w:val="24"/>
          <w:szCs w:val="24"/>
        </w:rPr>
        <w:t>港口现货价格偏弱，出厂价格第一提降仍在博弈，现货或处于累库周期中，价格或震荡下行。焦炭供需缺口大幅度回落，焦煤成本松动，下游价格压制下，01合约震荡区间(2150,2250)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4196645"/>
      <w:r>
        <w:rPr>
          <w:rFonts w:ascii="楷体" w:eastAsia="楷体" w:hAnsi="楷体" w:hint="eastAsia"/>
          <w:b/>
          <w:color w:val="000000" w:themeColor="text1"/>
          <w:sz w:val="24"/>
          <w:szCs w:val="24"/>
        </w:rPr>
        <w:t>焦煤：</w:t>
      </w:r>
      <w:r w:rsidR="005F28F8" w:rsidRPr="005F28F8">
        <w:rPr>
          <w:rFonts w:ascii="楷体" w:eastAsia="楷体" w:hAnsi="楷体" w:hint="eastAsia"/>
          <w:b/>
          <w:sz w:val="24"/>
          <w:szCs w:val="24"/>
        </w:rPr>
        <w:t>短期现货支撑价格中枢，随成材偏弱震荡运行，中期调整压力较大</w:t>
      </w:r>
      <w:bookmarkEnd w:id="23"/>
    </w:p>
    <w:p w:rsidR="003F56A5" w:rsidRDefault="005F28F8">
      <w:pPr>
        <w:ind w:leftChars="300" w:left="630"/>
        <w:rPr>
          <w:rFonts w:ascii="楷体" w:eastAsia="楷体" w:hAnsi="楷体"/>
          <w:bCs/>
          <w:sz w:val="24"/>
          <w:szCs w:val="24"/>
        </w:rPr>
      </w:pPr>
      <w:r w:rsidRPr="005F28F8">
        <w:rPr>
          <w:rFonts w:ascii="楷体" w:eastAsia="楷体" w:hAnsi="楷体" w:hint="eastAsia"/>
          <w:sz w:val="24"/>
          <w:szCs w:val="24"/>
        </w:rPr>
        <w:lastRenderedPageBreak/>
        <w:t>短期现货价格回落幅度有限，09合约交割前或偏震荡运行，01合约价差修复后，短期或高位震荡运行，中期煤矿复产压力或推动01价格震荡回落。主焦煤价格开始回落，01合约或在（1460，1520）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4196646"/>
      <w:r>
        <w:rPr>
          <w:rFonts w:ascii="楷体" w:eastAsia="楷体" w:hAnsi="楷体" w:hint="eastAsia"/>
          <w:b/>
          <w:color w:val="000000" w:themeColor="text1"/>
          <w:sz w:val="24"/>
          <w:szCs w:val="24"/>
        </w:rPr>
        <w:t>铜：</w:t>
      </w:r>
      <w:bookmarkEnd w:id="24"/>
      <w:bookmarkEnd w:id="25"/>
      <w:r w:rsidR="005F28F8" w:rsidRPr="005F28F8">
        <w:rPr>
          <w:rFonts w:ascii="楷体" w:eastAsia="楷体" w:hAnsi="楷体" w:hint="eastAsia"/>
          <w:b/>
          <w:color w:val="000000" w:themeColor="text1"/>
          <w:sz w:val="24"/>
          <w:szCs w:val="24"/>
        </w:rPr>
        <w:t>区间内震荡偏多运行</w:t>
      </w:r>
      <w:bookmarkEnd w:id="26"/>
    </w:p>
    <w:p w:rsidR="005F28F8" w:rsidRPr="005F28F8" w:rsidRDefault="005F28F8" w:rsidP="005F28F8">
      <w:pPr>
        <w:ind w:leftChars="300" w:left="630"/>
        <w:rPr>
          <w:rFonts w:ascii="楷体" w:eastAsia="楷体" w:hAnsi="楷体" w:hint="eastAsia"/>
          <w:color w:val="000000" w:themeColor="text1"/>
          <w:sz w:val="24"/>
          <w:szCs w:val="24"/>
        </w:rPr>
      </w:pPr>
      <w:r w:rsidRPr="005F28F8">
        <w:rPr>
          <w:rFonts w:ascii="楷体" w:eastAsia="楷体" w:hAnsi="楷体" w:hint="eastAsia"/>
          <w:color w:val="000000" w:themeColor="text1"/>
          <w:sz w:val="24"/>
          <w:szCs w:val="24"/>
        </w:rPr>
        <w:t>(1)库存：8月28日，SHFE仓单库存8261吨，减1499吨；LME昨日休市。</w:t>
      </w:r>
    </w:p>
    <w:p w:rsidR="005F28F8" w:rsidRPr="005F28F8" w:rsidRDefault="005F28F8" w:rsidP="005F28F8">
      <w:pPr>
        <w:ind w:leftChars="300" w:left="630"/>
        <w:rPr>
          <w:rFonts w:ascii="楷体" w:eastAsia="楷体" w:hAnsi="楷体" w:hint="eastAsia"/>
          <w:color w:val="000000" w:themeColor="text1"/>
          <w:sz w:val="24"/>
          <w:szCs w:val="24"/>
        </w:rPr>
      </w:pPr>
      <w:r w:rsidRPr="005F28F8">
        <w:rPr>
          <w:rFonts w:ascii="楷体" w:eastAsia="楷体" w:hAnsi="楷体" w:hint="eastAsia"/>
          <w:color w:val="000000" w:themeColor="text1"/>
          <w:sz w:val="24"/>
          <w:szCs w:val="24"/>
        </w:rPr>
        <w:t>(2)精废价差：8月28日，Mysteel精废价差1398，扩大174。目前价差在合理价差1396之上。</w:t>
      </w:r>
    </w:p>
    <w:p w:rsidR="005F28F8" w:rsidRPr="005F28F8" w:rsidRDefault="005F28F8" w:rsidP="005F28F8">
      <w:pPr>
        <w:rPr>
          <w:rFonts w:ascii="楷体" w:eastAsia="楷体" w:hAnsi="楷体" w:hint="eastAsia"/>
          <w:color w:val="000000" w:themeColor="text1"/>
          <w:sz w:val="24"/>
          <w:szCs w:val="24"/>
        </w:rPr>
      </w:pPr>
    </w:p>
    <w:p w:rsidR="00127803" w:rsidRPr="00127803" w:rsidRDefault="005F28F8" w:rsidP="005F28F8">
      <w:pPr>
        <w:ind w:leftChars="300" w:left="630"/>
        <w:rPr>
          <w:rFonts w:ascii="楷体" w:eastAsia="楷体" w:hAnsi="楷体"/>
          <w:color w:val="000000" w:themeColor="text1"/>
          <w:sz w:val="24"/>
          <w:szCs w:val="24"/>
        </w:rPr>
      </w:pPr>
      <w:r w:rsidRPr="005F28F8">
        <w:rPr>
          <w:rFonts w:ascii="楷体" w:eastAsia="楷体" w:hAnsi="楷体" w:hint="eastAsia"/>
          <w:color w:val="000000" w:themeColor="text1"/>
          <w:sz w:val="24"/>
          <w:szCs w:val="24"/>
        </w:rPr>
        <w:t>综述：鲍威尔在周五 Jackson Hole上的发言总体中性偏鹰。他警告通胀依旧过高，明确指出“若经济和就业市场不降温会继续加息”，美元指数维持强势对铜价仍有压力，国内地产政策和化债都在进一步推进的情况下，对市场信心仍有提振，国内传统旺季下的需求增量预期及现实验证是影响当下行情的主要因素，短期驱动不明显，铜价震荡格局或难打破，周内沪铜主力波动区间参考68000-70000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4196647"/>
      <w:r>
        <w:rPr>
          <w:rFonts w:ascii="楷体" w:eastAsia="楷体" w:hAnsi="楷体" w:hint="eastAsia"/>
          <w:b/>
          <w:color w:val="000000" w:themeColor="text1"/>
          <w:sz w:val="24"/>
          <w:szCs w:val="24"/>
        </w:rPr>
        <w:t>铝：</w:t>
      </w:r>
      <w:bookmarkEnd w:id="27"/>
      <w:bookmarkEnd w:id="28"/>
      <w:r w:rsidR="005F28F8" w:rsidRPr="005F28F8">
        <w:rPr>
          <w:rFonts w:ascii="楷体" w:eastAsia="楷体" w:hAnsi="楷体" w:hint="eastAsia"/>
          <w:b/>
          <w:color w:val="000000" w:themeColor="text1"/>
          <w:sz w:val="24"/>
          <w:szCs w:val="24"/>
        </w:rPr>
        <w:t>铝价保持震荡偏强态势</w:t>
      </w:r>
      <w:bookmarkEnd w:id="29"/>
    </w:p>
    <w:p w:rsidR="003F56A5" w:rsidRDefault="005F28F8" w:rsidP="00127803">
      <w:pPr>
        <w:ind w:leftChars="300" w:left="630"/>
        <w:rPr>
          <w:rFonts w:ascii="楷体" w:eastAsia="楷体" w:hAnsi="楷体"/>
          <w:color w:val="000000" w:themeColor="text1"/>
          <w:sz w:val="24"/>
          <w:szCs w:val="24"/>
        </w:rPr>
      </w:pPr>
      <w:r w:rsidRPr="005F28F8">
        <w:rPr>
          <w:rFonts w:ascii="楷体" w:eastAsia="楷体" w:hAnsi="楷体" w:hint="eastAsia"/>
          <w:color w:val="000000" w:themeColor="text1"/>
          <w:sz w:val="24"/>
          <w:szCs w:val="24"/>
        </w:rPr>
        <w:t>美联储主席在全球央行行长年会上发言偏鹰，海外经济仍存衰退风险，国内央行公布8月LPR下降10个基点，房地产信贷优化政策逐步出台，证券交易印花税减半，市场情绪预期受到提振。云南复产逐步走入尾声，电解铝运行产能持续增长，预计8月底前国内运行产能可至4270万吨左右，内外价差扭转，进口盈利窗口打开，部分地区进口货源走增但多为在途，交易所及社库库存维持低位，需求端来看，国内铝下游开工整体平稳，铝价近期走升抑制下游采购补库需求，建材订单表现平平，工业材订单排产较好。宏观情绪多变，在基本面供应承压、需求未有明显改善情况之下，预计价格仍在18000-19500区间震荡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4196648"/>
      <w:r>
        <w:rPr>
          <w:rFonts w:ascii="楷体" w:eastAsia="楷体" w:hAnsi="楷体" w:hint="eastAsia"/>
          <w:b/>
          <w:color w:val="000000" w:themeColor="text1"/>
          <w:sz w:val="24"/>
          <w:szCs w:val="24"/>
        </w:rPr>
        <w:t>锌：</w:t>
      </w:r>
      <w:r w:rsidR="005F28F8" w:rsidRPr="005F28F8">
        <w:rPr>
          <w:rFonts w:ascii="楷体" w:eastAsia="楷体" w:hAnsi="楷体" w:hint="eastAsia"/>
          <w:b/>
          <w:color w:val="000000" w:themeColor="text1"/>
          <w:sz w:val="24"/>
          <w:szCs w:val="24"/>
        </w:rPr>
        <w:t>锌价偏强震荡运行</w:t>
      </w:r>
      <w:bookmarkEnd w:id="30"/>
    </w:p>
    <w:p w:rsidR="003F56A5" w:rsidRDefault="005F28F8" w:rsidP="000B0648">
      <w:pPr>
        <w:ind w:leftChars="300" w:left="630"/>
        <w:rPr>
          <w:rFonts w:ascii="楷体" w:eastAsia="楷体" w:hAnsi="楷体"/>
          <w:color w:val="000000" w:themeColor="text1"/>
          <w:sz w:val="24"/>
          <w:szCs w:val="24"/>
        </w:rPr>
      </w:pPr>
      <w:r w:rsidRPr="005F28F8">
        <w:rPr>
          <w:rFonts w:ascii="楷体" w:eastAsia="楷体" w:hAnsi="楷体" w:hint="eastAsia"/>
          <w:color w:val="000000" w:themeColor="text1"/>
          <w:sz w:val="24"/>
          <w:szCs w:val="24"/>
        </w:rPr>
        <w:t>鲍威尔在全球央行会议发言偏鹰，国内股市释放利好，推出房地产利多消费政策，宏观情绪仍有支撑。国内矿端供应宽松偏稳，冶炼方面除常规检修和湖南地区临时检修以外，其他地区正常开产，锌市目前现货偏紧导致市场价格升水，进口锌锭持续补充。需求来看，下游企业逢低采买，但加工企业开工率暂无明显改善。伦锌库存但累库幅度有所放缓，部分隐性库存持续显性化，海内外库存维持去库，社会库存低位去库。短期在低库存叠加未来消费改善预期影响之下，锌价在2w上方偏强震荡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4196649"/>
      <w:r>
        <w:rPr>
          <w:rFonts w:ascii="楷体" w:eastAsia="楷体" w:hAnsi="楷体" w:hint="eastAsia"/>
          <w:b/>
          <w:color w:val="000000" w:themeColor="text1"/>
          <w:sz w:val="24"/>
          <w:szCs w:val="24"/>
        </w:rPr>
        <w:t>镍：</w:t>
      </w:r>
      <w:r w:rsidR="005F28F8" w:rsidRPr="005F28F8">
        <w:rPr>
          <w:rFonts w:ascii="楷体" w:eastAsia="楷体" w:hAnsi="楷体" w:hint="eastAsia"/>
          <w:b/>
          <w:color w:val="000000" w:themeColor="text1"/>
          <w:sz w:val="24"/>
          <w:szCs w:val="24"/>
        </w:rPr>
        <w:t>基本面偏弱，但低库存及成本支撑仍在</w:t>
      </w:r>
      <w:bookmarkEnd w:id="31"/>
    </w:p>
    <w:p w:rsidR="003F56A5" w:rsidRDefault="005F28F8">
      <w:pPr>
        <w:ind w:leftChars="300" w:left="630"/>
        <w:rPr>
          <w:rFonts w:ascii="楷体" w:eastAsia="楷体" w:hAnsi="楷体"/>
          <w:color w:val="000000" w:themeColor="text1"/>
          <w:sz w:val="24"/>
          <w:szCs w:val="24"/>
        </w:rPr>
      </w:pPr>
      <w:r w:rsidRPr="005F28F8">
        <w:rPr>
          <w:rFonts w:ascii="楷体" w:eastAsia="楷体" w:hAnsi="楷体" w:hint="eastAsia"/>
          <w:color w:val="000000" w:themeColor="text1"/>
          <w:sz w:val="24"/>
          <w:szCs w:val="24"/>
        </w:rPr>
        <w:t>宏观方面，国内放出超预期利好政策，包括降印花税、收紧IPO、严控减持、调降融资保证金，有助于活跃资本市场，提振市场信心；海外方面，美联储主席鲍威尔在全球央行年会中表示如有必要将进一步加息，其发言难掩鹰派本色。成本端来看，受近期印尼镍矿配额签发事件影响，镍矿供应担忧情绪蔓延，且工厂在雨季来临前对镍矿的备库需求较强烈，目前存在加价询购镍矿的情况，矿端价格易涨难跌，一定程度上拉升整个镍产业链的成本。需求端来看，合金需求偏刚需；新能源汽车7月数据不佳，但</w:t>
      </w:r>
      <w:r w:rsidRPr="005F28F8">
        <w:rPr>
          <w:rFonts w:ascii="楷体" w:eastAsia="楷体" w:hAnsi="楷体" w:hint="eastAsia"/>
          <w:color w:val="000000" w:themeColor="text1"/>
          <w:sz w:val="24"/>
          <w:szCs w:val="24"/>
        </w:rPr>
        <w:lastRenderedPageBreak/>
        <w:t>乘联会在上周四表示初步推算八月新能源汽车零售70万辆左右，环比9.2%，同比增长31.5%，渗透率约37.8%，反映新能源终端需求有所好转；不锈钢即将进入季节性旺季，但下游成交偏平淡，需求增量预期等待市场验证。供应端来看，中间品和纯镍的产量逐步爬坡，且印尼精炼镍新项目投产，中长期镍供应显著过剩预期愈加明晰，镍价上行空间有限。海内外库存仍处于历史低位，为镍价提供支撑。俄镍现货出现贴水报价，反映现货价低于近月期货价。综合来看，印尼镍矿供应事件抬升镍产业链成本，库存历史低位的支撑作用仍在，基本面偏弱，震荡运行为主</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4196650"/>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1B0610" w:rsidRPr="001B0610">
        <w:rPr>
          <w:rFonts w:ascii="楷体" w:eastAsia="楷体" w:hAnsi="楷体" w:hint="eastAsia"/>
          <w:b/>
          <w:color w:val="000000" w:themeColor="text1"/>
          <w:sz w:val="24"/>
          <w:szCs w:val="24"/>
        </w:rPr>
        <w:t>成本支撑较强，或高位震荡</w:t>
      </w:r>
      <w:bookmarkEnd w:id="32"/>
    </w:p>
    <w:p w:rsidR="008B13D2" w:rsidRPr="008B13D2" w:rsidRDefault="001B0610" w:rsidP="008B13D2">
      <w:pPr>
        <w:ind w:leftChars="300" w:left="630"/>
        <w:rPr>
          <w:rFonts w:ascii="楷体" w:eastAsia="楷体" w:hAnsi="楷体"/>
          <w:color w:val="000000" w:themeColor="text1"/>
          <w:sz w:val="24"/>
          <w:szCs w:val="24"/>
        </w:rPr>
      </w:pPr>
      <w:r w:rsidRPr="001B0610">
        <w:rPr>
          <w:rFonts w:ascii="楷体" w:eastAsia="楷体" w:hAnsi="楷体" w:hint="eastAsia"/>
          <w:color w:val="000000" w:themeColor="text1"/>
          <w:sz w:val="24"/>
          <w:szCs w:val="24"/>
        </w:rPr>
        <w:t>成本端来看，铅精矿维持短缺，原材料供应整体上呈紧张局面，对铅价提供较强的支撑作用。供应端来看，原生铅开工率有所下滑；受废电瓶高价影响，再生铅供应无明显增量。需求端来看，铅酸蓄电池终端消费需求疲弱，不过传统销售旺季增量预期走强。8月期货合约平稳交割，社库近期呈累库态势。整体而言，暂无明显供应压力，传统旺季增消费量预期走强，成本提供有力支撑，沪铅短期或高位震荡</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4196651"/>
      <w:r>
        <w:rPr>
          <w:rFonts w:ascii="楷体" w:eastAsia="楷体" w:hAnsi="楷体" w:hint="eastAsia"/>
          <w:b/>
          <w:color w:val="000000" w:themeColor="text1"/>
          <w:sz w:val="24"/>
          <w:szCs w:val="24"/>
        </w:rPr>
        <w:t>不锈钢：</w:t>
      </w:r>
      <w:r w:rsidR="005F28F8" w:rsidRPr="005F28F8">
        <w:rPr>
          <w:rFonts w:ascii="楷体" w:eastAsia="楷体" w:hAnsi="楷体" w:hint="eastAsia"/>
          <w:b/>
          <w:color w:val="000000" w:themeColor="text1"/>
          <w:sz w:val="24"/>
          <w:szCs w:val="24"/>
        </w:rPr>
        <w:t>成本支撑较强，关注消费旺季增量预期能否兑现</w:t>
      </w:r>
      <w:bookmarkEnd w:id="33"/>
    </w:p>
    <w:p w:rsidR="003F56A5" w:rsidRDefault="005F28F8">
      <w:pPr>
        <w:ind w:leftChars="300" w:left="630"/>
        <w:rPr>
          <w:rFonts w:ascii="楷体" w:eastAsia="楷体" w:hAnsi="楷体"/>
          <w:color w:val="000000" w:themeColor="text1"/>
          <w:sz w:val="24"/>
          <w:szCs w:val="24"/>
        </w:rPr>
      </w:pPr>
      <w:r w:rsidRPr="005F28F8">
        <w:rPr>
          <w:rFonts w:ascii="楷体" w:eastAsia="楷体" w:hAnsi="楷体" w:hint="eastAsia"/>
          <w:color w:val="000000" w:themeColor="text1"/>
          <w:sz w:val="24"/>
          <w:szCs w:val="24"/>
        </w:rPr>
        <w:t>成本端，近日印尼开展矿端廉政调查，镍矿生产配额签发受到影响，加上目前处于雨季前的备库期，镍矿供应担忧情绪较浓，许多工厂加价询购镍矿，Mysteel公布8月28日的高镍铁到厂含税指数价为1181.4元/镍，预计镍铁价格短期内高位企稳；铬系市场强势运行，高碳铬铁价格较坚挺。供应端，不锈钢处于高位排产。需求端，由于近期不锈钢现货价连续上涨，下游对高价接受程度不佳，成交氛围较平淡，金九银十的不锈钢传统旺季即将到来，关注消费旺季增量预期能否兑现。库存方面，据钢联数据显示，全国主流市场不锈钢总社会库存呈明显去库。综合来看，在印尼镍矿RKAB签发恢复之前，成本端为不锈钢价提供较强支撑，传统消费旺季增量预期等待市场验证，预计短期震荡运行，关注16200压力位</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4196652"/>
      <w:r>
        <w:rPr>
          <w:rFonts w:ascii="楷体" w:eastAsia="楷体" w:hAnsi="楷体" w:hint="eastAsia"/>
          <w:b/>
          <w:color w:val="000000" w:themeColor="text1"/>
          <w:sz w:val="24"/>
          <w:szCs w:val="24"/>
        </w:rPr>
        <w:t>工业硅：</w:t>
      </w:r>
      <w:r w:rsidR="005F28F8" w:rsidRPr="005F28F8">
        <w:rPr>
          <w:rFonts w:ascii="楷体" w:eastAsia="楷体" w:hAnsi="楷体" w:hint="eastAsia"/>
          <w:b/>
          <w:sz w:val="24"/>
          <w:szCs w:val="24"/>
        </w:rPr>
        <w:t>需求改善预期仍存，短期下行空间或有限</w:t>
      </w:r>
      <w:bookmarkEnd w:id="34"/>
    </w:p>
    <w:p w:rsidR="003F56A5" w:rsidRDefault="005F28F8" w:rsidP="00827E8A">
      <w:pPr>
        <w:ind w:leftChars="300" w:left="630"/>
        <w:rPr>
          <w:rFonts w:ascii="楷体" w:eastAsia="楷体" w:hAnsi="楷体"/>
          <w:sz w:val="24"/>
          <w:szCs w:val="24"/>
        </w:rPr>
      </w:pPr>
      <w:r w:rsidRPr="005F28F8">
        <w:rPr>
          <w:rFonts w:ascii="楷体" w:eastAsia="楷体" w:hAnsi="楷体" w:hint="eastAsia"/>
          <w:sz w:val="24"/>
          <w:szCs w:val="24"/>
        </w:rPr>
        <w:t>8月28日，Si2310主力合约呈下行走势，收盘价13420元/吨，较上一收盘价涨跌幅-2.72%。从商品市场来看，自6月份开始大宗商品整体出现较为明显一轮反弹走势，近期宏观情绪转弱，使得反弹动能已明显减弱，而工业硅作为基本面较弱品种，使得调整幅度相对较大;从基本面来看， 一方面，部分检修的有机硅单体厂计划月底将重启装置、恢复生产，或将增加对工业硅采购需求；另一方面，多晶硅厂目前库存相对低位，市场也持续反弹，叠加新增产能即将投产，存在采购工业硅备货需求。整体来看，虽然当下需求整体偏弱，但市场对需求存在改善预期，叠加工厂库存偏低，预计市场持续下行空间有限。策略上，谨慎资金暂时观望，激进资金可逢低试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419665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4196654"/>
      <w:r>
        <w:rPr>
          <w:rFonts w:ascii="Times New Roman" w:eastAsia="楷体" w:hAnsi="Times New Roman" w:hint="eastAsia"/>
          <w:b/>
          <w:color w:val="000000" w:themeColor="text1"/>
          <w:sz w:val="24"/>
          <w:szCs w:val="24"/>
        </w:rPr>
        <w:lastRenderedPageBreak/>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5F28F8" w:rsidRPr="005F28F8">
        <w:rPr>
          <w:rFonts w:ascii="楷体" w:eastAsia="楷体" w:hAnsi="楷体" w:hint="eastAsia"/>
          <w:b/>
          <w:sz w:val="24"/>
          <w:szCs w:val="24"/>
        </w:rPr>
        <w:t>看多情绪升温 天胶维持偏强震荡</w:t>
      </w:r>
      <w:bookmarkEnd w:id="37"/>
    </w:p>
    <w:p w:rsidR="003F56A5" w:rsidRDefault="005F28F8">
      <w:pPr>
        <w:ind w:leftChars="300" w:left="630"/>
        <w:rPr>
          <w:rFonts w:ascii="楷体" w:eastAsia="楷体" w:hAnsi="楷体"/>
          <w:sz w:val="24"/>
          <w:szCs w:val="24"/>
        </w:rPr>
      </w:pPr>
      <w:r w:rsidRPr="005F28F8">
        <w:rPr>
          <w:rFonts w:ascii="楷体" w:eastAsia="楷体" w:hAnsi="楷体" w:hint="eastAsia"/>
          <w:sz w:val="24"/>
          <w:szCs w:val="24"/>
        </w:rPr>
        <w:t>点评：供给端，尽管全球即将进入季节性增产阶段，但近期主产区泰国、越南受到降雨干扰，割胶工作开展受限，原料产出维持偏少状态，加之乳胶制品需求回暖拉涨原料价格，对胶价存一定支撑。中游库存反复变动，绝对值仍处高位，但本周呈现小幅去库，提振市场信心。需求端来看，下游轮胎企业开工率半钢胎好于全钢胎，国内稳经济政策将有利于轮胎替换及配套需求的改善。此外，半钢胎外贸雪地胎需求旺盛，将进一步支撑半钢胎开工率高位运行。前期检修的全钢胎厂目前也恢复生产，因此近两周全钢胎开工率提升明显。但目前整体轮胎内销市场整体出货偏慢，因此短期轮胎厂开工率继续提升的空间有限。终端汽车方面，7月数据同环比均有所走弱，但仍处于近十年同期次高位。整体看，橡胶供应压力小幅缓解，下游轮胎排产顺畅，国内深色胶库存延续去库。短期天然橡胶市场看多情绪升温或稳中偏强运行</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4196655"/>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5F28F8" w:rsidRPr="005F28F8">
        <w:rPr>
          <w:rFonts w:ascii="楷体" w:eastAsia="楷体" w:hAnsi="楷体" w:hint="eastAsia"/>
          <w:b/>
          <w:color w:val="000000" w:themeColor="text1"/>
          <w:sz w:val="24"/>
          <w:szCs w:val="24"/>
        </w:rPr>
        <w:t>低加工费及成本端支撑仍偏强</w:t>
      </w:r>
      <w:bookmarkEnd w:id="38"/>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5F28F8" w:rsidP="002C73FE">
      <w:pPr>
        <w:ind w:leftChars="300" w:left="630"/>
        <w:rPr>
          <w:rFonts w:ascii="楷体" w:eastAsia="楷体" w:hAnsi="楷体"/>
          <w:color w:val="000000" w:themeColor="text1"/>
          <w:sz w:val="24"/>
          <w:szCs w:val="24"/>
        </w:rPr>
      </w:pPr>
      <w:r w:rsidRPr="005F28F8">
        <w:rPr>
          <w:rFonts w:ascii="楷体" w:eastAsia="楷体" w:hAnsi="楷体" w:hint="eastAsia"/>
          <w:color w:val="000000" w:themeColor="text1"/>
          <w:sz w:val="24"/>
          <w:szCs w:val="24"/>
        </w:rPr>
        <w:t>原油方面，受成品端的利好支撑及宏观情绪改善驱动油价走强，但需留意加息预期升温后对宏观情绪的利空风险。 PTA供给方面，百宏250万吨，英力士235万吨，中泰120万吨装置提负，蓬威90万吨装置重启，PTA负荷上涨至82.2%附近（+3.3%）附近。需求方面，本周聚酯装置负荷基本持稳，截至8.25，初步核算国内大陆地区聚酯负荷仍在92.8%高位。市场对9-10月份旺季有预期，低库存下预计近期聚酯不会轻易减停产。而前期因上游原料成本走高导致减产的长丝和切片企业后期存负荷提升预期。展望后市，三季度旺季预期或值得期待。四季度投产压力或集中释放，PTA有望走出先高后低的局面，关注波段变化。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4196656"/>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40" w:name="_Toc144196657"/>
      <w:r>
        <w:rPr>
          <w:rFonts w:ascii="楷体" w:eastAsia="楷体" w:hAnsi="楷体" w:hint="eastAsia"/>
          <w:b/>
          <w:color w:val="000000" w:themeColor="text1"/>
          <w:sz w:val="24"/>
          <w:szCs w:val="24"/>
        </w:rPr>
        <w:t>聚烯烃：</w:t>
      </w:r>
      <w:r w:rsidR="00782EFA" w:rsidRPr="00782EFA">
        <w:rPr>
          <w:rFonts w:ascii="楷体" w:eastAsia="楷体" w:hAnsi="楷体" w:hint="eastAsia"/>
          <w:b/>
          <w:color w:val="000000" w:themeColor="text1"/>
          <w:sz w:val="24"/>
          <w:szCs w:val="24"/>
        </w:rPr>
        <w:t>下游开工下降，聚烯烃或偏弱整理</w:t>
      </w:r>
      <w:bookmarkEnd w:id="40"/>
    </w:p>
    <w:p w:rsidR="003F56A5" w:rsidRDefault="00782EFA">
      <w:pPr>
        <w:ind w:leftChars="300" w:left="630"/>
        <w:rPr>
          <w:rFonts w:ascii="楷体" w:eastAsia="楷体" w:hAnsi="楷体"/>
          <w:bCs/>
          <w:sz w:val="24"/>
          <w:szCs w:val="24"/>
        </w:rPr>
      </w:pPr>
      <w:r w:rsidRPr="00782EFA">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w:t>
      </w:r>
      <w:r w:rsidRPr="00782EFA">
        <w:rPr>
          <w:rFonts w:ascii="楷体" w:eastAsia="楷体" w:hAnsi="楷体" w:hint="eastAsia"/>
          <w:color w:val="000000" w:themeColor="text1"/>
          <w:sz w:val="24"/>
          <w:szCs w:val="24"/>
        </w:rPr>
        <w:lastRenderedPageBreak/>
        <w:t>呈现去库速度放缓。成本方面，花旗集团暗示欧佩克可能需要进一步减产为市场带来提振，欧洲柴油库存下降原油期货反弹，但有报道称美国可能放松对委内瑞拉石油制裁以及对能源需求前景的持续担忧限制了油价涨势，欧美原油期货微幅收涨。需求方面，PE下游方面，农膜整体需求平平，工厂生产清淡。棚膜工厂多停机检修；PP下游方面，BOPP市场成交刚需有量，整体量较上一交易日增加，BOPP企业未交付订单多数在一周以内，个别可至八月中。综合来看，PE方面，国内石化装置检修减少，聚乙烯产能利用率不断提升，供应陆续增加，国内需求进入传统旺季，下游工厂订单增加，但开工率提升缓慢，工厂采购心态谨慎，多根据订单按需采购，供需矛盾预期扩大，市场有向下回调预期，预计今日PE弱势整理为主。PP方面，国际油价窄幅波动，成本支撑稳定。检修损失量大幅减少，产能利用率环比提升，市场供应承压。下游行业平均开工下降，工厂对高价货源存抵触情绪，需求跟进不足。多重利空之下，今日PP或偏弱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4196658"/>
      <w:r>
        <w:rPr>
          <w:rFonts w:ascii="楷体" w:eastAsia="楷体" w:hAnsi="楷体" w:hint="eastAsia"/>
          <w:b/>
          <w:color w:val="000000" w:themeColor="text1"/>
          <w:sz w:val="24"/>
          <w:szCs w:val="24"/>
        </w:rPr>
        <w:t>MEG：</w:t>
      </w:r>
      <w:r w:rsidR="005F28F8" w:rsidRPr="005F28F8">
        <w:rPr>
          <w:rFonts w:ascii="楷体" w:eastAsia="楷体" w:hAnsi="楷体" w:hint="eastAsia"/>
          <w:b/>
          <w:color w:val="000000" w:themeColor="text1"/>
          <w:sz w:val="24"/>
          <w:szCs w:val="24"/>
        </w:rPr>
        <w:t>成本提振但高库存压制反弹空间</w:t>
      </w:r>
      <w:bookmarkEnd w:id="41"/>
    </w:p>
    <w:p w:rsidR="003F56A5" w:rsidRDefault="005F28F8" w:rsidP="00115EEA">
      <w:pPr>
        <w:ind w:leftChars="300" w:left="630"/>
        <w:rPr>
          <w:rFonts w:ascii="楷体" w:eastAsia="楷体" w:hAnsi="楷体"/>
          <w:color w:val="000000" w:themeColor="text1"/>
          <w:sz w:val="24"/>
          <w:szCs w:val="24"/>
        </w:rPr>
      </w:pPr>
      <w:r w:rsidRPr="005F28F8">
        <w:rPr>
          <w:rFonts w:ascii="楷体" w:eastAsia="楷体" w:hAnsi="楷体" w:hint="eastAsia"/>
          <w:color w:val="000000" w:themeColor="text1"/>
          <w:sz w:val="24"/>
          <w:szCs w:val="24"/>
        </w:rPr>
        <w:t>据隆众资讯，8.24华东主港地区MEG港口库存约107.74万吨附近，环比上期增加1.49万吨。截至8月24日，中国大陆地区乙二醇整体开工负荷在64.97%（+1.24%），其中煤制乙二醇开工负荷在62.43%（+2.08%）。</w:t>
      </w:r>
      <w:r w:rsidRPr="005F28F8">
        <w:rPr>
          <w:rFonts w:ascii="Calibri" w:eastAsia="楷体" w:hAnsi="Calibri" w:cs="Calibri"/>
          <w:color w:val="000000" w:themeColor="text1"/>
          <w:sz w:val="24"/>
          <w:szCs w:val="24"/>
        </w:rPr>
        <w:t> </w:t>
      </w:r>
      <w:r w:rsidRPr="005F28F8">
        <w:rPr>
          <w:rFonts w:ascii="楷体" w:eastAsia="楷体" w:hAnsi="楷体" w:hint="eastAsia"/>
          <w:color w:val="000000" w:themeColor="text1"/>
          <w:sz w:val="24"/>
          <w:szCs w:val="24"/>
        </w:rPr>
        <w:t>目前盛虹炼化1#仍在提负中，榆林化学单线将恢复运行，国内开工仍有上行空间，整体供应表现宽松。聚酯下游方面，截至8.25，初步核算国内大陆地区聚酯负荷在92.8%附近。终端开工小幅提升，江浙加弹综合开工率78%，江浙织机综合开工率71%（+1%），江浙印染综合开工率77%。展望后市，原油价格走低但煤炭价格高位，乙二醇成本支撑力度仍强。聚酯开工高位维持及估值偏低但高供应及高库存压制盘面反弹空间，多单波多操作。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4196659"/>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5F28F8" w:rsidRPr="005F28F8">
        <w:rPr>
          <w:rFonts w:ascii="楷体" w:eastAsia="楷体" w:hAnsi="楷体" w:hint="eastAsia"/>
          <w:b/>
          <w:color w:val="000000" w:themeColor="text1"/>
          <w:sz w:val="24"/>
          <w:szCs w:val="24"/>
        </w:rPr>
        <w:t>周末产销回落，震荡偏弱</w:t>
      </w:r>
      <w:bookmarkEnd w:id="42"/>
    </w:p>
    <w:p w:rsidR="00A71A7E" w:rsidRDefault="005F28F8" w:rsidP="001F79C6">
      <w:pPr>
        <w:ind w:leftChars="300" w:left="630"/>
        <w:rPr>
          <w:rFonts w:ascii="楷体" w:eastAsia="楷体" w:hAnsi="楷体"/>
          <w:color w:val="000000" w:themeColor="text1"/>
          <w:sz w:val="24"/>
          <w:szCs w:val="24"/>
        </w:rPr>
      </w:pPr>
      <w:r w:rsidRPr="005F28F8">
        <w:rPr>
          <w:rFonts w:ascii="楷体" w:eastAsia="楷体" w:hAnsi="楷体" w:hint="eastAsia"/>
          <w:color w:val="000000" w:themeColor="text1"/>
          <w:sz w:val="24"/>
          <w:szCs w:val="24"/>
        </w:rPr>
        <w:t>隆众资讯8月28日报道：今日浮法玻璃现货价格2010元/吨，较上一交易日下降10元/吨周末各区域平均产销回落到75%左右，现货价格回落，华北沙河和华中湖北部分厂家降价优惠，其余地区稳价。供给端，前期闷炉产线恢复后，产量回到16.9万吨/日；需求端，下游阶段性补库告一段落，预计周内延续累库。玻璃当前处于旺季过渡期，基本面走弱，后续旺季预期暂且无法证伪，价格松动后，盘面区间震荡，短期偏弱</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4196660"/>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5F28F8" w:rsidRPr="005F28F8">
        <w:rPr>
          <w:rFonts w:ascii="楷体" w:eastAsia="楷体" w:hAnsi="楷体" w:hint="eastAsia"/>
          <w:b/>
          <w:color w:val="000000" w:themeColor="text1"/>
          <w:sz w:val="24"/>
          <w:szCs w:val="24"/>
        </w:rPr>
        <w:t>临近交割近强远弱明显，注意尾部风险谨慎参与</w:t>
      </w:r>
      <w:bookmarkEnd w:id="43"/>
    </w:p>
    <w:p w:rsidR="00A71A7E" w:rsidRDefault="005F28F8" w:rsidP="00A71A7E">
      <w:pPr>
        <w:ind w:leftChars="300" w:left="630"/>
        <w:rPr>
          <w:rFonts w:ascii="楷体" w:eastAsia="楷体" w:hAnsi="楷体"/>
          <w:bCs/>
          <w:sz w:val="24"/>
          <w:szCs w:val="24"/>
        </w:rPr>
      </w:pPr>
      <w:r w:rsidRPr="005F28F8">
        <w:rPr>
          <w:rFonts w:ascii="楷体" w:eastAsia="楷体" w:hAnsi="楷体" w:hint="eastAsia"/>
          <w:color w:val="000000" w:themeColor="text1"/>
          <w:sz w:val="24"/>
          <w:szCs w:val="24"/>
        </w:rPr>
        <w:t>今日纯碱价格上涨，重碱华南最高报价3500元/吨，华北、西南最低报价3000元/吨，临近月底价格延续上涨。供给方面，下周检修装置开停并存，远兴和金山化工投产上量较慢，预计产量波动在56-57万吨左右。库存上，截止到2023年8月24日，本周国内纯碱厂家总库存14.60万吨，环比下降1.87万吨，下降11.35%，库存不断新低。需求方面，碱厂订单充足，排单到下月中旬，现货极端短缺，玻璃企业纯碱库存已经一周左右，随着玻璃企业纯碱安全库存下降，有一定概率引发下游玻璃企业补充纯碱备货。后期关注重点在于 1.下游采购的积极性与下月最终订单报价，2. 随着金山和远兴投产上量，9月中旬能否看到纯碱累库拐点，盘面上，月底最后</w:t>
      </w:r>
      <w:r w:rsidRPr="005F28F8">
        <w:rPr>
          <w:rFonts w:ascii="楷体" w:eastAsia="楷体" w:hAnsi="楷体" w:hint="eastAsia"/>
          <w:color w:val="000000" w:themeColor="text1"/>
          <w:sz w:val="24"/>
          <w:szCs w:val="24"/>
        </w:rPr>
        <w:lastRenderedPageBreak/>
        <w:t>三个交易日，近强远弱明显，现货强支撑下，日内振幅加剧，消息上小作文较多，多空博弈平仓离场，近月09，10合约有现货支撑偏强，远月合约交割限仓等因素影响波动较大，建议观望，等待累库信号确认</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419666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4196662"/>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5F28F8" w:rsidRPr="005F28F8">
        <w:rPr>
          <w:rFonts w:ascii="楷体" w:eastAsia="楷体" w:hAnsi="楷体" w:hint="eastAsia"/>
          <w:b/>
          <w:sz w:val="24"/>
          <w:szCs w:val="24"/>
        </w:rPr>
        <w:t>短期延续偏强震荡</w:t>
      </w:r>
      <w:bookmarkEnd w:id="45"/>
    </w:p>
    <w:p w:rsidR="003F56A5" w:rsidRDefault="005F28F8">
      <w:pPr>
        <w:ind w:leftChars="300" w:left="630"/>
        <w:rPr>
          <w:rFonts w:ascii="楷体" w:eastAsia="楷体" w:hAnsi="楷体"/>
          <w:sz w:val="24"/>
          <w:szCs w:val="24"/>
        </w:rPr>
      </w:pPr>
      <w:r w:rsidRPr="005F28F8">
        <w:rPr>
          <w:rFonts w:ascii="楷体" w:eastAsia="楷体" w:hAnsi="楷体" w:hint="eastAsia"/>
          <w:sz w:val="24"/>
          <w:szCs w:val="24"/>
        </w:rPr>
        <w:t>国际方面，ProFarmer在调研后给出预估，美豆单产49.7蒲式耳/英亩，美豆产量41.1亿蒲。在产量前景降低和出口活动支撑CBOT大豆重新站上1400关口。虽此次调研结果7个主产区平均结荚数同比增幅5.5%，但仍低于三年平均值。在8月profarmer与9月usda数据较高关联度的背景下，市场非常关注美农9月对美豆数据的调整。截至8月28日当周，美国大豆优良率为58%，前一周为59%，上年同期为57%。国内现货维持高位对期价构成支撑，海关抽查趋严，进口大豆入关速度较慢，当前油厂大豆库存有所回升，开机稳定小幅上调，在下游提货较好下，豆粕库存仍维持同期低位，支撑现货报价坚挺，当前沿海主流油厂豆粕现货报价上调至4960-5050元/吨。大豆6-8月到港量仍较充裕，6月进口到港1027万吨，7月到港973万吨，但9-10月进口到港将减少，远月预期到港紧张支撑11-1基差报价坚挺。需求，下游生猪养殖利润近期有所改善，叠加存栏高位，豆粕表需表现较好，但近一周下游对高现货基差接受度不高，成交下降。菜粕当前供需相对偏紧，随着6月份后菜籽到港减少，油厂压榨也在逐步下滑，但库存连续两周回升，因需求不及预期。而需求方面，当前处于水产养殖旺季，供给偏紧，仍对期价构成支撑。策略方面，当前仍处于上行趋势，短期预计维持偏强震荡，建议多单谨慎持有或者月间正套参与</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4196663"/>
      <w:r>
        <w:rPr>
          <w:rFonts w:ascii="楷体" w:eastAsia="楷体" w:hAnsi="楷体" w:hint="eastAsia"/>
          <w:b/>
          <w:color w:val="000000" w:themeColor="text1"/>
          <w:sz w:val="24"/>
          <w:szCs w:val="24"/>
        </w:rPr>
        <w:t>油脂：</w:t>
      </w:r>
      <w:r w:rsidR="005F28F8" w:rsidRPr="005F28F8">
        <w:rPr>
          <w:rFonts w:ascii="楷体" w:eastAsia="楷体" w:hAnsi="楷体" w:hint="eastAsia"/>
          <w:b/>
          <w:sz w:val="24"/>
          <w:szCs w:val="24"/>
        </w:rPr>
        <w:t>宽幅震荡</w:t>
      </w:r>
      <w:bookmarkEnd w:id="46"/>
    </w:p>
    <w:p w:rsidR="003F56A5" w:rsidRDefault="005F28F8" w:rsidP="00792D31">
      <w:pPr>
        <w:ind w:leftChars="300" w:left="630"/>
        <w:rPr>
          <w:rFonts w:ascii="楷体" w:eastAsia="楷体" w:hAnsi="楷体"/>
          <w:sz w:val="24"/>
          <w:szCs w:val="24"/>
        </w:rPr>
      </w:pPr>
      <w:r w:rsidRPr="005F28F8">
        <w:rPr>
          <w:rFonts w:ascii="楷体" w:eastAsia="楷体" w:hAnsi="楷体" w:hint="eastAsia"/>
          <w:sz w:val="24"/>
          <w:szCs w:val="24"/>
        </w:rPr>
        <w:t>关注油脂需求端表现，在基本面的差异下三大油脂强弱走势有所不同。棕榈油，产地仍处于季节性增产周期，当前供需矛盾没有很突出，印尼棕榈油5月份在供给增量大于需求下，库存持续回升，供给压力显现。而马棕产量7月显著改善，且8-9月份仍处于产量的季节性增产阶段，关注后续产量修复情况；但7月库存增幅不及预期，因出口环比增加，且根据ITS数据，8月1-20日棕榈油出口量为806655吨，环比增加17.4%，8月在供需两旺下，马棕累库速度预计仍偏慢，对价格构成支撑。国内棕榈油7-8月份进口到港预计维持高位，库存维持同期高位，最新商业库存为63.05万吨，较前一周增加。需求端，当前在豆棕价差拉大下，利好棕榈油下游消费需求，但四季度为棕榈油消费淡季，预计后续北方地区需求仍将转向豆油。豆油累库放缓。国内7-8月进口大豆到港量仍不少，但受海关检验趋严影响，大豆到厂时间延长，整体压榨水平不高，也影响豆油累库进程。需求端，8月份后下游将陆续开始为双节备货且高校等将陆续开学，需求端或能逐步好转。菜油在进口菜籽减少下，供应压力减轻。当前主产地菜籽还未集中上市，供应处于青黄不接的阶段，全球菜籽新作产量不确定性仍存。随着后续进口加籽到港量的减少，菜籽开机及压榨水平也有所降低，7月菜籽进口环比下滑64.8%。需求方面，与替代油脂价差仍不存在优势，</w:t>
      </w:r>
      <w:r w:rsidRPr="005F28F8">
        <w:rPr>
          <w:rFonts w:ascii="楷体" w:eastAsia="楷体" w:hAnsi="楷体" w:hint="eastAsia"/>
          <w:sz w:val="24"/>
          <w:szCs w:val="24"/>
        </w:rPr>
        <w:lastRenderedPageBreak/>
        <w:t>当前去库速度缓慢，关注下游需求情况。短期建议波段操作，中长期对于油脂维持谨慎看多观点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4196664"/>
      <w:r>
        <w:rPr>
          <w:rFonts w:ascii="楷体" w:eastAsia="楷体" w:hAnsi="楷体" w:hint="eastAsia"/>
          <w:b/>
          <w:bCs/>
          <w:color w:val="000000" w:themeColor="text1"/>
        </w:rPr>
        <w:t>玉米与淀粉：</w:t>
      </w:r>
      <w:r w:rsidR="005F28F8" w:rsidRPr="005F28F8">
        <w:rPr>
          <w:rFonts w:ascii="楷体" w:eastAsia="楷体" w:hAnsi="楷体" w:hint="eastAsia"/>
          <w:b/>
        </w:rPr>
        <w:t>期价夜盘继续震荡上行</w:t>
      </w:r>
      <w:bookmarkEnd w:id="47"/>
    </w:p>
    <w:p w:rsidR="005F28F8" w:rsidRPr="005F28F8" w:rsidRDefault="005F28F8" w:rsidP="005F28F8">
      <w:pPr>
        <w:pStyle w:val="paragraph"/>
        <w:spacing w:before="60" w:after="60"/>
        <w:ind w:leftChars="300" w:left="630"/>
        <w:rPr>
          <w:rFonts w:ascii="楷体" w:eastAsia="楷体" w:hAnsi="楷体" w:hint="eastAsia"/>
        </w:rPr>
      </w:pPr>
      <w:r w:rsidRPr="005F28F8">
        <w:rPr>
          <w:rFonts w:ascii="楷体" w:eastAsia="楷体" w:hAnsi="楷体" w:hint="eastAsia"/>
        </w:rPr>
        <w:t>对于玉米而言，更多沿袭前期逻辑，当前玉米期价下方空间有限，主要源于陈化水稻拍卖底价支撑，其上涨驱动主要来自两个方面，其一是中下游库存依然处于历史同期低位，在新作上市之前或仍存在被动补库存的可能性，其而是小麦有望带动玉米上涨，因小麦上涨趋势或已经形成，因其经历3月以来的主动去库存和6月以来的被动去库存之后，目前或已经进入主动补库存阶段。在这种情况下，建议投资者如有前期多单，则背靠7月持续区间震荡后的起涨点继续持有；如无前期多单，则可以上述位置作为止损再次入场做多。</w:t>
      </w:r>
    </w:p>
    <w:p w:rsidR="003F56A5" w:rsidRDefault="005F28F8" w:rsidP="005F28F8">
      <w:pPr>
        <w:pStyle w:val="paragraph"/>
        <w:spacing w:before="60" w:beforeAutospacing="0" w:after="60" w:afterAutospacing="0"/>
        <w:ind w:leftChars="300" w:left="630"/>
        <w:rPr>
          <w:rFonts w:ascii="楷体" w:eastAsia="楷体" w:hAnsi="楷体"/>
        </w:rPr>
      </w:pPr>
      <w:r w:rsidRPr="005F28F8">
        <w:rPr>
          <w:rFonts w:ascii="楷体" w:eastAsia="楷体" w:hAnsi="楷体" w:hint="eastAsia"/>
        </w:rPr>
        <w:t>对于淀粉而言，近期淀粉-玉米价差表现分化，因影响价差的因素依然多空交织，一方面近期行业出库量大幅改善，带动行业库存连续环比下滑，供需有所改善；另一方面淀粉副产品特别是玉米蛋白粉受蛋白粕带动大幅上涨，带动期现货生产利润整体改善，这不利于后期行业开机率的回落。综合来看，淀粉-玉米价差套利交易方向仍不具备确定性，不建议投资者介入，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4196665"/>
      <w:r>
        <w:rPr>
          <w:rFonts w:ascii="楷体" w:eastAsia="楷体" w:hAnsi="楷体" w:hint="eastAsia"/>
          <w:b/>
          <w:bCs/>
          <w:color w:val="000000" w:themeColor="text1"/>
        </w:rPr>
        <w:t>畜禽养殖：</w:t>
      </w:r>
      <w:r w:rsidR="005F28F8" w:rsidRPr="005F28F8">
        <w:rPr>
          <w:rFonts w:ascii="楷体" w:eastAsia="楷体" w:hAnsi="楷体" w:hint="eastAsia"/>
          <w:b/>
          <w:bCs/>
          <w:color w:val="000000" w:themeColor="text1"/>
        </w:rPr>
        <w:t>生猪期价大幅回落</w:t>
      </w:r>
      <w:bookmarkEnd w:id="48"/>
    </w:p>
    <w:p w:rsidR="005F28F8" w:rsidRPr="005F28F8" w:rsidRDefault="005F28F8" w:rsidP="005F28F8">
      <w:pPr>
        <w:pStyle w:val="paragraph"/>
        <w:spacing w:before="60" w:after="60"/>
        <w:ind w:leftChars="300" w:left="630"/>
        <w:rPr>
          <w:rFonts w:ascii="楷体" w:eastAsia="楷体" w:hAnsi="楷体" w:hint="eastAsia"/>
        </w:rPr>
      </w:pPr>
      <w:r w:rsidRPr="005F28F8">
        <w:rPr>
          <w:rFonts w:ascii="楷体" w:eastAsia="楷体" w:hAnsi="楷体" w:hint="eastAsia"/>
        </w:rPr>
        <w:t>对于生猪而言，在前期报告中我们指出，3月以来现货表现不及我们之前预期，问题出在供应量，在供应去化的过程中市场会关注两个方面的机会，其一是去产能带来的周期见底机会，其二是去库存带来的阶段性反弹机会。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转向关注阶段性反弹的高度，近期现货抗跌带动期价反弹，或主要源于接下来需求改善的预期，这需要跟踪接下来的现货价格走势能否达到市场预期。综上所述，维持谨慎看多观点，建议持有前期多单。</w:t>
      </w:r>
    </w:p>
    <w:p w:rsidR="003F56A5" w:rsidRDefault="005F28F8" w:rsidP="005F28F8">
      <w:pPr>
        <w:pStyle w:val="paragraph"/>
        <w:spacing w:before="60" w:beforeAutospacing="0" w:after="60" w:afterAutospacing="0"/>
        <w:ind w:leftChars="300" w:left="630"/>
        <w:rPr>
          <w:rFonts w:ascii="楷体" w:eastAsia="楷体" w:hAnsi="楷体"/>
        </w:rPr>
      </w:pPr>
      <w:r w:rsidRPr="005F28F8">
        <w:rPr>
          <w:rFonts w:ascii="楷体" w:eastAsia="楷体" w:hAnsi="楷体" w:hint="eastAsia"/>
        </w:rPr>
        <w:t>对于鸡蛋而言，鸡蛋期价特别是远月合约在3-6月曾经历大幅下跌，这主要源于春节后鸡蛋现货价格带动养殖利润高企，继而带动蛋鸡补栏积极性上升，淘汰积极性下降，使得市场预期鸡蛋供需趋于改善，这也导致当时鸡蛋远月-近月价差持续收窄。但7月以来鸡蛋现货价格大幅上涨，或导致市场重新评估之前的这一预期，因截至6月底，在产蛋鸡存栏并未环比显著提高，依然维持历史低位运行，在这种情况下，2-5月蛋鸡苗销售量同比增加带来的供应增量会否带来在产蛋鸡存栏的环比回升，值得重点留意。近期鸡蛋期价大幅贴水，表明市场预期依然悲观，或源于市场三个方面的担心，其一是价格持续上涨或抑制下游消费，其二是近期上涨或部分源于北方暴雨天气的影响；其三是春节后补栏对应</w:t>
      </w:r>
      <w:r w:rsidRPr="005F28F8">
        <w:rPr>
          <w:rFonts w:ascii="楷体" w:eastAsia="楷体" w:hAnsi="楷体" w:hint="eastAsia"/>
        </w:rPr>
        <w:lastRenderedPageBreak/>
        <w:t>新开产带来供应的增加。在这种情况下，接下来需要关注现货上涨的持续性。综合来看，我们暂维持谨慎看多观点，建议谨慎投资者观望，激进投资者持有前期多单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4196666"/>
      <w:r>
        <w:rPr>
          <w:rFonts w:ascii="楷体" w:eastAsia="楷体" w:hAnsi="楷体" w:hint="eastAsia"/>
          <w:b/>
          <w:sz w:val="24"/>
          <w:szCs w:val="24"/>
        </w:rPr>
        <w:t>郑棉：</w:t>
      </w:r>
      <w:r w:rsidR="005F28F8" w:rsidRPr="005F28F8">
        <w:rPr>
          <w:rFonts w:ascii="楷体" w:eastAsia="楷体" w:hAnsi="楷体" w:hint="eastAsia"/>
          <w:b/>
          <w:sz w:val="24"/>
          <w:szCs w:val="24"/>
        </w:rPr>
        <w:t>多单止盈，01看跌期权卖权持有</w:t>
      </w:r>
      <w:bookmarkEnd w:id="49"/>
    </w:p>
    <w:p w:rsidR="003F56A5" w:rsidRDefault="005F28F8" w:rsidP="007B3290">
      <w:pPr>
        <w:ind w:leftChars="300" w:left="630"/>
        <w:rPr>
          <w:rFonts w:ascii="楷体" w:eastAsia="楷体" w:hAnsi="楷体"/>
          <w:sz w:val="24"/>
          <w:szCs w:val="24"/>
        </w:rPr>
      </w:pPr>
      <w:r w:rsidRPr="005F28F8">
        <w:rPr>
          <w:rFonts w:ascii="楷体" w:eastAsia="楷体" w:hAnsi="楷体" w:hint="eastAsia"/>
          <w:sz w:val="24"/>
          <w:szCs w:val="24"/>
        </w:rPr>
        <w:t>新疆近期有多个调研团队正在进行调研。近期由于积温情况较好，减产情况或不及此前市场预期。不过，今年棉花长势滞后，正式上市时间或较往常晚10-20天。若后续天气转冷，寒潮提前降临，产量则依然存在变数。纺织企业亏损状态不改，新疆纺织企业表示有降开机打算，对金九银十传统旺季的期待值并不高。尽管随着新棉上市时间临近，抢收预期影响力正在增强，但市场预期已开始分化，不再一致看涨。短期内不排除01合约回落试探1.7万关口支撑可能</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4196667"/>
      <w:r>
        <w:rPr>
          <w:rFonts w:ascii="楷体" w:eastAsia="楷体" w:hAnsi="楷体" w:hint="eastAsia"/>
          <w:b/>
          <w:sz w:val="24"/>
          <w:szCs w:val="24"/>
        </w:rPr>
        <w:t>白糖：</w:t>
      </w:r>
      <w:r w:rsidR="005F28F8" w:rsidRPr="005F28F8">
        <w:rPr>
          <w:rFonts w:ascii="楷体" w:eastAsia="楷体" w:hAnsi="楷体" w:hint="eastAsia"/>
          <w:b/>
          <w:sz w:val="24"/>
          <w:szCs w:val="24"/>
        </w:rPr>
        <w:t>看跌期权卖权持有</w:t>
      </w:r>
      <w:bookmarkEnd w:id="50"/>
    </w:p>
    <w:p w:rsidR="00296325" w:rsidRDefault="005F28F8" w:rsidP="00296325">
      <w:pPr>
        <w:ind w:leftChars="300" w:left="630"/>
        <w:rPr>
          <w:rFonts w:ascii="楷体" w:eastAsia="楷体" w:hAnsi="楷体"/>
          <w:sz w:val="24"/>
          <w:szCs w:val="24"/>
        </w:rPr>
      </w:pPr>
      <w:r w:rsidRPr="005F28F8">
        <w:rPr>
          <w:rFonts w:ascii="楷体" w:eastAsia="楷体" w:hAnsi="楷体" w:hint="eastAsia"/>
          <w:sz w:val="24"/>
          <w:szCs w:val="24"/>
        </w:rPr>
        <w:t>巴西甘蔗行业协会(Unica)数据显示，8月上半月巴西中南部地区压榨甘蔗47871万吨，同比增加23.38%;产糖345.6万吨，同比增加31.22%;乙醇产量同比增加16.43%，至23.46亿升。担忧亚洲供应，原糖价格大幅走强，但巴西的极高产量和预期仍是当前压制国际糖价的最主要因素。国内现货价格坚挺，新糖上市前现货格局越发紧张，预计短期内高位偏强震荡，看跌期权卖权持有</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163" w:rsidRDefault="00FF0163">
      <w:r>
        <w:separator/>
      </w:r>
    </w:p>
  </w:endnote>
  <w:endnote w:type="continuationSeparator" w:id="0">
    <w:p w:rsidR="00FF0163" w:rsidRDefault="00FF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3BD1D33B" wp14:editId="7BA15DF7">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5F28F8">
                            <w:rPr>
                              <w:rFonts w:ascii="Times New Roman" w:eastAsia="楷体" w:hAnsi="Times New Roman" w:cs="Times New Roman"/>
                              <w:b/>
                              <w:noProof/>
                              <w:color w:val="833C0B"/>
                              <w:sz w:val="21"/>
                              <w:lang w:bidi="ar"/>
                            </w:rPr>
                            <w:t>2</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5F28F8">
                      <w:rPr>
                        <w:rFonts w:ascii="Times New Roman" w:eastAsia="楷体" w:hAnsi="Times New Roman" w:cs="Times New Roman"/>
                        <w:b/>
                        <w:noProof/>
                        <w:color w:val="833C0B"/>
                        <w:sz w:val="21"/>
                        <w:lang w:bidi="ar"/>
                      </w:rPr>
                      <w:t>2</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163" w:rsidRDefault="00FF0163">
      <w:r>
        <w:separator/>
      </w:r>
    </w:p>
  </w:footnote>
  <w:footnote w:type="continuationSeparator" w:id="0">
    <w:p w:rsidR="00FF0163" w:rsidRDefault="00FF01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15A4CAB4" wp14:editId="6E011D66">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789EBD45" wp14:editId="7CCFF9AC">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5F28F8">
      <w:rPr>
        <w:rFonts w:ascii="Times New Roman" w:eastAsia="楷体" w:hAnsi="Times New Roman" w:hint="eastAsia"/>
        <w:b/>
        <w:bCs/>
        <w:noProof/>
        <w:color w:val="833C0B"/>
        <w:sz w:val="21"/>
      </w:rPr>
      <w:t>2023</w:t>
    </w:r>
    <w:r w:rsidR="005F28F8">
      <w:rPr>
        <w:rFonts w:ascii="Times New Roman" w:eastAsia="楷体" w:hAnsi="Times New Roman" w:hint="eastAsia"/>
        <w:b/>
        <w:bCs/>
        <w:noProof/>
        <w:color w:val="833C0B"/>
        <w:sz w:val="21"/>
      </w:rPr>
      <w:t>年</w:t>
    </w:r>
    <w:r w:rsidR="005F28F8">
      <w:rPr>
        <w:rFonts w:ascii="Times New Roman" w:eastAsia="楷体" w:hAnsi="Times New Roman" w:hint="eastAsia"/>
        <w:b/>
        <w:bCs/>
        <w:noProof/>
        <w:color w:val="833C0B"/>
        <w:sz w:val="21"/>
      </w:rPr>
      <w:t>8</w:t>
    </w:r>
    <w:r w:rsidR="005F28F8">
      <w:rPr>
        <w:rFonts w:ascii="Times New Roman" w:eastAsia="楷体" w:hAnsi="Times New Roman" w:hint="eastAsia"/>
        <w:b/>
        <w:bCs/>
        <w:noProof/>
        <w:color w:val="833C0B"/>
        <w:sz w:val="21"/>
      </w:rPr>
      <w:t>月</w:t>
    </w:r>
    <w:r w:rsidR="005F28F8">
      <w:rPr>
        <w:rFonts w:ascii="Times New Roman" w:eastAsia="楷体" w:hAnsi="Times New Roman" w:hint="eastAsia"/>
        <w:b/>
        <w:bCs/>
        <w:noProof/>
        <w:color w:val="833C0B"/>
        <w:sz w:val="21"/>
      </w:rPr>
      <w:t>29</w:t>
    </w:r>
    <w:r w:rsidR="005F28F8">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5EB2"/>
    <w:rsid w:val="000417D7"/>
    <w:rsid w:val="00050B6C"/>
    <w:rsid w:val="0005286B"/>
    <w:rsid w:val="0005726F"/>
    <w:rsid w:val="00057E99"/>
    <w:rsid w:val="00072EAA"/>
    <w:rsid w:val="00076420"/>
    <w:rsid w:val="000820C6"/>
    <w:rsid w:val="00093E40"/>
    <w:rsid w:val="00096258"/>
    <w:rsid w:val="000A413E"/>
    <w:rsid w:val="000B0648"/>
    <w:rsid w:val="000B4E70"/>
    <w:rsid w:val="000C102A"/>
    <w:rsid w:val="000C475E"/>
    <w:rsid w:val="000D36DC"/>
    <w:rsid w:val="000D42E2"/>
    <w:rsid w:val="000D7CF0"/>
    <w:rsid w:val="000E03FC"/>
    <w:rsid w:val="000E0968"/>
    <w:rsid w:val="000E0C15"/>
    <w:rsid w:val="000E4EEB"/>
    <w:rsid w:val="00115EEA"/>
    <w:rsid w:val="00117470"/>
    <w:rsid w:val="00120B1F"/>
    <w:rsid w:val="00127803"/>
    <w:rsid w:val="00127FF1"/>
    <w:rsid w:val="00147668"/>
    <w:rsid w:val="00147B03"/>
    <w:rsid w:val="0015047B"/>
    <w:rsid w:val="00156FEB"/>
    <w:rsid w:val="00170E7B"/>
    <w:rsid w:val="001801C4"/>
    <w:rsid w:val="001942CB"/>
    <w:rsid w:val="001945E9"/>
    <w:rsid w:val="001A3E49"/>
    <w:rsid w:val="001A44F9"/>
    <w:rsid w:val="001B0610"/>
    <w:rsid w:val="001B179D"/>
    <w:rsid w:val="001B1904"/>
    <w:rsid w:val="001B25C9"/>
    <w:rsid w:val="001B2D4C"/>
    <w:rsid w:val="001B6043"/>
    <w:rsid w:val="001B6394"/>
    <w:rsid w:val="001C2E87"/>
    <w:rsid w:val="001C77D0"/>
    <w:rsid w:val="001D1F0A"/>
    <w:rsid w:val="001D40EA"/>
    <w:rsid w:val="001D4474"/>
    <w:rsid w:val="001D5419"/>
    <w:rsid w:val="001D7D0A"/>
    <w:rsid w:val="001F5438"/>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82262"/>
    <w:rsid w:val="00285297"/>
    <w:rsid w:val="00291461"/>
    <w:rsid w:val="00292AE8"/>
    <w:rsid w:val="002951EB"/>
    <w:rsid w:val="00296325"/>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6646"/>
    <w:rsid w:val="00487F77"/>
    <w:rsid w:val="00490056"/>
    <w:rsid w:val="00491DD7"/>
    <w:rsid w:val="004977A9"/>
    <w:rsid w:val="004A1926"/>
    <w:rsid w:val="004A382D"/>
    <w:rsid w:val="004A3F85"/>
    <w:rsid w:val="004A65B5"/>
    <w:rsid w:val="004B4D4D"/>
    <w:rsid w:val="004C11A7"/>
    <w:rsid w:val="004C5F3F"/>
    <w:rsid w:val="004D0484"/>
    <w:rsid w:val="004D6F74"/>
    <w:rsid w:val="004E269E"/>
    <w:rsid w:val="004E3A10"/>
    <w:rsid w:val="004E58A5"/>
    <w:rsid w:val="004E6093"/>
    <w:rsid w:val="005145ED"/>
    <w:rsid w:val="00521683"/>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8F8"/>
    <w:rsid w:val="005F2CE6"/>
    <w:rsid w:val="005F45A8"/>
    <w:rsid w:val="005F5D8E"/>
    <w:rsid w:val="00606E2B"/>
    <w:rsid w:val="00610C41"/>
    <w:rsid w:val="00612D79"/>
    <w:rsid w:val="0061390B"/>
    <w:rsid w:val="00615F78"/>
    <w:rsid w:val="006353D1"/>
    <w:rsid w:val="00637F19"/>
    <w:rsid w:val="00641752"/>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66AE"/>
    <w:rsid w:val="006D725E"/>
    <w:rsid w:val="006E3745"/>
    <w:rsid w:val="006F6553"/>
    <w:rsid w:val="007029E1"/>
    <w:rsid w:val="00710028"/>
    <w:rsid w:val="007103A5"/>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B3290"/>
    <w:rsid w:val="007B42D0"/>
    <w:rsid w:val="007B4FCE"/>
    <w:rsid w:val="007C1DB9"/>
    <w:rsid w:val="007C2FD2"/>
    <w:rsid w:val="007C7B84"/>
    <w:rsid w:val="007D29EC"/>
    <w:rsid w:val="007D4BBD"/>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20D28"/>
    <w:rsid w:val="00822591"/>
    <w:rsid w:val="00827E8A"/>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C53CE"/>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33C93"/>
    <w:rsid w:val="00B443CE"/>
    <w:rsid w:val="00B4555A"/>
    <w:rsid w:val="00B51CAF"/>
    <w:rsid w:val="00B53C56"/>
    <w:rsid w:val="00B60464"/>
    <w:rsid w:val="00B606EF"/>
    <w:rsid w:val="00B618F8"/>
    <w:rsid w:val="00B64133"/>
    <w:rsid w:val="00B72E2D"/>
    <w:rsid w:val="00B745CB"/>
    <w:rsid w:val="00B805BD"/>
    <w:rsid w:val="00B91D3D"/>
    <w:rsid w:val="00B94E7D"/>
    <w:rsid w:val="00B97F08"/>
    <w:rsid w:val="00BA4663"/>
    <w:rsid w:val="00BA696B"/>
    <w:rsid w:val="00BA7212"/>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27B89"/>
    <w:rsid w:val="00C43DDB"/>
    <w:rsid w:val="00C575E9"/>
    <w:rsid w:val="00C62202"/>
    <w:rsid w:val="00C6240E"/>
    <w:rsid w:val="00C647F2"/>
    <w:rsid w:val="00C66C6C"/>
    <w:rsid w:val="00C706BF"/>
    <w:rsid w:val="00C70FDD"/>
    <w:rsid w:val="00C80C0D"/>
    <w:rsid w:val="00C82E4D"/>
    <w:rsid w:val="00C91234"/>
    <w:rsid w:val="00C93E36"/>
    <w:rsid w:val="00C950F3"/>
    <w:rsid w:val="00CA1C01"/>
    <w:rsid w:val="00CB0962"/>
    <w:rsid w:val="00CB16F4"/>
    <w:rsid w:val="00CB1AC3"/>
    <w:rsid w:val="00CB1F18"/>
    <w:rsid w:val="00CB2FD2"/>
    <w:rsid w:val="00CB3015"/>
    <w:rsid w:val="00CB60E6"/>
    <w:rsid w:val="00CC03C4"/>
    <w:rsid w:val="00CC3E40"/>
    <w:rsid w:val="00CC3FFA"/>
    <w:rsid w:val="00CC6C03"/>
    <w:rsid w:val="00CD4FE6"/>
    <w:rsid w:val="00CD5884"/>
    <w:rsid w:val="00CD5DE8"/>
    <w:rsid w:val="00CD70A0"/>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5E53"/>
    <w:rsid w:val="00D47039"/>
    <w:rsid w:val="00D55EAF"/>
    <w:rsid w:val="00D63655"/>
    <w:rsid w:val="00D673AD"/>
    <w:rsid w:val="00D75630"/>
    <w:rsid w:val="00D762B2"/>
    <w:rsid w:val="00D842AA"/>
    <w:rsid w:val="00D86D76"/>
    <w:rsid w:val="00D87130"/>
    <w:rsid w:val="00D93E0B"/>
    <w:rsid w:val="00DA7546"/>
    <w:rsid w:val="00DB6FBE"/>
    <w:rsid w:val="00DD145E"/>
    <w:rsid w:val="00DD334E"/>
    <w:rsid w:val="00DE02C4"/>
    <w:rsid w:val="00DF1796"/>
    <w:rsid w:val="00DF270D"/>
    <w:rsid w:val="00DF3137"/>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0E93"/>
    <w:rsid w:val="00E556EC"/>
    <w:rsid w:val="00E55B22"/>
    <w:rsid w:val="00E60D44"/>
    <w:rsid w:val="00E63EF8"/>
    <w:rsid w:val="00E64502"/>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D6B0E"/>
    <w:rsid w:val="00FE1B77"/>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8AA9E2"/>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32DF37-6B49-492E-841F-0E82A213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3510</TotalTime>
  <Pages>10</Pages>
  <Words>1658</Words>
  <Characters>9452</Characters>
  <Application>Microsoft Office Word</Application>
  <DocSecurity>0</DocSecurity>
  <Lines>78</Lines>
  <Paragraphs>22</Paragraphs>
  <ScaleCrop>false</ScaleCrop>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73</cp:revision>
  <cp:lastPrinted>2023-06-08T02:23:00Z</cp:lastPrinted>
  <dcterms:created xsi:type="dcterms:W3CDTF">2022-11-15T10:06:00Z</dcterms:created>
  <dcterms:modified xsi:type="dcterms:W3CDTF">2023-08-29T02:17:00Z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