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F920D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F920DB" w:rsidRPr="00C15F4B">
            <w:rPr>
              <w:rStyle w:val="a9"/>
              <w:noProof/>
            </w:rPr>
            <w:fldChar w:fldCharType="begin"/>
          </w:r>
          <w:r w:rsidR="00F920DB" w:rsidRPr="00C15F4B">
            <w:rPr>
              <w:rStyle w:val="a9"/>
              <w:noProof/>
            </w:rPr>
            <w:instrText xml:space="preserve"> </w:instrText>
          </w:r>
          <w:r w:rsidR="00F920DB">
            <w:rPr>
              <w:noProof/>
            </w:rPr>
            <w:instrText>HYPERLINK \l "_Toc143593270"</w:instrText>
          </w:r>
          <w:r w:rsidR="00F920DB" w:rsidRPr="00C15F4B">
            <w:rPr>
              <w:rStyle w:val="a9"/>
              <w:noProof/>
            </w:rPr>
            <w:instrText xml:space="preserve"> </w:instrText>
          </w:r>
          <w:r w:rsidR="00F920DB" w:rsidRPr="00C15F4B">
            <w:rPr>
              <w:rStyle w:val="a9"/>
              <w:noProof/>
            </w:rPr>
          </w:r>
          <w:r w:rsidR="00F920DB" w:rsidRPr="00C15F4B">
            <w:rPr>
              <w:rStyle w:val="a9"/>
              <w:noProof/>
            </w:rPr>
            <w:fldChar w:fldCharType="separate"/>
          </w:r>
          <w:r w:rsidR="00F920DB" w:rsidRPr="00C15F4B">
            <w:rPr>
              <w:rStyle w:val="a9"/>
              <w:rFonts w:ascii="Times New Roman" w:eastAsia="楷体" w:hAnsi="Times New Roman"/>
              <w:b/>
              <w:noProof/>
            </w:rPr>
            <w:t>[</w:t>
          </w:r>
          <w:r w:rsidR="00F920DB" w:rsidRPr="00C15F4B">
            <w:rPr>
              <w:rStyle w:val="a9"/>
              <w:rFonts w:ascii="Times New Roman" w:eastAsia="楷体" w:hAnsi="Times New Roman"/>
              <w:b/>
              <w:noProof/>
            </w:rPr>
            <w:t>金融</w:t>
          </w:r>
          <w:r w:rsidR="00F920DB" w:rsidRPr="00C15F4B">
            <w:rPr>
              <w:rStyle w:val="a9"/>
              <w:rFonts w:ascii="Times New Roman" w:eastAsia="楷体" w:hAnsi="Times New Roman"/>
              <w:b/>
              <w:noProof/>
            </w:rPr>
            <w:t>]</w:t>
          </w:r>
          <w:r w:rsidR="00F920DB" w:rsidRPr="00C15F4B">
            <w:rPr>
              <w:rStyle w:val="a9"/>
              <w:noProof/>
            </w:rPr>
            <w:fldChar w:fldCharType="end"/>
          </w:r>
        </w:p>
        <w:p w:rsidR="00F920DB" w:rsidRDefault="00F920DB">
          <w:pPr>
            <w:pStyle w:val="23"/>
            <w:tabs>
              <w:tab w:val="right" w:leader="dot" w:pos="8296"/>
            </w:tabs>
            <w:rPr>
              <w:rFonts w:eastAsiaTheme="minorEastAsia"/>
              <w:noProof/>
              <w:szCs w:val="22"/>
            </w:rPr>
          </w:pPr>
          <w:hyperlink w:anchor="_Toc143593271" w:history="1">
            <w:r w:rsidRPr="00C15F4B">
              <w:rPr>
                <w:rStyle w:val="a9"/>
                <w:rFonts w:ascii="Times New Roman" w:eastAsia="楷体" w:hAnsi="Times New Roman"/>
                <w:b/>
                <w:noProof/>
              </w:rPr>
              <w:t>股指：观望为主，待企稳后低多</w:t>
            </w:r>
          </w:hyperlink>
        </w:p>
        <w:p w:rsidR="00F920DB" w:rsidRDefault="00F920DB">
          <w:pPr>
            <w:pStyle w:val="11"/>
            <w:tabs>
              <w:tab w:val="right" w:leader="dot" w:pos="8296"/>
            </w:tabs>
            <w:rPr>
              <w:rFonts w:eastAsiaTheme="minorEastAsia"/>
              <w:noProof/>
              <w:szCs w:val="22"/>
            </w:rPr>
          </w:pPr>
          <w:hyperlink w:anchor="_Toc143593272" w:history="1">
            <w:r w:rsidRPr="00C15F4B">
              <w:rPr>
                <w:rStyle w:val="a9"/>
                <w:rFonts w:ascii="Times New Roman" w:eastAsia="楷体" w:hAnsi="Times New Roman"/>
                <w:b/>
                <w:noProof/>
              </w:rPr>
              <w:t>[</w:t>
            </w:r>
            <w:r w:rsidRPr="00C15F4B">
              <w:rPr>
                <w:rStyle w:val="a9"/>
                <w:rFonts w:ascii="Times New Roman" w:eastAsia="楷体" w:hAnsi="Times New Roman"/>
                <w:b/>
                <w:noProof/>
              </w:rPr>
              <w:t>贵金属</w:t>
            </w:r>
            <w:r w:rsidRPr="00C15F4B">
              <w:rPr>
                <w:rStyle w:val="a9"/>
                <w:rFonts w:ascii="Times New Roman" w:eastAsia="楷体" w:hAnsi="Times New Roman"/>
                <w:b/>
                <w:noProof/>
              </w:rPr>
              <w:t>]</w:t>
            </w:r>
          </w:hyperlink>
        </w:p>
        <w:p w:rsidR="00F920DB" w:rsidRDefault="00F920DB">
          <w:pPr>
            <w:pStyle w:val="23"/>
            <w:tabs>
              <w:tab w:val="right" w:leader="dot" w:pos="8296"/>
            </w:tabs>
            <w:rPr>
              <w:rFonts w:eastAsiaTheme="minorEastAsia"/>
              <w:noProof/>
              <w:szCs w:val="22"/>
            </w:rPr>
          </w:pPr>
          <w:hyperlink w:anchor="_Toc143593273" w:history="1">
            <w:r w:rsidRPr="00C15F4B">
              <w:rPr>
                <w:rStyle w:val="a9"/>
                <w:rFonts w:ascii="Times New Roman" w:eastAsia="楷体" w:hAnsi="Times New Roman"/>
                <w:b/>
                <w:noProof/>
              </w:rPr>
              <w:t>贵金属：标普下调数家银行评级，贵金属价格小幅反弹</w:t>
            </w:r>
          </w:hyperlink>
        </w:p>
        <w:p w:rsidR="00F920DB" w:rsidRDefault="00F920DB">
          <w:pPr>
            <w:pStyle w:val="11"/>
            <w:tabs>
              <w:tab w:val="right" w:leader="dot" w:pos="8296"/>
            </w:tabs>
            <w:rPr>
              <w:rFonts w:eastAsiaTheme="minorEastAsia"/>
              <w:noProof/>
              <w:szCs w:val="22"/>
            </w:rPr>
          </w:pPr>
          <w:hyperlink w:anchor="_Toc143593274" w:history="1">
            <w:r w:rsidRPr="00C15F4B">
              <w:rPr>
                <w:rStyle w:val="a9"/>
                <w:rFonts w:ascii="Times New Roman" w:eastAsia="楷体" w:hAnsi="Times New Roman"/>
                <w:b/>
                <w:noProof/>
              </w:rPr>
              <w:t>[</w:t>
            </w:r>
            <w:r w:rsidRPr="00C15F4B">
              <w:rPr>
                <w:rStyle w:val="a9"/>
                <w:rFonts w:ascii="Times New Roman" w:eastAsia="楷体" w:hAnsi="Times New Roman"/>
                <w:b/>
                <w:noProof/>
              </w:rPr>
              <w:t>金属</w:t>
            </w:r>
            <w:r w:rsidRPr="00C15F4B">
              <w:rPr>
                <w:rStyle w:val="a9"/>
                <w:rFonts w:ascii="Times New Roman" w:eastAsia="楷体" w:hAnsi="Times New Roman"/>
                <w:b/>
                <w:noProof/>
              </w:rPr>
              <w:t>]</w:t>
            </w:r>
          </w:hyperlink>
        </w:p>
        <w:p w:rsidR="00F920DB" w:rsidRDefault="00F920DB">
          <w:pPr>
            <w:pStyle w:val="23"/>
            <w:tabs>
              <w:tab w:val="right" w:leader="dot" w:pos="8296"/>
            </w:tabs>
            <w:rPr>
              <w:rFonts w:eastAsiaTheme="minorEastAsia"/>
              <w:noProof/>
              <w:szCs w:val="22"/>
            </w:rPr>
          </w:pPr>
          <w:hyperlink w:anchor="_Toc143593275" w:history="1">
            <w:r w:rsidRPr="00C15F4B">
              <w:rPr>
                <w:rStyle w:val="a9"/>
                <w:rFonts w:ascii="楷体" w:eastAsia="楷体" w:hAnsi="楷体"/>
                <w:b/>
                <w:noProof/>
              </w:rPr>
              <w:t>碳酸锂：7月锂矿进口增加，期价小幅反弹</w:t>
            </w:r>
          </w:hyperlink>
        </w:p>
        <w:p w:rsidR="00F920DB" w:rsidRDefault="00F920DB">
          <w:pPr>
            <w:pStyle w:val="23"/>
            <w:tabs>
              <w:tab w:val="right" w:leader="dot" w:pos="8296"/>
            </w:tabs>
            <w:rPr>
              <w:rFonts w:eastAsiaTheme="minorEastAsia"/>
              <w:noProof/>
              <w:szCs w:val="22"/>
            </w:rPr>
          </w:pPr>
          <w:hyperlink w:anchor="_Toc143593276" w:history="1">
            <w:r w:rsidRPr="00C15F4B">
              <w:rPr>
                <w:rStyle w:val="a9"/>
                <w:rFonts w:ascii="楷体" w:eastAsia="楷体" w:hAnsi="楷体"/>
                <w:b/>
                <w:noProof/>
              </w:rPr>
              <w:t>螺纹钢：成本端支撑，需求缓慢回补，钢价或偏弱震荡</w:t>
            </w:r>
          </w:hyperlink>
        </w:p>
        <w:p w:rsidR="00F920DB" w:rsidRDefault="00F920DB">
          <w:pPr>
            <w:pStyle w:val="23"/>
            <w:tabs>
              <w:tab w:val="right" w:leader="dot" w:pos="8296"/>
            </w:tabs>
            <w:rPr>
              <w:rFonts w:eastAsiaTheme="minorEastAsia"/>
              <w:noProof/>
              <w:szCs w:val="22"/>
            </w:rPr>
          </w:pPr>
          <w:hyperlink w:anchor="_Toc143593277" w:history="1">
            <w:r w:rsidRPr="00C15F4B">
              <w:rPr>
                <w:rStyle w:val="a9"/>
                <w:rFonts w:ascii="楷体" w:eastAsia="楷体" w:hAnsi="楷体"/>
                <w:b/>
                <w:noProof/>
              </w:rPr>
              <w:t>焦炭：上下游博弈加剧，盘面贴水较大下震荡运行</w:t>
            </w:r>
          </w:hyperlink>
        </w:p>
        <w:p w:rsidR="00F920DB" w:rsidRDefault="00F920DB">
          <w:pPr>
            <w:pStyle w:val="23"/>
            <w:tabs>
              <w:tab w:val="right" w:leader="dot" w:pos="8296"/>
            </w:tabs>
            <w:rPr>
              <w:rFonts w:eastAsiaTheme="minorEastAsia"/>
              <w:noProof/>
              <w:szCs w:val="22"/>
            </w:rPr>
          </w:pPr>
          <w:hyperlink w:anchor="_Toc143593278" w:history="1">
            <w:r w:rsidRPr="00C15F4B">
              <w:rPr>
                <w:rStyle w:val="a9"/>
                <w:rFonts w:ascii="楷体" w:eastAsia="楷体" w:hAnsi="楷体"/>
                <w:b/>
                <w:noProof/>
              </w:rPr>
              <w:t>焦煤：古交安全事故影响，短期或偏强修复价差</w:t>
            </w:r>
          </w:hyperlink>
        </w:p>
        <w:p w:rsidR="00F920DB" w:rsidRDefault="00F920DB">
          <w:pPr>
            <w:pStyle w:val="23"/>
            <w:tabs>
              <w:tab w:val="right" w:leader="dot" w:pos="8296"/>
            </w:tabs>
            <w:rPr>
              <w:rFonts w:eastAsiaTheme="minorEastAsia"/>
              <w:noProof/>
              <w:szCs w:val="22"/>
            </w:rPr>
          </w:pPr>
          <w:hyperlink w:anchor="_Toc143593279" w:history="1">
            <w:r w:rsidRPr="00C15F4B">
              <w:rPr>
                <w:rStyle w:val="a9"/>
                <w:rFonts w:ascii="楷体" w:eastAsia="楷体" w:hAnsi="楷体"/>
                <w:b/>
                <w:noProof/>
              </w:rPr>
              <w:t>铜：震荡区间偏强运行</w:t>
            </w:r>
          </w:hyperlink>
        </w:p>
        <w:p w:rsidR="00F920DB" w:rsidRDefault="00F920DB">
          <w:pPr>
            <w:pStyle w:val="23"/>
            <w:tabs>
              <w:tab w:val="right" w:leader="dot" w:pos="8296"/>
            </w:tabs>
            <w:rPr>
              <w:rFonts w:eastAsiaTheme="minorEastAsia"/>
              <w:noProof/>
              <w:szCs w:val="22"/>
            </w:rPr>
          </w:pPr>
          <w:hyperlink w:anchor="_Toc143593280" w:history="1">
            <w:r w:rsidRPr="00C15F4B">
              <w:rPr>
                <w:rStyle w:val="a9"/>
                <w:rFonts w:ascii="楷体" w:eastAsia="楷体" w:hAnsi="楷体"/>
                <w:b/>
                <w:noProof/>
              </w:rPr>
              <w:t>铝：供需面均有改善，价格维持震荡运行</w:t>
            </w:r>
          </w:hyperlink>
        </w:p>
        <w:p w:rsidR="00F920DB" w:rsidRDefault="00F920DB">
          <w:pPr>
            <w:pStyle w:val="23"/>
            <w:tabs>
              <w:tab w:val="right" w:leader="dot" w:pos="8296"/>
            </w:tabs>
            <w:rPr>
              <w:rFonts w:eastAsiaTheme="minorEastAsia"/>
              <w:noProof/>
              <w:szCs w:val="22"/>
            </w:rPr>
          </w:pPr>
          <w:hyperlink w:anchor="_Toc143593281" w:history="1">
            <w:r w:rsidRPr="00C15F4B">
              <w:rPr>
                <w:rStyle w:val="a9"/>
                <w:rFonts w:ascii="楷体" w:eastAsia="楷体" w:hAnsi="楷体"/>
                <w:b/>
                <w:noProof/>
              </w:rPr>
              <w:t>锌：锌价下方空间有限，回调可考虑建仓</w:t>
            </w:r>
          </w:hyperlink>
        </w:p>
        <w:p w:rsidR="00F920DB" w:rsidRDefault="00F920DB">
          <w:pPr>
            <w:pStyle w:val="23"/>
            <w:tabs>
              <w:tab w:val="right" w:leader="dot" w:pos="8296"/>
            </w:tabs>
            <w:rPr>
              <w:rFonts w:eastAsiaTheme="minorEastAsia"/>
              <w:noProof/>
              <w:szCs w:val="22"/>
            </w:rPr>
          </w:pPr>
          <w:hyperlink w:anchor="_Toc143593282" w:history="1">
            <w:r w:rsidRPr="00C15F4B">
              <w:rPr>
                <w:rStyle w:val="a9"/>
                <w:rFonts w:ascii="楷体" w:eastAsia="楷体" w:hAnsi="楷体"/>
                <w:b/>
                <w:noProof/>
              </w:rPr>
              <w:t>镍：短期延续震荡运行</w:t>
            </w:r>
          </w:hyperlink>
        </w:p>
        <w:p w:rsidR="00F920DB" w:rsidRDefault="00F920DB">
          <w:pPr>
            <w:pStyle w:val="23"/>
            <w:tabs>
              <w:tab w:val="right" w:leader="dot" w:pos="8296"/>
            </w:tabs>
            <w:rPr>
              <w:rFonts w:eastAsiaTheme="minorEastAsia"/>
              <w:noProof/>
              <w:szCs w:val="22"/>
            </w:rPr>
          </w:pPr>
          <w:hyperlink w:anchor="_Toc143593283" w:history="1">
            <w:r w:rsidRPr="00C15F4B">
              <w:rPr>
                <w:rStyle w:val="a9"/>
                <w:rFonts w:ascii="楷体" w:eastAsia="楷体" w:hAnsi="楷体"/>
                <w:b/>
                <w:noProof/>
              </w:rPr>
              <w:t>铅：成本支撑较强，或高位震荡</w:t>
            </w:r>
          </w:hyperlink>
        </w:p>
        <w:p w:rsidR="00F920DB" w:rsidRDefault="00F920DB">
          <w:pPr>
            <w:pStyle w:val="23"/>
            <w:tabs>
              <w:tab w:val="right" w:leader="dot" w:pos="8296"/>
            </w:tabs>
            <w:rPr>
              <w:rFonts w:eastAsiaTheme="minorEastAsia"/>
              <w:noProof/>
              <w:szCs w:val="22"/>
            </w:rPr>
          </w:pPr>
          <w:hyperlink w:anchor="_Toc143593284" w:history="1">
            <w:r w:rsidRPr="00C15F4B">
              <w:rPr>
                <w:rStyle w:val="a9"/>
                <w:rFonts w:ascii="楷体" w:eastAsia="楷体" w:hAnsi="楷体"/>
                <w:b/>
                <w:noProof/>
              </w:rPr>
              <w:t>不锈钢：成本强支撑，但存在累库压力，上行空间有限</w:t>
            </w:r>
          </w:hyperlink>
        </w:p>
        <w:p w:rsidR="00F920DB" w:rsidRDefault="00F920DB">
          <w:pPr>
            <w:pStyle w:val="23"/>
            <w:tabs>
              <w:tab w:val="right" w:leader="dot" w:pos="8296"/>
            </w:tabs>
            <w:rPr>
              <w:rFonts w:eastAsiaTheme="minorEastAsia"/>
              <w:noProof/>
              <w:szCs w:val="22"/>
            </w:rPr>
          </w:pPr>
          <w:hyperlink w:anchor="_Toc143593285" w:history="1">
            <w:r w:rsidRPr="00C15F4B">
              <w:rPr>
                <w:rStyle w:val="a9"/>
                <w:rFonts w:ascii="楷体" w:eastAsia="楷体" w:hAnsi="楷体"/>
                <w:b/>
                <w:noProof/>
              </w:rPr>
              <w:t>工业硅：需求存在改善预期，短期盘面或有支撑</w:t>
            </w:r>
          </w:hyperlink>
        </w:p>
        <w:p w:rsidR="00F920DB" w:rsidRDefault="00F920DB">
          <w:pPr>
            <w:pStyle w:val="11"/>
            <w:tabs>
              <w:tab w:val="right" w:leader="dot" w:pos="8296"/>
            </w:tabs>
            <w:rPr>
              <w:rFonts w:eastAsiaTheme="minorEastAsia"/>
              <w:noProof/>
              <w:szCs w:val="22"/>
            </w:rPr>
          </w:pPr>
          <w:hyperlink w:anchor="_Toc143593286" w:history="1">
            <w:r w:rsidRPr="00C15F4B">
              <w:rPr>
                <w:rStyle w:val="a9"/>
                <w:rFonts w:ascii="Times New Roman" w:eastAsia="楷体" w:hAnsi="Times New Roman"/>
                <w:b/>
                <w:noProof/>
              </w:rPr>
              <w:t>[</w:t>
            </w:r>
            <w:r w:rsidRPr="00C15F4B">
              <w:rPr>
                <w:rStyle w:val="a9"/>
                <w:rFonts w:ascii="Times New Roman" w:eastAsia="楷体" w:hAnsi="Times New Roman"/>
                <w:b/>
                <w:noProof/>
              </w:rPr>
              <w:t>化工</w:t>
            </w:r>
            <w:r w:rsidRPr="00C15F4B">
              <w:rPr>
                <w:rStyle w:val="a9"/>
                <w:rFonts w:ascii="Times New Roman" w:eastAsia="楷体" w:hAnsi="Times New Roman"/>
                <w:b/>
                <w:noProof/>
              </w:rPr>
              <w:t>]</w:t>
            </w:r>
          </w:hyperlink>
        </w:p>
        <w:p w:rsidR="00F920DB" w:rsidRDefault="00F920DB">
          <w:pPr>
            <w:pStyle w:val="23"/>
            <w:tabs>
              <w:tab w:val="right" w:leader="dot" w:pos="8296"/>
            </w:tabs>
            <w:rPr>
              <w:rFonts w:eastAsiaTheme="minorEastAsia"/>
              <w:noProof/>
              <w:szCs w:val="22"/>
            </w:rPr>
          </w:pPr>
          <w:hyperlink w:anchor="_Toc143593287" w:history="1">
            <w:r w:rsidRPr="00C15F4B">
              <w:rPr>
                <w:rStyle w:val="a9"/>
                <w:rFonts w:ascii="Times New Roman" w:eastAsia="楷体" w:hAnsi="Times New Roman"/>
                <w:b/>
                <w:noProof/>
              </w:rPr>
              <w:t>天然橡胶</w:t>
            </w:r>
            <w:r w:rsidRPr="00C15F4B">
              <w:rPr>
                <w:rStyle w:val="a9"/>
                <w:rFonts w:ascii="Times New Roman" w:eastAsia="楷体" w:hAnsi="Times New Roman"/>
                <w:b/>
                <w:noProof/>
              </w:rPr>
              <w:t>:</w:t>
            </w:r>
            <w:r w:rsidRPr="00C15F4B">
              <w:rPr>
                <w:rStyle w:val="a9"/>
                <w:rFonts w:ascii="楷体" w:eastAsia="楷体" w:hAnsi="楷体"/>
                <w:b/>
                <w:noProof/>
              </w:rPr>
              <w:t xml:space="preserve"> 主产区降雨扰动收胶工作 RU下调空间有限</w:t>
            </w:r>
          </w:hyperlink>
        </w:p>
        <w:p w:rsidR="00F920DB" w:rsidRDefault="00F920DB">
          <w:pPr>
            <w:pStyle w:val="23"/>
            <w:tabs>
              <w:tab w:val="right" w:leader="dot" w:pos="8296"/>
            </w:tabs>
            <w:rPr>
              <w:rFonts w:eastAsiaTheme="minorEastAsia"/>
              <w:noProof/>
              <w:szCs w:val="22"/>
            </w:rPr>
          </w:pPr>
          <w:hyperlink w:anchor="_Toc143593288" w:history="1">
            <w:r w:rsidRPr="00C15F4B">
              <w:rPr>
                <w:rStyle w:val="a9"/>
                <w:rFonts w:ascii="楷体" w:eastAsia="楷体" w:hAnsi="楷体"/>
                <w:b/>
                <w:noProof/>
              </w:rPr>
              <w:t>PTA：低加工费及成本端支撑仍偏强</w:t>
            </w:r>
          </w:hyperlink>
        </w:p>
        <w:p w:rsidR="00F920DB" w:rsidRDefault="00F920DB">
          <w:pPr>
            <w:pStyle w:val="23"/>
            <w:tabs>
              <w:tab w:val="right" w:leader="dot" w:pos="8296"/>
            </w:tabs>
            <w:rPr>
              <w:rFonts w:eastAsiaTheme="minorEastAsia"/>
              <w:noProof/>
              <w:szCs w:val="22"/>
            </w:rPr>
          </w:pPr>
          <w:hyperlink w:anchor="_Toc143593289" w:history="1">
            <w:r w:rsidRPr="00C15F4B">
              <w:rPr>
                <w:rStyle w:val="a9"/>
                <w:rFonts w:ascii="楷体" w:eastAsia="楷体" w:hAnsi="楷体"/>
                <w:b/>
                <w:noProof/>
              </w:rPr>
              <w:t>PVC：高库存+弱复苏 驱动不足</w:t>
            </w:r>
          </w:hyperlink>
        </w:p>
        <w:p w:rsidR="00F920DB" w:rsidRDefault="00F920DB">
          <w:pPr>
            <w:pStyle w:val="23"/>
            <w:tabs>
              <w:tab w:val="right" w:leader="dot" w:pos="8296"/>
            </w:tabs>
            <w:rPr>
              <w:rFonts w:eastAsiaTheme="minorEastAsia"/>
              <w:noProof/>
              <w:szCs w:val="22"/>
            </w:rPr>
          </w:pPr>
          <w:hyperlink w:anchor="_Toc143593290" w:history="1">
            <w:r w:rsidRPr="00C15F4B">
              <w:rPr>
                <w:rStyle w:val="a9"/>
                <w:rFonts w:ascii="楷体" w:eastAsia="楷体" w:hAnsi="楷体"/>
                <w:b/>
                <w:noProof/>
              </w:rPr>
              <w:t>聚烯烃：终端改善情况不一，PP整体强于PE</w:t>
            </w:r>
          </w:hyperlink>
        </w:p>
        <w:p w:rsidR="00F920DB" w:rsidRDefault="00F920DB">
          <w:pPr>
            <w:pStyle w:val="23"/>
            <w:tabs>
              <w:tab w:val="right" w:leader="dot" w:pos="8296"/>
            </w:tabs>
            <w:rPr>
              <w:rFonts w:eastAsiaTheme="minorEastAsia"/>
              <w:noProof/>
              <w:szCs w:val="22"/>
            </w:rPr>
          </w:pPr>
          <w:hyperlink w:anchor="_Toc143593291" w:history="1">
            <w:r w:rsidRPr="00C15F4B">
              <w:rPr>
                <w:rStyle w:val="a9"/>
                <w:rFonts w:ascii="楷体" w:eastAsia="楷体" w:hAnsi="楷体"/>
                <w:b/>
                <w:noProof/>
              </w:rPr>
              <w:t>MEG：存弱反弹估值修复预期，关注01低多机会</w:t>
            </w:r>
          </w:hyperlink>
        </w:p>
        <w:p w:rsidR="00F920DB" w:rsidRDefault="00F920DB">
          <w:pPr>
            <w:pStyle w:val="23"/>
            <w:tabs>
              <w:tab w:val="right" w:leader="dot" w:pos="8296"/>
            </w:tabs>
            <w:rPr>
              <w:rFonts w:eastAsiaTheme="minorEastAsia"/>
              <w:noProof/>
              <w:szCs w:val="22"/>
            </w:rPr>
          </w:pPr>
          <w:hyperlink w:anchor="_Toc143593292" w:history="1">
            <w:r w:rsidRPr="00C15F4B">
              <w:rPr>
                <w:rStyle w:val="a9"/>
                <w:rFonts w:ascii="楷体" w:eastAsia="楷体" w:hAnsi="楷体"/>
                <w:b/>
                <w:noProof/>
              </w:rPr>
              <w:t>玻璃：短期矛盾不突出，建议观望</w:t>
            </w:r>
          </w:hyperlink>
        </w:p>
        <w:p w:rsidR="00F920DB" w:rsidRDefault="00F920DB">
          <w:pPr>
            <w:pStyle w:val="23"/>
            <w:tabs>
              <w:tab w:val="right" w:leader="dot" w:pos="8296"/>
            </w:tabs>
            <w:rPr>
              <w:rFonts w:eastAsiaTheme="minorEastAsia"/>
              <w:noProof/>
              <w:szCs w:val="22"/>
            </w:rPr>
          </w:pPr>
          <w:hyperlink w:anchor="_Toc143593293" w:history="1">
            <w:r w:rsidRPr="00C15F4B">
              <w:rPr>
                <w:rStyle w:val="a9"/>
                <w:rFonts w:ascii="楷体" w:eastAsia="楷体" w:hAnsi="楷体"/>
                <w:b/>
                <w:noProof/>
              </w:rPr>
              <w:t>纯碱：近月转升水后尾端风险加剧，建议观望</w:t>
            </w:r>
          </w:hyperlink>
        </w:p>
        <w:p w:rsidR="00F920DB" w:rsidRDefault="00F920DB">
          <w:pPr>
            <w:pStyle w:val="11"/>
            <w:tabs>
              <w:tab w:val="right" w:leader="dot" w:pos="8296"/>
            </w:tabs>
            <w:rPr>
              <w:rFonts w:eastAsiaTheme="minorEastAsia"/>
              <w:noProof/>
              <w:szCs w:val="22"/>
            </w:rPr>
          </w:pPr>
          <w:hyperlink w:anchor="_Toc143593294" w:history="1">
            <w:r w:rsidRPr="00C15F4B">
              <w:rPr>
                <w:rStyle w:val="a9"/>
                <w:rFonts w:ascii="Times New Roman" w:eastAsia="楷体" w:hAnsi="Times New Roman"/>
                <w:b/>
                <w:noProof/>
              </w:rPr>
              <w:t>[</w:t>
            </w:r>
            <w:r w:rsidRPr="00C15F4B">
              <w:rPr>
                <w:rStyle w:val="a9"/>
                <w:rFonts w:ascii="Times New Roman" w:eastAsia="楷体" w:hAnsi="Times New Roman"/>
                <w:b/>
                <w:noProof/>
              </w:rPr>
              <w:t>农产品</w:t>
            </w:r>
            <w:r w:rsidRPr="00C15F4B">
              <w:rPr>
                <w:rStyle w:val="a9"/>
                <w:rFonts w:ascii="Times New Roman" w:eastAsia="楷体" w:hAnsi="Times New Roman"/>
                <w:b/>
                <w:noProof/>
              </w:rPr>
              <w:t>]</w:t>
            </w:r>
          </w:hyperlink>
        </w:p>
        <w:p w:rsidR="00F920DB" w:rsidRDefault="00F920DB">
          <w:pPr>
            <w:pStyle w:val="23"/>
            <w:tabs>
              <w:tab w:val="right" w:leader="dot" w:pos="8296"/>
            </w:tabs>
            <w:rPr>
              <w:rFonts w:eastAsiaTheme="minorEastAsia"/>
              <w:noProof/>
              <w:szCs w:val="22"/>
            </w:rPr>
          </w:pPr>
          <w:hyperlink w:anchor="_Toc143593295" w:history="1">
            <w:r w:rsidRPr="00C15F4B">
              <w:rPr>
                <w:rStyle w:val="a9"/>
                <w:rFonts w:ascii="楷体" w:eastAsia="楷体" w:hAnsi="楷体"/>
                <w:b/>
                <w:noProof/>
              </w:rPr>
              <w:t>豆粕/菜粕：短期维持高位震荡</w:t>
            </w:r>
          </w:hyperlink>
        </w:p>
        <w:p w:rsidR="00F920DB" w:rsidRDefault="00F920DB">
          <w:pPr>
            <w:pStyle w:val="23"/>
            <w:tabs>
              <w:tab w:val="right" w:leader="dot" w:pos="8296"/>
            </w:tabs>
            <w:rPr>
              <w:rFonts w:eastAsiaTheme="minorEastAsia"/>
              <w:noProof/>
              <w:szCs w:val="22"/>
            </w:rPr>
          </w:pPr>
          <w:hyperlink w:anchor="_Toc143593296" w:history="1">
            <w:r w:rsidRPr="00C15F4B">
              <w:rPr>
                <w:rStyle w:val="a9"/>
                <w:rFonts w:ascii="楷体" w:eastAsia="楷体" w:hAnsi="楷体"/>
                <w:b/>
                <w:noProof/>
              </w:rPr>
              <w:t>油脂：预计维持宽幅震荡</w:t>
            </w:r>
          </w:hyperlink>
        </w:p>
        <w:p w:rsidR="00F920DB" w:rsidRDefault="00F920DB">
          <w:pPr>
            <w:pStyle w:val="23"/>
            <w:tabs>
              <w:tab w:val="right" w:leader="dot" w:pos="8296"/>
            </w:tabs>
            <w:rPr>
              <w:rFonts w:eastAsiaTheme="minorEastAsia"/>
              <w:noProof/>
              <w:szCs w:val="22"/>
            </w:rPr>
          </w:pPr>
          <w:hyperlink w:anchor="_Toc143593297" w:history="1">
            <w:r w:rsidRPr="00C15F4B">
              <w:rPr>
                <w:rStyle w:val="a9"/>
                <w:rFonts w:ascii="楷体" w:eastAsia="楷体" w:hAnsi="楷体"/>
                <w:b/>
                <w:bCs/>
                <w:noProof/>
              </w:rPr>
              <w:t>玉米与淀粉：</w:t>
            </w:r>
            <w:r w:rsidRPr="00C15F4B">
              <w:rPr>
                <w:rStyle w:val="a9"/>
                <w:rFonts w:ascii="楷体" w:eastAsia="楷体" w:hAnsi="楷体"/>
                <w:b/>
                <w:noProof/>
              </w:rPr>
              <w:t>期价冲高回落</w:t>
            </w:r>
          </w:hyperlink>
        </w:p>
        <w:p w:rsidR="00F920DB" w:rsidRDefault="00F920DB">
          <w:pPr>
            <w:pStyle w:val="23"/>
            <w:tabs>
              <w:tab w:val="right" w:leader="dot" w:pos="8296"/>
            </w:tabs>
            <w:rPr>
              <w:rFonts w:eastAsiaTheme="minorEastAsia"/>
              <w:noProof/>
              <w:szCs w:val="22"/>
            </w:rPr>
          </w:pPr>
          <w:hyperlink w:anchor="_Toc143593298" w:history="1">
            <w:r w:rsidRPr="00C15F4B">
              <w:rPr>
                <w:rStyle w:val="a9"/>
                <w:rFonts w:ascii="楷体" w:eastAsia="楷体" w:hAnsi="楷体"/>
                <w:b/>
                <w:bCs/>
                <w:noProof/>
              </w:rPr>
              <w:t>畜禽养殖：期价均有所上涨</w:t>
            </w:r>
          </w:hyperlink>
        </w:p>
        <w:p w:rsidR="00F920DB" w:rsidRDefault="00F920DB">
          <w:pPr>
            <w:pStyle w:val="23"/>
            <w:tabs>
              <w:tab w:val="right" w:leader="dot" w:pos="8296"/>
            </w:tabs>
            <w:rPr>
              <w:rFonts w:eastAsiaTheme="minorEastAsia"/>
              <w:noProof/>
              <w:szCs w:val="22"/>
            </w:rPr>
          </w:pPr>
          <w:hyperlink w:anchor="_Toc143593299" w:history="1">
            <w:r w:rsidRPr="00C15F4B">
              <w:rPr>
                <w:rStyle w:val="a9"/>
                <w:rFonts w:ascii="楷体" w:eastAsia="楷体" w:hAnsi="楷体"/>
                <w:b/>
                <w:noProof/>
              </w:rPr>
              <w:t>郑棉：16750以下逢低买入或卖出01看跌期权</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35932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3593271"/>
      <w:bookmarkEnd w:id="4"/>
      <w:r>
        <w:rPr>
          <w:rFonts w:ascii="Times New Roman" w:eastAsia="楷体" w:hAnsi="Times New Roman" w:hint="eastAsia"/>
          <w:b/>
          <w:color w:val="000000" w:themeColor="text1"/>
          <w:sz w:val="24"/>
          <w:szCs w:val="24"/>
        </w:rPr>
        <w:t>股指：</w:t>
      </w:r>
      <w:bookmarkEnd w:id="6"/>
      <w:bookmarkEnd w:id="7"/>
      <w:r w:rsidR="00344AED" w:rsidRPr="00344AED">
        <w:rPr>
          <w:rFonts w:ascii="Times New Roman" w:eastAsia="楷体" w:hAnsi="Times New Roman" w:hint="eastAsia"/>
          <w:b/>
          <w:color w:val="000000" w:themeColor="text1"/>
          <w:sz w:val="24"/>
          <w:szCs w:val="24"/>
        </w:rPr>
        <w:t>观望为主，待企稳后低多</w:t>
      </w:r>
      <w:bookmarkEnd w:id="8"/>
    </w:p>
    <w:p w:rsidR="003F56A5" w:rsidRDefault="00344AED" w:rsidP="00D14B3E">
      <w:pPr>
        <w:ind w:leftChars="300" w:left="630"/>
        <w:rPr>
          <w:rFonts w:ascii="Times New Roman" w:eastAsia="楷体" w:hAnsi="Times New Roman"/>
          <w:color w:val="000000" w:themeColor="text1"/>
          <w:sz w:val="24"/>
          <w:szCs w:val="24"/>
        </w:rPr>
      </w:pPr>
      <w:r w:rsidRPr="00344AED">
        <w:rPr>
          <w:rFonts w:ascii="Times New Roman" w:eastAsia="楷体" w:hAnsi="Times New Roman" w:hint="eastAsia"/>
          <w:color w:val="000000" w:themeColor="text1"/>
          <w:sz w:val="24"/>
          <w:szCs w:val="24"/>
        </w:rPr>
        <w:t>活跃资本市场政策落地，可能存在政策预期的心理落差或导致市场短期仍有波动风险，其余政策仍有想象空间。当前大盘指数与去年</w:t>
      </w:r>
      <w:r w:rsidRPr="00344AED">
        <w:rPr>
          <w:rFonts w:ascii="Times New Roman" w:eastAsia="楷体" w:hAnsi="Times New Roman" w:hint="eastAsia"/>
          <w:color w:val="000000" w:themeColor="text1"/>
          <w:sz w:val="24"/>
          <w:szCs w:val="24"/>
        </w:rPr>
        <w:t>4</w:t>
      </w:r>
      <w:r w:rsidRPr="00344AED">
        <w:rPr>
          <w:rFonts w:ascii="Times New Roman" w:eastAsia="楷体" w:hAnsi="Times New Roman" w:hint="eastAsia"/>
          <w:color w:val="000000" w:themeColor="text1"/>
          <w:sz w:val="24"/>
          <w:szCs w:val="24"/>
        </w:rPr>
        <w:t>月底和</w:t>
      </w:r>
      <w:r w:rsidRPr="00344AED">
        <w:rPr>
          <w:rFonts w:ascii="Times New Roman" w:eastAsia="楷体" w:hAnsi="Times New Roman" w:hint="eastAsia"/>
          <w:color w:val="000000" w:themeColor="text1"/>
          <w:sz w:val="24"/>
          <w:szCs w:val="24"/>
        </w:rPr>
        <w:t>10</w:t>
      </w:r>
      <w:r w:rsidRPr="00344AED">
        <w:rPr>
          <w:rFonts w:ascii="Times New Roman" w:eastAsia="楷体" w:hAnsi="Times New Roman" w:hint="eastAsia"/>
          <w:color w:val="000000" w:themeColor="text1"/>
          <w:sz w:val="24"/>
          <w:szCs w:val="24"/>
        </w:rPr>
        <w:t>月对比，尽管震荡中枢相对于去年有明显抬升，但主要还是由以中特估和高股息为代表的大盘价值在做核心</w:t>
      </w:r>
      <w:r w:rsidRPr="00344AED">
        <w:rPr>
          <w:rFonts w:ascii="Times New Roman" w:eastAsia="楷体" w:hAnsi="Times New Roman" w:hint="eastAsia"/>
          <w:color w:val="000000" w:themeColor="text1"/>
          <w:sz w:val="24"/>
          <w:szCs w:val="24"/>
        </w:rPr>
        <w:t xml:space="preserve"> </w:t>
      </w:r>
      <w:r w:rsidRPr="00344AED">
        <w:rPr>
          <w:rFonts w:ascii="Times New Roman" w:eastAsia="楷体" w:hAnsi="Times New Roman" w:hint="eastAsia"/>
          <w:color w:val="000000" w:themeColor="text1"/>
          <w:sz w:val="24"/>
          <w:szCs w:val="24"/>
        </w:rPr>
        <w:t>支撑，但其余行业、板块大都已跌破去年市场底部的点位。客观而言，定价环境是较好的，市场已经计入较多悲观预期，下行空间较为有限，待市场情绪宣泄后可低位布局指数多单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359327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3593273"/>
      <w:r>
        <w:rPr>
          <w:rFonts w:ascii="Times New Roman" w:eastAsia="楷体" w:hAnsi="Times New Roman" w:hint="eastAsia"/>
          <w:b/>
          <w:color w:val="000000" w:themeColor="text1"/>
          <w:sz w:val="24"/>
          <w:szCs w:val="24"/>
        </w:rPr>
        <w:t>贵金属：</w:t>
      </w:r>
      <w:r w:rsidR="00F920DB" w:rsidRPr="00F920DB">
        <w:rPr>
          <w:rFonts w:ascii="Times New Roman" w:eastAsia="楷体" w:hAnsi="Times New Roman" w:hint="eastAsia"/>
          <w:b/>
          <w:color w:val="000000" w:themeColor="text1"/>
          <w:sz w:val="24"/>
          <w:szCs w:val="24"/>
        </w:rPr>
        <w:t>标普下调数家银行评级，贵金属价格小幅反弹</w:t>
      </w:r>
      <w:bookmarkEnd w:id="10"/>
    </w:p>
    <w:p w:rsidR="003F56A5" w:rsidRDefault="00F920DB">
      <w:pPr>
        <w:ind w:leftChars="300" w:left="630"/>
        <w:rPr>
          <w:rFonts w:ascii="Times New Roman" w:eastAsia="楷体" w:hAnsi="Times New Roman"/>
          <w:sz w:val="24"/>
          <w:szCs w:val="24"/>
        </w:rPr>
      </w:pPr>
      <w:r w:rsidRPr="00F920DB">
        <w:rPr>
          <w:rFonts w:ascii="Times New Roman" w:eastAsia="楷体" w:hAnsi="Times New Roman" w:hint="eastAsia"/>
          <w:color w:val="000000" w:themeColor="text1"/>
          <w:sz w:val="24"/>
          <w:szCs w:val="24"/>
        </w:rPr>
        <w:t>标普下调</w:t>
      </w:r>
      <w:r w:rsidRPr="00F920DB">
        <w:rPr>
          <w:rFonts w:ascii="Times New Roman" w:eastAsia="楷体" w:hAnsi="Times New Roman" w:hint="eastAsia"/>
          <w:color w:val="000000" w:themeColor="text1"/>
          <w:sz w:val="24"/>
          <w:szCs w:val="24"/>
        </w:rPr>
        <w:t>KeyCorp</w:t>
      </w:r>
      <w:r w:rsidRPr="00F920DB">
        <w:rPr>
          <w:rFonts w:ascii="Times New Roman" w:eastAsia="楷体" w:hAnsi="Times New Roman" w:hint="eastAsia"/>
          <w:color w:val="000000" w:themeColor="text1"/>
          <w:sz w:val="24"/>
          <w:szCs w:val="24"/>
        </w:rPr>
        <w:t>、</w:t>
      </w:r>
      <w:r w:rsidRPr="00F920DB">
        <w:rPr>
          <w:rFonts w:ascii="Times New Roman" w:eastAsia="楷体" w:hAnsi="Times New Roman" w:hint="eastAsia"/>
          <w:color w:val="000000" w:themeColor="text1"/>
          <w:sz w:val="24"/>
          <w:szCs w:val="24"/>
        </w:rPr>
        <w:t>Comerica</w:t>
      </w:r>
      <w:r w:rsidRPr="00F920DB">
        <w:rPr>
          <w:rFonts w:ascii="Times New Roman" w:eastAsia="楷体" w:hAnsi="Times New Roman" w:hint="eastAsia"/>
          <w:color w:val="000000" w:themeColor="text1"/>
          <w:sz w:val="24"/>
          <w:szCs w:val="24"/>
        </w:rPr>
        <w:t>、</w:t>
      </w:r>
      <w:r w:rsidRPr="00F920DB">
        <w:rPr>
          <w:rFonts w:ascii="Times New Roman" w:eastAsia="楷体" w:hAnsi="Times New Roman" w:hint="eastAsia"/>
          <w:color w:val="000000" w:themeColor="text1"/>
          <w:sz w:val="24"/>
          <w:szCs w:val="24"/>
        </w:rPr>
        <w:t>Valley National Bancorp</w:t>
      </w:r>
      <w:r w:rsidRPr="00F920DB">
        <w:rPr>
          <w:rFonts w:ascii="Times New Roman" w:eastAsia="楷体" w:hAnsi="Times New Roman" w:hint="eastAsia"/>
          <w:color w:val="000000" w:themeColor="text1"/>
          <w:sz w:val="24"/>
          <w:szCs w:val="24"/>
        </w:rPr>
        <w:t>、</w:t>
      </w:r>
      <w:r w:rsidRPr="00F920DB">
        <w:rPr>
          <w:rFonts w:ascii="Times New Roman" w:eastAsia="楷体" w:hAnsi="Times New Roman" w:hint="eastAsia"/>
          <w:color w:val="000000" w:themeColor="text1"/>
          <w:sz w:val="24"/>
          <w:szCs w:val="24"/>
        </w:rPr>
        <w:t>UMB Financial Corp</w:t>
      </w:r>
      <w:r w:rsidRPr="00F920DB">
        <w:rPr>
          <w:rFonts w:ascii="Times New Roman" w:eastAsia="楷体" w:hAnsi="Times New Roman" w:hint="eastAsia"/>
          <w:color w:val="000000" w:themeColor="text1"/>
          <w:sz w:val="24"/>
          <w:szCs w:val="24"/>
        </w:rPr>
        <w:t>、</w:t>
      </w:r>
      <w:r w:rsidRPr="00F920DB">
        <w:rPr>
          <w:rFonts w:ascii="Times New Roman" w:eastAsia="楷体" w:hAnsi="Times New Roman" w:hint="eastAsia"/>
          <w:color w:val="000000" w:themeColor="text1"/>
          <w:sz w:val="24"/>
          <w:szCs w:val="24"/>
        </w:rPr>
        <w:t>Associated Bank-Corp</w:t>
      </w:r>
      <w:r w:rsidRPr="00F920DB">
        <w:rPr>
          <w:rFonts w:ascii="Times New Roman" w:eastAsia="楷体" w:hAnsi="Times New Roman" w:hint="eastAsia"/>
          <w:color w:val="000000" w:themeColor="text1"/>
          <w:sz w:val="24"/>
          <w:szCs w:val="24"/>
        </w:rPr>
        <w:t>等数家银行评级，将</w:t>
      </w:r>
      <w:r w:rsidRPr="00F920DB">
        <w:rPr>
          <w:rFonts w:ascii="Times New Roman" w:eastAsia="楷体" w:hAnsi="Times New Roman" w:hint="eastAsia"/>
          <w:color w:val="000000" w:themeColor="text1"/>
          <w:sz w:val="24"/>
          <w:szCs w:val="24"/>
        </w:rPr>
        <w:t>River City Bank</w:t>
      </w:r>
      <w:r w:rsidRPr="00F920DB">
        <w:rPr>
          <w:rFonts w:ascii="Times New Roman" w:eastAsia="楷体" w:hAnsi="Times New Roman" w:hint="eastAsia"/>
          <w:color w:val="000000" w:themeColor="text1"/>
          <w:sz w:val="24"/>
          <w:szCs w:val="24"/>
        </w:rPr>
        <w:t>和</w:t>
      </w:r>
      <w:r w:rsidRPr="00F920DB">
        <w:rPr>
          <w:rFonts w:ascii="Times New Roman" w:eastAsia="楷体" w:hAnsi="Times New Roman" w:hint="eastAsia"/>
          <w:color w:val="000000" w:themeColor="text1"/>
          <w:sz w:val="24"/>
          <w:szCs w:val="24"/>
        </w:rPr>
        <w:t>S&amp;T Bank</w:t>
      </w:r>
      <w:r w:rsidRPr="00F920DB">
        <w:rPr>
          <w:rFonts w:ascii="Times New Roman" w:eastAsia="楷体" w:hAnsi="Times New Roman" w:hint="eastAsia"/>
          <w:color w:val="000000" w:themeColor="text1"/>
          <w:sz w:val="24"/>
          <w:szCs w:val="24"/>
        </w:rPr>
        <w:t>的评级展望下调至负面，并表示银行融资成本上升、存款下降对银行的流动性形成挤压作用。杰克逊霍尔全球央行年会将于</w:t>
      </w:r>
      <w:r w:rsidRPr="00F920DB">
        <w:rPr>
          <w:rFonts w:ascii="Times New Roman" w:eastAsia="楷体" w:hAnsi="Times New Roman" w:hint="eastAsia"/>
          <w:color w:val="000000" w:themeColor="text1"/>
          <w:sz w:val="24"/>
          <w:szCs w:val="24"/>
        </w:rPr>
        <w:t>8</w:t>
      </w:r>
      <w:r w:rsidRPr="00F920DB">
        <w:rPr>
          <w:rFonts w:ascii="Times New Roman" w:eastAsia="楷体" w:hAnsi="Times New Roman" w:hint="eastAsia"/>
          <w:color w:val="000000" w:themeColor="text1"/>
          <w:sz w:val="24"/>
          <w:szCs w:val="24"/>
        </w:rPr>
        <w:t>月</w:t>
      </w:r>
      <w:r w:rsidRPr="00F920DB">
        <w:rPr>
          <w:rFonts w:ascii="Times New Roman" w:eastAsia="楷体" w:hAnsi="Times New Roman" w:hint="eastAsia"/>
          <w:color w:val="000000" w:themeColor="text1"/>
          <w:sz w:val="24"/>
          <w:szCs w:val="24"/>
        </w:rPr>
        <w:t>24</w:t>
      </w:r>
      <w:r w:rsidRPr="00F920DB">
        <w:rPr>
          <w:rFonts w:ascii="Times New Roman" w:eastAsia="楷体" w:hAnsi="Times New Roman" w:hint="eastAsia"/>
          <w:color w:val="000000" w:themeColor="text1"/>
          <w:sz w:val="24"/>
          <w:szCs w:val="24"/>
        </w:rPr>
        <w:t>日开幕，重点关注美联储主席鲍威尔讲话中对于通胀、经济、货币政策走向的表态。昨日沪金、沪银小幅反弹，中长线看多思路不变，建议沪金、沪银逢低试多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359327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3593275"/>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F920DB" w:rsidRPr="00F920DB">
        <w:rPr>
          <w:rFonts w:ascii="楷体" w:eastAsia="楷体" w:hAnsi="楷体" w:hint="eastAsia"/>
          <w:b/>
          <w:color w:val="000000" w:themeColor="text1"/>
          <w:sz w:val="24"/>
          <w:szCs w:val="24"/>
        </w:rPr>
        <w:t>7月锂矿进口增加，期价小幅反弹</w:t>
      </w:r>
      <w:bookmarkEnd w:id="18"/>
    </w:p>
    <w:p w:rsidR="00F50569" w:rsidRDefault="00F920DB" w:rsidP="00F50569">
      <w:pPr>
        <w:ind w:leftChars="300" w:left="630"/>
        <w:rPr>
          <w:rFonts w:ascii="楷体" w:eastAsia="楷体" w:hAnsi="楷体"/>
          <w:color w:val="000000" w:themeColor="text1"/>
          <w:sz w:val="24"/>
          <w:szCs w:val="24"/>
        </w:rPr>
      </w:pPr>
      <w:r w:rsidRPr="00F920DB">
        <w:rPr>
          <w:rFonts w:ascii="楷体" w:eastAsia="楷体" w:hAnsi="楷体" w:hint="eastAsia"/>
          <w:color w:val="000000" w:themeColor="text1"/>
          <w:sz w:val="24"/>
          <w:szCs w:val="24"/>
        </w:rPr>
        <w:t>7月国内锂辉石精矿进口量约为37万吨，环比增6%，同比增27%，澳大利亚及巴西贡献主要增量，主要原因在于二季度末锂盐价格自低位回升。碳酸锂期货价格止跌反弹，确认下方的19.2万元/吨外购锂云母提锂成本线支撑，电碳、工碳价格走平。下游采购部分松动，基本面仍偏弱。留意青海部分锂企产品竞拍情况，后续关注下游补库需求能否兑现，近期锂价或维持区间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3593276"/>
      <w:r>
        <w:rPr>
          <w:rFonts w:ascii="楷体" w:eastAsia="楷体" w:hAnsi="楷体" w:hint="eastAsia"/>
          <w:b/>
          <w:color w:val="000000" w:themeColor="text1"/>
          <w:sz w:val="24"/>
          <w:szCs w:val="24"/>
        </w:rPr>
        <w:t>螺纹钢：</w:t>
      </w:r>
      <w:bookmarkEnd w:id="16"/>
      <w:bookmarkEnd w:id="17"/>
      <w:r w:rsidR="00F920DB" w:rsidRPr="00F920DB">
        <w:rPr>
          <w:rFonts w:ascii="楷体" w:eastAsia="楷体" w:hAnsi="楷体" w:hint="eastAsia"/>
          <w:b/>
          <w:color w:val="000000" w:themeColor="text1"/>
          <w:sz w:val="24"/>
          <w:szCs w:val="24"/>
        </w:rPr>
        <w:t>成本端支撑，需求缓慢回补，钢价或偏弱震荡</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F920DB" w:rsidP="00201944">
      <w:pPr>
        <w:ind w:leftChars="300" w:left="630"/>
        <w:rPr>
          <w:rFonts w:ascii="楷体" w:eastAsia="楷体" w:hAnsi="楷体"/>
          <w:color w:val="000000" w:themeColor="text1"/>
          <w:sz w:val="24"/>
          <w:szCs w:val="24"/>
        </w:rPr>
      </w:pPr>
      <w:r w:rsidRPr="00F920DB">
        <w:rPr>
          <w:rFonts w:ascii="楷体" w:eastAsia="楷体" w:hAnsi="楷体" w:hint="eastAsia"/>
          <w:color w:val="000000" w:themeColor="text1"/>
          <w:sz w:val="24"/>
          <w:szCs w:val="24"/>
        </w:rPr>
        <w:t>需求呈现环比上行态势，低价下成交较好，或有投机性求出现。成本端或较为坚挺，缩利润下价格下方具有支撑，预计短期或继续偏弱震荡，预计01合约震荡区间（3670,3730）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3593277"/>
      <w:r>
        <w:rPr>
          <w:rFonts w:ascii="楷体" w:eastAsia="楷体" w:hAnsi="楷体" w:hint="eastAsia"/>
          <w:b/>
          <w:color w:val="000000" w:themeColor="text1"/>
          <w:sz w:val="24"/>
          <w:szCs w:val="24"/>
        </w:rPr>
        <w:t>焦炭：</w:t>
      </w:r>
      <w:bookmarkEnd w:id="20"/>
      <w:bookmarkEnd w:id="21"/>
      <w:r w:rsidR="00796CB2" w:rsidRPr="00796CB2">
        <w:rPr>
          <w:rFonts w:ascii="楷体" w:eastAsia="楷体" w:hAnsi="楷体" w:hint="eastAsia"/>
          <w:b/>
          <w:color w:val="000000" w:themeColor="text1"/>
          <w:sz w:val="24"/>
          <w:szCs w:val="24"/>
        </w:rPr>
        <w:t>上下游博弈加剧，盘面贴水较大下震荡运行</w:t>
      </w:r>
      <w:bookmarkEnd w:id="22"/>
    </w:p>
    <w:p w:rsidR="003F56A5" w:rsidRDefault="00796CB2" w:rsidP="00572E35">
      <w:pPr>
        <w:ind w:leftChars="300" w:left="630"/>
        <w:rPr>
          <w:rFonts w:ascii="楷体" w:eastAsia="楷体" w:hAnsi="楷体"/>
          <w:color w:val="000000" w:themeColor="text1"/>
          <w:sz w:val="24"/>
          <w:szCs w:val="24"/>
        </w:rPr>
      </w:pPr>
      <w:r w:rsidRPr="00796CB2">
        <w:rPr>
          <w:rFonts w:ascii="楷体" w:eastAsia="楷体" w:hAnsi="楷体" w:hint="eastAsia"/>
          <w:color w:val="000000" w:themeColor="text1"/>
          <w:sz w:val="24"/>
          <w:szCs w:val="24"/>
        </w:rPr>
        <w:t>个别钢厂提降第一轮，但遭到焦化厂集体反对，目前煤价较高下，或呈现抵抗式下跌。焦炭高基差下或震荡运行，焦炭09合约震荡区间（2200,2270）区间震荡，01合约或在（2140,2240）区间震荡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3593278"/>
      <w:r>
        <w:rPr>
          <w:rFonts w:ascii="楷体" w:eastAsia="楷体" w:hAnsi="楷体" w:hint="eastAsia"/>
          <w:b/>
          <w:color w:val="000000" w:themeColor="text1"/>
          <w:sz w:val="24"/>
          <w:szCs w:val="24"/>
        </w:rPr>
        <w:t>焦煤：</w:t>
      </w:r>
      <w:r w:rsidR="00796CB2" w:rsidRPr="00796CB2">
        <w:rPr>
          <w:rFonts w:ascii="楷体" w:eastAsia="楷体" w:hAnsi="楷体" w:hint="eastAsia"/>
          <w:b/>
          <w:sz w:val="24"/>
          <w:szCs w:val="24"/>
        </w:rPr>
        <w:t>古交安全事故影响，短期或偏强修复价差</w:t>
      </w:r>
      <w:bookmarkEnd w:id="23"/>
    </w:p>
    <w:p w:rsidR="003F56A5" w:rsidRDefault="00796CB2">
      <w:pPr>
        <w:ind w:leftChars="300" w:left="630"/>
        <w:rPr>
          <w:rFonts w:ascii="楷体" w:eastAsia="楷体" w:hAnsi="楷体"/>
          <w:bCs/>
          <w:sz w:val="24"/>
          <w:szCs w:val="24"/>
        </w:rPr>
      </w:pPr>
      <w:r w:rsidRPr="00796CB2">
        <w:rPr>
          <w:rFonts w:ascii="楷体" w:eastAsia="楷体" w:hAnsi="楷体" w:hint="eastAsia"/>
          <w:sz w:val="24"/>
          <w:szCs w:val="24"/>
        </w:rPr>
        <w:lastRenderedPageBreak/>
        <w:t>钢厂提降第一轮焦炭，但古交地区受安全事故影响，煤矿出现大面积停工，短期主焦煤价格有所支撑，前期现货价格回调后偏稳运行。基差较大下，盘面或修复铁水，预计09合约震荡区间（1470，1540），01合约或在（1420,1470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3593279"/>
      <w:r>
        <w:rPr>
          <w:rFonts w:ascii="楷体" w:eastAsia="楷体" w:hAnsi="楷体" w:hint="eastAsia"/>
          <w:b/>
          <w:color w:val="000000" w:themeColor="text1"/>
          <w:sz w:val="24"/>
          <w:szCs w:val="24"/>
        </w:rPr>
        <w:t>铜：</w:t>
      </w:r>
      <w:bookmarkEnd w:id="24"/>
      <w:bookmarkEnd w:id="25"/>
      <w:r w:rsidR="00796CB2" w:rsidRPr="00796CB2">
        <w:rPr>
          <w:rFonts w:ascii="楷体" w:eastAsia="楷体" w:hAnsi="楷体" w:hint="eastAsia"/>
          <w:b/>
          <w:color w:val="000000" w:themeColor="text1"/>
          <w:sz w:val="24"/>
          <w:szCs w:val="24"/>
        </w:rPr>
        <w:t>震荡区间偏强运行</w:t>
      </w:r>
      <w:bookmarkEnd w:id="26"/>
    </w:p>
    <w:p w:rsidR="00796CB2" w:rsidRPr="00796CB2" w:rsidRDefault="00796CB2" w:rsidP="00796CB2">
      <w:pPr>
        <w:ind w:leftChars="300" w:left="630"/>
        <w:rPr>
          <w:rFonts w:ascii="楷体" w:eastAsia="楷体" w:hAnsi="楷体" w:hint="eastAsia"/>
          <w:color w:val="000000" w:themeColor="text1"/>
          <w:sz w:val="24"/>
          <w:szCs w:val="24"/>
        </w:rPr>
      </w:pPr>
      <w:r w:rsidRPr="00796CB2">
        <w:rPr>
          <w:rFonts w:ascii="楷体" w:eastAsia="楷体" w:hAnsi="楷体" w:hint="eastAsia"/>
          <w:color w:val="000000" w:themeColor="text1"/>
          <w:sz w:val="24"/>
          <w:szCs w:val="24"/>
        </w:rPr>
        <w:t>(1)库存：8月21日，SHFE仓单库存14085吨，减1851吨；LME仓单库存95325吨，增3125吨。</w:t>
      </w:r>
    </w:p>
    <w:p w:rsidR="00796CB2" w:rsidRPr="00796CB2" w:rsidRDefault="00796CB2" w:rsidP="00796CB2">
      <w:pPr>
        <w:ind w:leftChars="300" w:left="630"/>
        <w:rPr>
          <w:rFonts w:ascii="楷体" w:eastAsia="楷体" w:hAnsi="楷体" w:hint="eastAsia"/>
          <w:color w:val="000000" w:themeColor="text1"/>
          <w:sz w:val="24"/>
          <w:szCs w:val="24"/>
        </w:rPr>
      </w:pPr>
      <w:r w:rsidRPr="00796CB2">
        <w:rPr>
          <w:rFonts w:ascii="楷体" w:eastAsia="楷体" w:hAnsi="楷体" w:hint="eastAsia"/>
          <w:color w:val="000000" w:themeColor="text1"/>
          <w:sz w:val="24"/>
          <w:szCs w:val="24"/>
        </w:rPr>
        <w:t>(2)精废价差：8月21日，Mysteel精废价差1112，扩大69。目前价差在合理价差1387之下。</w:t>
      </w:r>
    </w:p>
    <w:p w:rsidR="00796CB2" w:rsidRPr="00796CB2" w:rsidRDefault="00796CB2" w:rsidP="00796CB2">
      <w:pPr>
        <w:ind w:leftChars="300" w:left="630"/>
        <w:rPr>
          <w:rFonts w:ascii="楷体" w:eastAsia="楷体" w:hAnsi="楷体"/>
          <w:color w:val="000000" w:themeColor="text1"/>
          <w:sz w:val="24"/>
          <w:szCs w:val="24"/>
        </w:rPr>
      </w:pPr>
    </w:p>
    <w:p w:rsidR="00127803" w:rsidRPr="00127803" w:rsidRDefault="00796CB2" w:rsidP="00796CB2">
      <w:pPr>
        <w:ind w:leftChars="300" w:left="630"/>
        <w:rPr>
          <w:rFonts w:ascii="楷体" w:eastAsia="楷体" w:hAnsi="楷体"/>
          <w:color w:val="000000" w:themeColor="text1"/>
          <w:sz w:val="24"/>
          <w:szCs w:val="24"/>
        </w:rPr>
      </w:pPr>
      <w:r w:rsidRPr="00796CB2">
        <w:rPr>
          <w:rFonts w:ascii="楷体" w:eastAsia="楷体" w:hAnsi="楷体" w:hint="eastAsia"/>
          <w:color w:val="000000" w:themeColor="text1"/>
          <w:sz w:val="24"/>
          <w:szCs w:val="24"/>
        </w:rPr>
        <w:t>综述：当下海内外宏观风险有限，国内传统旺季下的需求增量预期及现实验证是影响当下行情的主要因素。下游在价格走低刺激下积极补库，上期所库存跌至四万吨下方，升水持续走高，支撑铜价，短期铜价继续下调空间有限，大概率将止跌回升至震荡区间内偏强运行，本周沪铜主力波动区间参考67500-69500。本周主要关注欧美PMI初值等数据及杰克逊霍尔全球央行年会上欧美央行释放的政策信号</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3593280"/>
      <w:r>
        <w:rPr>
          <w:rFonts w:ascii="楷体" w:eastAsia="楷体" w:hAnsi="楷体" w:hint="eastAsia"/>
          <w:b/>
          <w:color w:val="000000" w:themeColor="text1"/>
          <w:sz w:val="24"/>
          <w:szCs w:val="24"/>
        </w:rPr>
        <w:t>铝：</w:t>
      </w:r>
      <w:bookmarkEnd w:id="27"/>
      <w:bookmarkEnd w:id="28"/>
      <w:r w:rsidR="00F920DB" w:rsidRPr="00F920DB">
        <w:rPr>
          <w:rFonts w:ascii="楷体" w:eastAsia="楷体" w:hAnsi="楷体" w:hint="eastAsia"/>
          <w:b/>
          <w:color w:val="000000" w:themeColor="text1"/>
          <w:sz w:val="24"/>
          <w:szCs w:val="24"/>
        </w:rPr>
        <w:t>供需面均有改善，价格维持震荡运行</w:t>
      </w:r>
      <w:bookmarkEnd w:id="29"/>
    </w:p>
    <w:p w:rsidR="003F56A5" w:rsidRDefault="00F920DB" w:rsidP="00127803">
      <w:pPr>
        <w:ind w:leftChars="300" w:left="630"/>
        <w:rPr>
          <w:rFonts w:ascii="楷体" w:eastAsia="楷体" w:hAnsi="楷体"/>
          <w:color w:val="000000" w:themeColor="text1"/>
          <w:sz w:val="24"/>
          <w:szCs w:val="24"/>
        </w:rPr>
      </w:pPr>
      <w:r w:rsidRPr="00F920DB">
        <w:rPr>
          <w:rFonts w:ascii="楷体" w:eastAsia="楷体" w:hAnsi="楷体" w:hint="eastAsia"/>
          <w:color w:val="000000" w:themeColor="text1"/>
          <w:sz w:val="24"/>
          <w:szCs w:val="24"/>
        </w:rPr>
        <w:t>美国联储仍有加息可能，国内多项刺激政策出台但效果体现不明显。基本面上，国内铸锭偏少，市场现货偏紧，铝锭社会库存接近50万大关，云南复产逐步进入尾声，铸锭市场量将逐步补充，即将进入消费旺季，下游补库情绪偏高，消费端情绪改善支撑库存进一步去化。短期来看，低库存对铝价仍有支撑作用，供应端增量将逐步体现对价格形成压力，铝价维持区间震荡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3593281"/>
      <w:r>
        <w:rPr>
          <w:rFonts w:ascii="楷体" w:eastAsia="楷体" w:hAnsi="楷体" w:hint="eastAsia"/>
          <w:b/>
          <w:color w:val="000000" w:themeColor="text1"/>
          <w:sz w:val="24"/>
          <w:szCs w:val="24"/>
        </w:rPr>
        <w:t>锌：</w:t>
      </w:r>
      <w:r w:rsidR="00344AED" w:rsidRPr="00344AED">
        <w:rPr>
          <w:rFonts w:ascii="楷体" w:eastAsia="楷体" w:hAnsi="楷体" w:hint="eastAsia"/>
          <w:b/>
          <w:color w:val="000000" w:themeColor="text1"/>
          <w:sz w:val="24"/>
          <w:szCs w:val="24"/>
        </w:rPr>
        <w:t>锌价下方空间有限，回调可考虑建仓</w:t>
      </w:r>
      <w:bookmarkEnd w:id="30"/>
    </w:p>
    <w:p w:rsidR="003F56A5" w:rsidRDefault="00344AED" w:rsidP="000B0648">
      <w:pPr>
        <w:ind w:leftChars="300" w:left="630"/>
        <w:rPr>
          <w:rFonts w:ascii="楷体" w:eastAsia="楷体" w:hAnsi="楷体"/>
          <w:color w:val="000000" w:themeColor="text1"/>
          <w:sz w:val="24"/>
          <w:szCs w:val="24"/>
        </w:rPr>
      </w:pPr>
      <w:r w:rsidRPr="00344AED">
        <w:rPr>
          <w:rFonts w:ascii="楷体" w:eastAsia="楷体" w:hAnsi="楷体" w:hint="eastAsia"/>
          <w:color w:val="000000" w:themeColor="text1"/>
          <w:sz w:val="24"/>
          <w:szCs w:val="24"/>
        </w:rPr>
        <w:t>联储发言偏鹰，海外经济表现仍有韧性，短期降息可能较小，国内MLF降息释放流动性，政策利多持续释放，宏观多空共振。整体锌矿、精锌供应偏松，需求因仍处淡季阶段，镀锌开工维持，氧化锌、锌合金开工等表现一般，锌价近期走势偏弱，破前高位置趋势向下，下方万九附近成本线支撑，下行空间相对有限，部分下游企业采购积极性在锌价下跌的情况下有所增强，下游补库意愿走增，预计在“金九银十”旺季消费兑现之前锌价仍以区间震荡为主，或考虑可在价格回调后逢低建仓</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3593282"/>
      <w:r>
        <w:rPr>
          <w:rFonts w:ascii="楷体" w:eastAsia="楷体" w:hAnsi="楷体" w:hint="eastAsia"/>
          <w:b/>
          <w:color w:val="000000" w:themeColor="text1"/>
          <w:sz w:val="24"/>
          <w:szCs w:val="24"/>
        </w:rPr>
        <w:t>镍：</w:t>
      </w:r>
      <w:r w:rsidR="00F920DB" w:rsidRPr="00F920DB">
        <w:rPr>
          <w:rFonts w:ascii="楷体" w:eastAsia="楷体" w:hAnsi="楷体" w:hint="eastAsia"/>
          <w:b/>
          <w:color w:val="000000" w:themeColor="text1"/>
          <w:sz w:val="24"/>
          <w:szCs w:val="24"/>
        </w:rPr>
        <w:t>短期延续震荡运行</w:t>
      </w:r>
      <w:bookmarkEnd w:id="31"/>
    </w:p>
    <w:p w:rsidR="003F56A5" w:rsidRDefault="00F920DB">
      <w:pPr>
        <w:ind w:leftChars="300" w:left="630"/>
        <w:rPr>
          <w:rFonts w:ascii="楷体" w:eastAsia="楷体" w:hAnsi="楷体"/>
          <w:color w:val="000000" w:themeColor="text1"/>
          <w:sz w:val="24"/>
          <w:szCs w:val="24"/>
        </w:rPr>
      </w:pPr>
      <w:r w:rsidRPr="00F920DB">
        <w:rPr>
          <w:rFonts w:ascii="楷体" w:eastAsia="楷体" w:hAnsi="楷体" w:hint="eastAsia"/>
          <w:color w:val="000000" w:themeColor="text1"/>
          <w:sz w:val="24"/>
          <w:szCs w:val="24"/>
        </w:rPr>
        <w:t>从成本端来看，近期印尼矿部进行廉政调查，镍矿配额签发暂停，且厂家在雨季来临前积极备库，镍矿供应紧张，镍铁价格强势运行，但目前对镍价的传导力度有限。从需求端来看，7月精炼镍消费量同比及环比皆下跌，需求整体偏弱，消费边际增量有限。从供应端来看，又一国产电积镍品牌申请注册LME交割品，将缓解交易所库存紧张问题，原生镍产量不断爬坡，镍中长期供应显著过剩的预期较明晰。海内外交易所库存仍处于历史低位，支撑镍价。昨日成交明显走弱，多头资金大量流出市场。整体而言，目前基本面暂无明显矛盾，短期震荡运行为主</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3593283"/>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1B0610" w:rsidRPr="001B0610">
        <w:rPr>
          <w:rFonts w:ascii="楷体" w:eastAsia="楷体" w:hAnsi="楷体" w:hint="eastAsia"/>
          <w:b/>
          <w:color w:val="000000" w:themeColor="text1"/>
          <w:sz w:val="24"/>
          <w:szCs w:val="24"/>
        </w:rPr>
        <w:t>成本支撑较强，或高位震荡</w:t>
      </w:r>
      <w:bookmarkEnd w:id="32"/>
    </w:p>
    <w:p w:rsidR="008B13D2" w:rsidRPr="008B13D2" w:rsidRDefault="001B0610" w:rsidP="008B13D2">
      <w:pPr>
        <w:ind w:leftChars="300" w:left="630"/>
        <w:rPr>
          <w:rFonts w:ascii="楷体" w:eastAsia="楷体" w:hAnsi="楷体"/>
          <w:color w:val="000000" w:themeColor="text1"/>
          <w:sz w:val="24"/>
          <w:szCs w:val="24"/>
        </w:rPr>
      </w:pPr>
      <w:r w:rsidRPr="001B0610">
        <w:rPr>
          <w:rFonts w:ascii="楷体" w:eastAsia="楷体" w:hAnsi="楷体" w:hint="eastAsia"/>
          <w:color w:val="000000" w:themeColor="text1"/>
          <w:sz w:val="24"/>
          <w:szCs w:val="24"/>
        </w:rPr>
        <w:t>成本端来看，铅精矿维持短缺，原材料供应整体上呈紧张局面，对铅价提供较强的支撑作用。供应端来看，原生铅开工率有所下滑；受废电瓶高价影响，再生铅供应无明显增量。需求端来看，铅酸蓄电池终端消费需求疲弱，不过传统销售旺季增量预期走强。8月期货合约平稳交割，社库近期呈累库态势。整体而言，暂无明显供应压力，传统旺季增消费量预期走强，成本提供有力支撑，沪铅短期或高位震荡</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3593284"/>
      <w:r>
        <w:rPr>
          <w:rFonts w:ascii="楷体" w:eastAsia="楷体" w:hAnsi="楷体" w:hint="eastAsia"/>
          <w:b/>
          <w:color w:val="000000" w:themeColor="text1"/>
          <w:sz w:val="24"/>
          <w:szCs w:val="24"/>
        </w:rPr>
        <w:t>不锈钢：</w:t>
      </w:r>
      <w:r w:rsidR="00F920DB" w:rsidRPr="00F920DB">
        <w:rPr>
          <w:rFonts w:ascii="楷体" w:eastAsia="楷体" w:hAnsi="楷体" w:hint="eastAsia"/>
          <w:b/>
          <w:color w:val="000000" w:themeColor="text1"/>
          <w:sz w:val="24"/>
          <w:szCs w:val="24"/>
        </w:rPr>
        <w:t>成本强支撑，但存在累库压力，上行空间有限</w:t>
      </w:r>
      <w:bookmarkEnd w:id="33"/>
    </w:p>
    <w:p w:rsidR="003F56A5" w:rsidRDefault="00F920DB">
      <w:pPr>
        <w:ind w:leftChars="300" w:left="630"/>
        <w:rPr>
          <w:rFonts w:ascii="楷体" w:eastAsia="楷体" w:hAnsi="楷体"/>
          <w:color w:val="000000" w:themeColor="text1"/>
          <w:sz w:val="24"/>
          <w:szCs w:val="24"/>
        </w:rPr>
      </w:pPr>
      <w:r w:rsidRPr="00F920DB">
        <w:rPr>
          <w:rFonts w:ascii="楷体" w:eastAsia="楷体" w:hAnsi="楷体" w:hint="eastAsia"/>
          <w:color w:val="000000" w:themeColor="text1"/>
          <w:sz w:val="24"/>
          <w:szCs w:val="24"/>
        </w:rPr>
        <w:t>近期不锈钢上涨的驱动主要是由于成本价格的攀升。印尼开展矿端廉政调查，印尼镍矿供应紧缺，镍铁价格高位持稳，市场对镍铁看涨情绪较热烈。进口铬矿采购价维持高位，高碳铬铁价格易涨难跌。成本端涨势给不锈钢价提供有力支撑。受近期利润较好影响，不锈钢供应处于稳定的高排产状态。需求逐渐回暖，存在国内宏观政策推动下的传统消费旺季增量预期。全国主流市场不锈钢社会库存恢复淡季累库，压制不锈钢上行空间。继续关注印尼镍矿政策及需求旺季预期兑现情况</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3593285"/>
      <w:r>
        <w:rPr>
          <w:rFonts w:ascii="楷体" w:eastAsia="楷体" w:hAnsi="楷体" w:hint="eastAsia"/>
          <w:b/>
          <w:color w:val="000000" w:themeColor="text1"/>
          <w:sz w:val="24"/>
          <w:szCs w:val="24"/>
        </w:rPr>
        <w:t>工业硅：</w:t>
      </w:r>
      <w:r w:rsidR="00796CB2" w:rsidRPr="00796CB2">
        <w:rPr>
          <w:rFonts w:ascii="楷体" w:eastAsia="楷体" w:hAnsi="楷体" w:hint="eastAsia"/>
          <w:b/>
          <w:sz w:val="24"/>
          <w:szCs w:val="24"/>
        </w:rPr>
        <w:t>需求存在改善预期，短期盘面或有支撑</w:t>
      </w:r>
      <w:bookmarkEnd w:id="34"/>
    </w:p>
    <w:p w:rsidR="003F56A5" w:rsidRDefault="00796CB2" w:rsidP="00827E8A">
      <w:pPr>
        <w:ind w:leftChars="300" w:left="630"/>
        <w:rPr>
          <w:rFonts w:ascii="楷体" w:eastAsia="楷体" w:hAnsi="楷体"/>
          <w:sz w:val="24"/>
          <w:szCs w:val="24"/>
        </w:rPr>
      </w:pPr>
      <w:r w:rsidRPr="00796CB2">
        <w:rPr>
          <w:rFonts w:ascii="楷体" w:eastAsia="楷体" w:hAnsi="楷体" w:hint="eastAsia"/>
          <w:sz w:val="24"/>
          <w:szCs w:val="24"/>
        </w:rPr>
        <w:t>8月21日，Si2310主力合约有所反弹，收盘价13625元/吨，较上一收盘价涨跌幅+0.70%。目前工厂库存低位，库存结构良好，市场暂无明显库存压力。具体而言（1）西南地区，多数企业将产量陆续签订期货订单，库存向交割库转移明显，整体在现货市场流通量偏少；（2）北方地区，近期现货订单较为良好，去库较为顺利，目前工厂库存处于较低水平。虽然期货库存持续增加，但距离集中注销日还有一段时间，因此暂时不会流回现货市场。整体而言，在工厂库存压力偏小，叠加传统旺季即将来临，需求存在改善预期，预计短期市场下行空间有限，盘面仍有支撑。策略上，可以尝试逢低做多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359328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3593287"/>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796CB2" w:rsidRPr="00796CB2">
        <w:rPr>
          <w:rFonts w:ascii="楷体" w:eastAsia="楷体" w:hAnsi="楷体" w:hint="eastAsia"/>
          <w:b/>
          <w:sz w:val="24"/>
          <w:szCs w:val="24"/>
        </w:rPr>
        <w:t>主产区降雨扰动收胶工作 RU下调空间有限</w:t>
      </w:r>
      <w:bookmarkEnd w:id="37"/>
    </w:p>
    <w:p w:rsidR="003F56A5" w:rsidRDefault="00796CB2">
      <w:pPr>
        <w:ind w:leftChars="300" w:left="630"/>
        <w:rPr>
          <w:rFonts w:ascii="楷体" w:eastAsia="楷体" w:hAnsi="楷体"/>
          <w:sz w:val="24"/>
          <w:szCs w:val="24"/>
        </w:rPr>
      </w:pPr>
      <w:r w:rsidRPr="00796CB2">
        <w:rPr>
          <w:rFonts w:ascii="楷体" w:eastAsia="楷体" w:hAnsi="楷体" w:hint="eastAsia"/>
          <w:sz w:val="24"/>
          <w:szCs w:val="24"/>
        </w:rPr>
        <w:t>点评：供给端，泰国、越南降雨干扰，割胶工作开展受限，原料产出维持偏少状态，加之原料价格低迷，上游工厂生产利润倒挂，或将抑制橡胶产量的大幅增加。中游库存反复变动，绝对值仍处高位，但本周呈现小幅去库，提振市场信心。需求端来看，下游轮胎企业开工率半钢胎好于全钢胎，国内稳经济政策将有利于轮胎替换及配套需求的改善。此外，半钢胎外贸雪地胎需求旺盛，将进一步支撑半钢胎开工率高位运行。但整体内销市场整体出货偏慢，尤其是近期全钢胎成品库存提升，因此短期轮胎厂开工率继续提升的空间有限。终端汽车方面，7月数据同环比均有所走弱，但仍处于近十年同期次高位。整体看，橡胶供应压力小幅缓解，且当前胶价已接近成本线，下调空间不足。操作上，短期建议谨慎偏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3593288"/>
      <w:r>
        <w:rPr>
          <w:rFonts w:ascii="楷体" w:eastAsia="楷体" w:hAnsi="楷体"/>
          <w:b/>
          <w:color w:val="000000" w:themeColor="text1"/>
          <w:sz w:val="24"/>
          <w:szCs w:val="24"/>
        </w:rPr>
        <w:lastRenderedPageBreak/>
        <w:t>PTA</w:t>
      </w:r>
      <w:r>
        <w:rPr>
          <w:rFonts w:ascii="楷体" w:eastAsia="楷体" w:hAnsi="楷体" w:hint="eastAsia"/>
          <w:b/>
          <w:color w:val="000000" w:themeColor="text1"/>
          <w:sz w:val="24"/>
          <w:szCs w:val="24"/>
        </w:rPr>
        <w:t>：</w:t>
      </w:r>
      <w:r w:rsidR="00F920DB" w:rsidRPr="00F920DB">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F920DB" w:rsidP="002C73FE">
      <w:pPr>
        <w:ind w:leftChars="300" w:left="630"/>
        <w:rPr>
          <w:rFonts w:ascii="楷体" w:eastAsia="楷体" w:hAnsi="楷体"/>
          <w:color w:val="000000" w:themeColor="text1"/>
          <w:sz w:val="24"/>
          <w:szCs w:val="24"/>
        </w:rPr>
      </w:pPr>
      <w:r w:rsidRPr="00F920DB">
        <w:rPr>
          <w:rFonts w:ascii="楷体" w:eastAsia="楷体" w:hAnsi="楷体" w:hint="eastAsia"/>
          <w:color w:val="000000" w:themeColor="text1"/>
          <w:sz w:val="24"/>
          <w:szCs w:val="24"/>
        </w:rPr>
        <w:t>原油方面，8月份后原油盘面驱动逻辑将由预期逐步转回现实，资金及基本面对原油预期弱化，宏观避险情绪升温，原油见顶回落，市场等待新的指引。PTA供给方面，周内东营威联重启后5成负荷，百宏降负至5成，恒力，中泰计划内重启，英力士235万吨装置降负运行，嘉兴石化150万吨装置停车，PTA负荷上涨至78.9%（+0.8%）附近。需求方面，本周瓶片装置有检修重启或减产恢复，此外其他装置负荷有局部微调，整体来看聚酯负荷再度回升。截至8.17，初步核算国内大陆地区聚酯负荷在92.8%附近。PTA期价回落后聚酯利润明显改善，库存压力主要集中在终端加弹、纱线、坯布等环节，市场对9-10月份旺季有预期，低库存下预计近期聚酯不会轻易减停产。而前期因上游原料成本走高导致减产的长丝和切片企业后期存负荷提升预期。展望后市，近期PTA装置加工费压缩至200元/吨附近，低加工费下目前成本端支撑仍存，聚酯因库存低位高开工维持需求韧性尚可。但08合约交割完成后部分远月仓单流向市场，基差走弱现货预期偏宽松，预估反弹受限。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3593289"/>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3593290"/>
      <w:r>
        <w:rPr>
          <w:rFonts w:ascii="楷体" w:eastAsia="楷体" w:hAnsi="楷体" w:hint="eastAsia"/>
          <w:b/>
          <w:color w:val="000000" w:themeColor="text1"/>
          <w:sz w:val="24"/>
          <w:szCs w:val="24"/>
        </w:rPr>
        <w:t>聚烯烃：</w:t>
      </w:r>
      <w:r w:rsidR="00344AED" w:rsidRPr="00344AED">
        <w:rPr>
          <w:rFonts w:ascii="楷体" w:eastAsia="楷体" w:hAnsi="楷体" w:hint="eastAsia"/>
          <w:b/>
          <w:color w:val="000000" w:themeColor="text1"/>
          <w:sz w:val="24"/>
          <w:szCs w:val="24"/>
        </w:rPr>
        <w:t>终端改善情况不一，PP整体强于PE</w:t>
      </w:r>
      <w:bookmarkEnd w:id="40"/>
    </w:p>
    <w:p w:rsidR="003F56A5" w:rsidRDefault="00344AED">
      <w:pPr>
        <w:ind w:leftChars="300" w:left="630"/>
        <w:rPr>
          <w:rFonts w:ascii="楷体" w:eastAsia="楷体" w:hAnsi="楷体"/>
          <w:bCs/>
          <w:sz w:val="24"/>
          <w:szCs w:val="24"/>
        </w:rPr>
      </w:pPr>
      <w:r w:rsidRPr="00344AED">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OPEC+坚持减产及美国原油钻井数量连续6周下降，供应趋紧继续给予油价支撑。需求方面，PE下游方面，农膜整体需求平平，工厂生产清淡。棚膜工厂多停机检修；PP下游方面，BOPP市场成交刚需有量，整体量较上一交易日增加，BOPP企业未交付订单多数在一周以内，个别可至八月中。综合来看，PE方面，成本端，本周原油存支撑空间，煤炭方面表现预计变化不大，聚乙烯现货价格或受成本端影响减小；供应端近期生产企业库存预计维持小幅上涨；需求端下游制品订单一般，开工率积极性不高，中小型企业多数逢低刚需补货为主，综合来看，预计今日PE价格震荡为主。PP方面，终端订单虽有改善，但实际运行利润较</w:t>
      </w:r>
      <w:r w:rsidRPr="00344AED">
        <w:rPr>
          <w:rFonts w:ascii="楷体" w:eastAsia="楷体" w:hAnsi="楷体" w:hint="eastAsia"/>
          <w:color w:val="000000" w:themeColor="text1"/>
          <w:sz w:val="24"/>
          <w:szCs w:val="24"/>
        </w:rPr>
        <w:lastRenderedPageBreak/>
        <w:t>难提升。本周归来，市场涨幅或有所放缓，但整体价格依旧或将维持在偏强水平，今日PP价格或走势偏强</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3593291"/>
      <w:r>
        <w:rPr>
          <w:rFonts w:ascii="楷体" w:eastAsia="楷体" w:hAnsi="楷体" w:hint="eastAsia"/>
          <w:b/>
          <w:color w:val="000000" w:themeColor="text1"/>
          <w:sz w:val="24"/>
          <w:szCs w:val="24"/>
        </w:rPr>
        <w:t>MEG：</w:t>
      </w:r>
      <w:r w:rsidR="00F920DB" w:rsidRPr="00F920DB">
        <w:rPr>
          <w:rFonts w:ascii="楷体" w:eastAsia="楷体" w:hAnsi="楷体" w:hint="eastAsia"/>
          <w:b/>
          <w:color w:val="000000" w:themeColor="text1"/>
          <w:sz w:val="24"/>
          <w:szCs w:val="24"/>
        </w:rPr>
        <w:t>存弱反弹估值修复预期，关注01低多机会</w:t>
      </w:r>
      <w:bookmarkEnd w:id="41"/>
    </w:p>
    <w:p w:rsidR="003F56A5" w:rsidRDefault="00F920DB" w:rsidP="00115EEA">
      <w:pPr>
        <w:ind w:leftChars="300" w:left="630"/>
        <w:rPr>
          <w:rFonts w:ascii="楷体" w:eastAsia="楷体" w:hAnsi="楷体"/>
          <w:color w:val="000000" w:themeColor="text1"/>
          <w:sz w:val="24"/>
          <w:szCs w:val="24"/>
        </w:rPr>
      </w:pPr>
      <w:r w:rsidRPr="00F920DB">
        <w:rPr>
          <w:rFonts w:ascii="楷体" w:eastAsia="楷体" w:hAnsi="楷体" w:hint="eastAsia"/>
          <w:color w:val="000000" w:themeColor="text1"/>
          <w:sz w:val="24"/>
          <w:szCs w:val="24"/>
        </w:rPr>
        <w:t>供需情况，8.21华东主港地区MEG港口库存约115.5万吨附近，环比上期增加1.2万吨。8月20日张家港某主流库区MEG发货34000吨左右，太仓两主流库区MEG发货11000吨左右，近期主港发货量大幅增加，但库存总量小累。截至8月17日，中国大陆地区乙二醇整体开工负荷在63.73%（+0.25%），其中煤制乙二醇开工负荷在60.35%（-1.53%）。目前盛虹炼化1#仍在提负中，下周榆林化学单线将恢复运行，国内开工仍有上行空间，整体供应表现宽松。聚酯下游方面，截至8.17，初步核算国内大陆地区聚酯负荷在92.8%附近。终端开工小幅提升，江浙加弹综合开工率76%，江浙织机综合开工率70%（+1%），江浙印染综合开工率77%（+1%）。展望后市，成本端原油及煤价走弱，前期乙二醇成本强支撑力度减弱。但期价在4000附近支撑较强，存弱反弹估值修复预期，关注01低多机会。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3593292"/>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796CB2" w:rsidRPr="00796CB2">
        <w:rPr>
          <w:rFonts w:ascii="楷体" w:eastAsia="楷体" w:hAnsi="楷体" w:hint="eastAsia"/>
          <w:b/>
          <w:color w:val="000000" w:themeColor="text1"/>
          <w:sz w:val="24"/>
          <w:szCs w:val="24"/>
        </w:rPr>
        <w:t>短期矛盾不突出，建议观望</w:t>
      </w:r>
      <w:bookmarkEnd w:id="42"/>
    </w:p>
    <w:p w:rsidR="00A71A7E" w:rsidRDefault="00796CB2" w:rsidP="001F79C6">
      <w:pPr>
        <w:ind w:leftChars="300" w:left="630"/>
        <w:rPr>
          <w:rFonts w:ascii="楷体" w:eastAsia="楷体" w:hAnsi="楷体"/>
          <w:color w:val="000000" w:themeColor="text1"/>
          <w:sz w:val="24"/>
          <w:szCs w:val="24"/>
        </w:rPr>
      </w:pPr>
      <w:r w:rsidRPr="00796CB2">
        <w:rPr>
          <w:rFonts w:ascii="楷体" w:eastAsia="楷体" w:hAnsi="楷体" w:hint="eastAsia"/>
          <w:color w:val="000000" w:themeColor="text1"/>
          <w:sz w:val="24"/>
          <w:szCs w:val="24"/>
        </w:rPr>
        <w:t>隆众资讯8月21日报道：今日浮法玻璃现货价格2034，较上一交易日上涨1元。近期各区域产销继续下滑，各地区涨跌不一，华北厂家降价优惠，西南和西北小幅涨价。供给端，雨季后产量开始回升，需求端，随着产销回落，下游阶段性补库告一段落，周内可能有累库情况出现。玻璃当前处于旺季过渡期，政策面的提振多为前提已提出政策的延展，刺激力度有限，短期暂无强驱动，9-10月旺季预期暂且无法证伪，价格稳价，盘面日内受原料端纯碱大幅涨价影响上涨，但远月供给压力尚在，短期矛盾暂不明显，建议观望</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3593293"/>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796CB2" w:rsidRPr="00796CB2">
        <w:rPr>
          <w:rFonts w:ascii="楷体" w:eastAsia="楷体" w:hAnsi="楷体" w:hint="eastAsia"/>
          <w:b/>
          <w:color w:val="000000" w:themeColor="text1"/>
          <w:sz w:val="24"/>
          <w:szCs w:val="24"/>
        </w:rPr>
        <w:t>近月转升水后尾端风险加剧，建议观望</w:t>
      </w:r>
      <w:bookmarkEnd w:id="43"/>
    </w:p>
    <w:p w:rsidR="00A71A7E" w:rsidRDefault="00796CB2" w:rsidP="00A71A7E">
      <w:pPr>
        <w:ind w:leftChars="300" w:left="630"/>
        <w:rPr>
          <w:rFonts w:ascii="楷体" w:eastAsia="楷体" w:hAnsi="楷体"/>
          <w:bCs/>
          <w:sz w:val="24"/>
          <w:szCs w:val="24"/>
        </w:rPr>
      </w:pPr>
      <w:r w:rsidRPr="00796CB2">
        <w:rPr>
          <w:rFonts w:ascii="楷体" w:eastAsia="楷体" w:hAnsi="楷体" w:hint="eastAsia"/>
          <w:color w:val="000000" w:themeColor="text1"/>
          <w:sz w:val="24"/>
          <w:szCs w:val="24"/>
        </w:rPr>
        <w:t>今日纯碱价格普遍上涨100-150元/吨，华北、华中、华东重碱送达价2300元/吨，华南重碱2550元/吨，西南重碱2450元/吨。供给方面，远兴和金山化工产量逐渐抬升。库存上，截止到2023年8月17日，本周国内纯碱厂家总库存16.47万吨，环比下降4.30万吨，下降20.70%，库存不断新低。需求方面，碱厂订单充足，现货紧缺范围进一步扩大，短期价格易涨难跌。8月供给增量还未完全起量，检修损失较多，周内大幅去库以后盘面近月出现价格挤兑，交割库库存不足，缺货明显，09合约多头占据明显优势，谨慎追空。但随着扩产产量的逐步提升，供给紧张逐步缓解缓解，假设在金山化工和远兴二线能在计划内8月底完成调试的情况下，预计9月中旬左右能看到库存拐点。盘面近期受供给端消息扰动较大，检修和投产增量影响下盘面震荡反复，近月合约快速反弹带动远月合约补涨，短期多空博弈加剧，注意月底近月合约价格挤兑风险，谨慎参与</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359329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3593295"/>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796CB2" w:rsidRPr="00796CB2">
        <w:rPr>
          <w:rFonts w:ascii="楷体" w:eastAsia="楷体" w:hAnsi="楷体" w:hint="eastAsia"/>
          <w:b/>
          <w:sz w:val="24"/>
          <w:szCs w:val="24"/>
        </w:rPr>
        <w:t>短期维持高位震荡</w:t>
      </w:r>
      <w:bookmarkEnd w:id="45"/>
    </w:p>
    <w:p w:rsidR="003F56A5" w:rsidRDefault="00796CB2">
      <w:pPr>
        <w:ind w:leftChars="300" w:left="630"/>
        <w:rPr>
          <w:rFonts w:ascii="楷体" w:eastAsia="楷体" w:hAnsi="楷体"/>
          <w:sz w:val="24"/>
          <w:szCs w:val="24"/>
        </w:rPr>
      </w:pPr>
      <w:r w:rsidRPr="00796CB2">
        <w:rPr>
          <w:rFonts w:ascii="楷体" w:eastAsia="楷体" w:hAnsi="楷体" w:hint="eastAsia"/>
          <w:sz w:val="24"/>
          <w:szCs w:val="24"/>
        </w:rPr>
        <w:lastRenderedPageBreak/>
        <w:t>国际方面，气象机构预估8月25日至29日期间，美国中西部降雨可能接近或低于正常，且部分地区或较干旱，天气升水注入提振美豆价格反弹。8月usda报告整体符合市场预期，美国农业部将美国大豆单产调低1.1蒲，至50.9蒲/英亩；大豆产量调低0.95亿蒲，为42.05亿蒲；本周关注田间调研情况以及后续9月报告对单产的调整。近期在天气利好下，干旱面积收窄，优良率持续改善，截至8月20日当周，美国大豆优良率为59%，较前一周持平，上年同期为57%。国内现货持续上涨对期价构成支撑，海关抽查趋严，进口大豆入关速度较慢，部分油厂存断豆停机情况，油厂开机仍未显著上调，从而再度影响豆粕累库进度，支撑现货报价坚挺，当前主流油厂豆粕现货报价大幅上调至4780-4850元/吨。大豆6-8月到港量仍较充裕，6月进口到港1027万吨，7月到港973万吨，但对北美新作买船进度偏慢，预计9-10月进口到港将收紧，远月预期到港紧张支撑远月基差报价坚挺。需求，下游生猪养殖利润近期有显著改善，养殖端需求回暖，提振整体终端企业存补库需求，表需整体较好。菜粕当前供给相对偏紧，随着6月份后菜籽到港减少，油厂压榨也在逐步下滑。而需求方面，当前处于水产养殖旺季，下游提货较好，仍对期价构成支撑，同时随着近期豆粕价格大幅上涨，菜粕仍有比价优势，替代需求好转。策略方面，谨慎看多，短期建议可继续参与月间正套，高位追多风险较大</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3593296"/>
      <w:r>
        <w:rPr>
          <w:rFonts w:ascii="楷体" w:eastAsia="楷体" w:hAnsi="楷体" w:hint="eastAsia"/>
          <w:b/>
          <w:color w:val="000000" w:themeColor="text1"/>
          <w:sz w:val="24"/>
          <w:szCs w:val="24"/>
        </w:rPr>
        <w:t>油脂：</w:t>
      </w:r>
      <w:r w:rsidR="00796CB2" w:rsidRPr="00796CB2">
        <w:rPr>
          <w:rFonts w:ascii="楷体" w:eastAsia="楷体" w:hAnsi="楷体" w:hint="eastAsia"/>
          <w:b/>
          <w:sz w:val="24"/>
          <w:szCs w:val="24"/>
        </w:rPr>
        <w:t>预计维持宽幅震荡</w:t>
      </w:r>
      <w:bookmarkEnd w:id="46"/>
    </w:p>
    <w:p w:rsidR="003F56A5" w:rsidRDefault="00796CB2" w:rsidP="00792D31">
      <w:pPr>
        <w:ind w:leftChars="300" w:left="630"/>
        <w:rPr>
          <w:rFonts w:ascii="楷体" w:eastAsia="楷体" w:hAnsi="楷体"/>
          <w:sz w:val="24"/>
          <w:szCs w:val="24"/>
        </w:rPr>
      </w:pPr>
      <w:r w:rsidRPr="00796CB2">
        <w:rPr>
          <w:rFonts w:ascii="楷体" w:eastAsia="楷体" w:hAnsi="楷体" w:hint="eastAsia"/>
          <w:sz w:val="24"/>
          <w:szCs w:val="24"/>
        </w:rPr>
        <w:t>产地供需两旺，矛盾并不突出，短期驱动有限，国内油脂虽将进入消费旺季，但供给仍较充裕，价格上方受限。棕榈油，产地仍处于季节性增产周期，印尼棕榈油5月份在供给增量大于需求下，库存持续回升，供给压力显现。而马棕产量7月显著改善，且8-9月份仍处于产量的季节性增产阶段，关注后续产量修复情况；但7月库存增幅不及预期，因出口环比增加，且根据ITS数据，8月1-20日棕榈油出口量为806655吨，环比增加17.4%，马棕累库速度预计仍偏慢，对价格构成支撑。国内棕榈油7-8月份进口到港预计增加，库存维持同期高位，最新商业库存为60.84万吨，已连续三周减少，在于下游成交的好转。需求端，当前在豆棕价差拉大下，利好棕榈油下游消费需求，成交好转，但四季度为棕榈油消费淡季，预计后续北方地区需求将转向豆油。豆油累库或放缓。国内7-8月进口大豆到港量仍不少，虽前几周油厂开机恢复，豆油供应回升，但近期受海关检验问题油厂存断豆停机现象，或影响豆油累库进程。需求端，8月份后下游将陆续开始为双节备货且高校等将陆续开学，需求端或能逐步好转。菜油在进口菜籽减少下，供应压力减轻。当前主产地菜籽还未上市，供应处于青黄不接的阶段，全球菜籽新作产量不确定性仍存。随着后续进口加籽到港量的减少，菜籽开机及压榨水平也有所降低，7月菜籽进口环比下滑64.8%，但当前供应仍较充裕。需求方面，与替代油脂价差仍不存在优势，当前去库速度缓慢，关注双节备货需求。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3593297"/>
      <w:r>
        <w:rPr>
          <w:rFonts w:ascii="楷体" w:eastAsia="楷体" w:hAnsi="楷体" w:hint="eastAsia"/>
          <w:b/>
          <w:bCs/>
          <w:color w:val="000000" w:themeColor="text1"/>
        </w:rPr>
        <w:t>玉米与淀粉：</w:t>
      </w:r>
      <w:r w:rsidR="00796CB2" w:rsidRPr="00796CB2">
        <w:rPr>
          <w:rFonts w:ascii="楷体" w:eastAsia="楷体" w:hAnsi="楷体" w:hint="eastAsia"/>
          <w:b/>
        </w:rPr>
        <w:t>期价冲高回落</w:t>
      </w:r>
      <w:bookmarkEnd w:id="47"/>
    </w:p>
    <w:p w:rsidR="00796CB2" w:rsidRPr="00796CB2" w:rsidRDefault="00796CB2" w:rsidP="00796CB2">
      <w:pPr>
        <w:pStyle w:val="paragraph"/>
        <w:spacing w:before="60" w:after="60"/>
        <w:ind w:leftChars="300" w:left="630"/>
        <w:rPr>
          <w:rFonts w:ascii="楷体" w:eastAsia="楷体" w:hAnsi="楷体" w:hint="eastAsia"/>
        </w:rPr>
      </w:pPr>
      <w:r w:rsidRPr="00796CB2">
        <w:rPr>
          <w:rFonts w:ascii="楷体" w:eastAsia="楷体" w:hAnsi="楷体" w:hint="eastAsia"/>
        </w:rPr>
        <w:lastRenderedPageBreak/>
        <w:t>对于玉米而言，近期玉米期价大幅回落至8月初上涨启动位置附近，且远月相对弱于近月，或主要源于两个方面的原因，其一是天气炒作熄火，其二是华北产区深加工企业玉米收购价回落继而担心新作上市压力。但在我们看来，这或许是再次入场做多机会，主要原因有三，其一是陈化水稻拍卖底价支撑依然存在，其二是中下游库存依然处于历史同期低位，其三是小麦价格上涨趋势或已经形成，因其经历3月以来的主动去库存和6月以来的被动去库存之后，目前有望进入主动补库存阶段。在这种情况下，建议投资者如有前期多单，则背靠7月持续区间震荡后的起涨点继续持有；如无前期多单，则可以上述位置作为止损再次入场做多。</w:t>
      </w:r>
    </w:p>
    <w:p w:rsidR="003F56A5" w:rsidRDefault="00796CB2" w:rsidP="00796CB2">
      <w:pPr>
        <w:pStyle w:val="paragraph"/>
        <w:spacing w:before="60" w:beforeAutospacing="0" w:after="60" w:afterAutospacing="0"/>
        <w:ind w:leftChars="300" w:left="630"/>
        <w:rPr>
          <w:rFonts w:ascii="楷体" w:eastAsia="楷体" w:hAnsi="楷体"/>
        </w:rPr>
      </w:pPr>
      <w:r w:rsidRPr="00796CB2">
        <w:rPr>
          <w:rFonts w:ascii="楷体" w:eastAsia="楷体" w:hAnsi="楷体" w:hint="eastAsia"/>
        </w:rPr>
        <w:t>对于淀粉而言，近期淀粉-玉米价差随期价下跌而持续小幅收窄，但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3593298"/>
      <w:r>
        <w:rPr>
          <w:rFonts w:ascii="楷体" w:eastAsia="楷体" w:hAnsi="楷体" w:hint="eastAsia"/>
          <w:b/>
          <w:bCs/>
          <w:color w:val="000000" w:themeColor="text1"/>
        </w:rPr>
        <w:t>畜禽养殖：</w:t>
      </w:r>
      <w:r w:rsidR="00796CB2" w:rsidRPr="00796CB2">
        <w:rPr>
          <w:rFonts w:ascii="楷体" w:eastAsia="楷体" w:hAnsi="楷体" w:hint="eastAsia"/>
          <w:b/>
          <w:bCs/>
          <w:color w:val="000000" w:themeColor="text1"/>
        </w:rPr>
        <w:t>期价均有所上涨</w:t>
      </w:r>
      <w:bookmarkEnd w:id="48"/>
    </w:p>
    <w:p w:rsidR="00796CB2" w:rsidRPr="00796CB2" w:rsidRDefault="00796CB2" w:rsidP="00796CB2">
      <w:pPr>
        <w:pStyle w:val="paragraph"/>
        <w:spacing w:before="60" w:after="60"/>
        <w:ind w:leftChars="300" w:left="630"/>
        <w:rPr>
          <w:rFonts w:ascii="楷体" w:eastAsia="楷体" w:hAnsi="楷体" w:hint="eastAsia"/>
        </w:rPr>
      </w:pPr>
      <w:r w:rsidRPr="00796CB2">
        <w:rPr>
          <w:rFonts w:ascii="楷体" w:eastAsia="楷体" w:hAnsi="楷体" w:hint="eastAsia"/>
        </w:rPr>
        <w:t>对于生猪而言，在前期报告中我们指出，3月以来现货表现不及我们之前预期，问题出在供应量，在供应去化的过程中市场会关注两个方面的机会，其一是去产能带来的周期见底机会，其二是去库存带来的阶段性反弹机会。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转向关注阶段性反弹的高度，值得重点关注的因素有二，其一是生猪养殖成本线，其二是二次育肥。近期现货价格在前期快速反弹之后震荡回调，接下来需要跟踪现货反弹的持续性，因其影响市场对供需的预期。综上所述，维持谨慎看多观点，建议持有前期多单。</w:t>
      </w:r>
    </w:p>
    <w:p w:rsidR="003F56A5" w:rsidRDefault="00796CB2" w:rsidP="00796CB2">
      <w:pPr>
        <w:pStyle w:val="paragraph"/>
        <w:spacing w:before="60" w:beforeAutospacing="0" w:after="60" w:afterAutospacing="0"/>
        <w:ind w:leftChars="300" w:left="630"/>
        <w:rPr>
          <w:rFonts w:ascii="楷体" w:eastAsia="楷体" w:hAnsi="楷体"/>
        </w:rPr>
      </w:pPr>
      <w:r w:rsidRPr="00796CB2">
        <w:rPr>
          <w:rFonts w:ascii="楷体" w:eastAsia="楷体" w:hAnsi="楷体" w:hint="eastAsia"/>
        </w:rPr>
        <w:t>对于鸡蛋而言，鸡蛋期价特别是远月合约在3-6月曾经历大幅下跌，这主要源于春节后鸡蛋现货价格带动养殖利润高企，继而带动蛋鸡补栏积极性上升，淘汰积极性下降，使得市场预期鸡蛋供需趋于改善，这也导致当时鸡蛋远月-近月价差持续收窄。但7月以来鸡蛋现货价格大幅上涨，或导致市场重新评估之前的这一预期，因截至6月底，在产蛋鸡存栏并未环比显著提高，依然维持历史低位运行，在这种情况下，2-5月蛋鸡苗销售量同比增加带来的供应增量会否带来在产蛋鸡存栏的环比回升，值得重点留意。近期鸡蛋期价大幅贴水，表明市场预期依然悲观，或源于市场三个方面的担心，其一是价格持续上涨或抑制下游消费，其二是近期上涨或部分源于北方暴雨天气的影响；其三是春节后补栏对应新开产带来供应的增加。在这种情况下，接下来需要关注现货上涨的持</w:t>
      </w:r>
      <w:r w:rsidRPr="00796CB2">
        <w:rPr>
          <w:rFonts w:ascii="楷体" w:eastAsia="楷体" w:hAnsi="楷体" w:hint="eastAsia"/>
        </w:rPr>
        <w:lastRenderedPageBreak/>
        <w:t>续性。综合来看，我们维持谨慎看多观点，建议谨慎投资者观望，激进投资者持有前期多单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3593299"/>
      <w:r>
        <w:rPr>
          <w:rFonts w:ascii="楷体" w:eastAsia="楷体" w:hAnsi="楷体" w:hint="eastAsia"/>
          <w:b/>
          <w:sz w:val="24"/>
          <w:szCs w:val="24"/>
        </w:rPr>
        <w:t>郑棉：</w:t>
      </w:r>
      <w:r w:rsidR="00F920DB" w:rsidRPr="00F920DB">
        <w:rPr>
          <w:rFonts w:ascii="楷体" w:eastAsia="楷体" w:hAnsi="楷体" w:hint="eastAsia"/>
          <w:b/>
          <w:sz w:val="24"/>
          <w:szCs w:val="24"/>
        </w:rPr>
        <w:t>16750以下逢低买入或卖出01看跌期权</w:t>
      </w:r>
      <w:bookmarkEnd w:id="49"/>
    </w:p>
    <w:p w:rsidR="003F56A5" w:rsidRDefault="00F920DB" w:rsidP="007B3290">
      <w:pPr>
        <w:ind w:leftChars="300" w:left="630"/>
        <w:rPr>
          <w:rFonts w:ascii="楷体" w:eastAsia="楷体" w:hAnsi="楷体"/>
          <w:sz w:val="24"/>
          <w:szCs w:val="24"/>
        </w:rPr>
      </w:pPr>
      <w:r w:rsidRPr="00F920DB">
        <w:rPr>
          <w:rFonts w:ascii="楷体" w:eastAsia="楷体" w:hAnsi="楷体" w:hint="eastAsia"/>
          <w:sz w:val="24"/>
          <w:szCs w:val="24"/>
        </w:rPr>
        <w:t>7月进口棉花棉纱数量双双大增。2023年7月，中国棉花月度进口量为11万吨，环比增加3万吨，同比减少1万吨。2023年7月，中国棉纱月度进口量为16万吨，环比增加2万吨，同比增9万吨。近期随着调研团队陆续前往新疆，新棉减产情况或不及预期的调研消息，叠加下游消费相对低迷的态势，市场此前一致看多的观点正在分化。但低库存下，下方支撑依然强劲，前期看多的逻辑，减产和抢收也很难证伪，预计短期内高位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0" w:name="_Toc71212556"/>
      <w:bookmarkStart w:id="51" w:name="_Toc19667"/>
      <w:bookmarkStart w:id="52" w:name="_Toc98426751"/>
      <w:bookmarkStart w:id="53" w:name="_Toc12779"/>
      <w:bookmarkStart w:id="54" w:name="_Toc72481108"/>
      <w:r>
        <w:rPr>
          <w:rFonts w:ascii="Times New Roman" w:eastAsia="楷体" w:hAnsi="Times New Roman"/>
          <w:b/>
          <w:color w:val="411D05"/>
          <w:sz w:val="30"/>
          <w:szCs w:val="30"/>
        </w:rPr>
        <w:lastRenderedPageBreak/>
        <w:t>免责声明</w:t>
      </w:r>
      <w:bookmarkEnd w:id="50"/>
      <w:bookmarkEnd w:id="51"/>
      <w:bookmarkEnd w:id="52"/>
      <w:bookmarkEnd w:id="53"/>
      <w:bookmarkEnd w:id="54"/>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B89" w:rsidRDefault="00C27B89">
      <w:r>
        <w:separator/>
      </w:r>
    </w:p>
  </w:endnote>
  <w:endnote w:type="continuationSeparator" w:id="0">
    <w:p w:rsidR="00C27B89" w:rsidRDefault="00C2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6BF23DD5" wp14:editId="473B15A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920D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920DB">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B89" w:rsidRDefault="00C27B89">
      <w:r>
        <w:separator/>
      </w:r>
    </w:p>
  </w:footnote>
  <w:footnote w:type="continuationSeparator" w:id="0">
    <w:p w:rsidR="00C27B89" w:rsidRDefault="00C27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1FDFCF54" wp14:editId="682198D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0B9A811" wp14:editId="2D716134">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796CB2">
      <w:rPr>
        <w:rFonts w:ascii="Times New Roman" w:eastAsia="楷体" w:hAnsi="Times New Roman" w:hint="eastAsia"/>
        <w:b/>
        <w:bCs/>
        <w:noProof/>
        <w:color w:val="833C0B"/>
        <w:sz w:val="21"/>
      </w:rPr>
      <w:t>2023</w:t>
    </w:r>
    <w:r w:rsidR="00796CB2">
      <w:rPr>
        <w:rFonts w:ascii="Times New Roman" w:eastAsia="楷体" w:hAnsi="Times New Roman" w:hint="eastAsia"/>
        <w:b/>
        <w:bCs/>
        <w:noProof/>
        <w:color w:val="833C0B"/>
        <w:sz w:val="21"/>
      </w:rPr>
      <w:t>年</w:t>
    </w:r>
    <w:r w:rsidR="00796CB2">
      <w:rPr>
        <w:rFonts w:ascii="Times New Roman" w:eastAsia="楷体" w:hAnsi="Times New Roman" w:hint="eastAsia"/>
        <w:b/>
        <w:bCs/>
        <w:noProof/>
        <w:color w:val="833C0B"/>
        <w:sz w:val="21"/>
      </w:rPr>
      <w:t>8</w:t>
    </w:r>
    <w:r w:rsidR="00796CB2">
      <w:rPr>
        <w:rFonts w:ascii="Times New Roman" w:eastAsia="楷体" w:hAnsi="Times New Roman" w:hint="eastAsia"/>
        <w:b/>
        <w:bCs/>
        <w:noProof/>
        <w:color w:val="833C0B"/>
        <w:sz w:val="21"/>
      </w:rPr>
      <w:t>月</w:t>
    </w:r>
    <w:r w:rsidR="00796CB2">
      <w:rPr>
        <w:rFonts w:ascii="Times New Roman" w:eastAsia="楷体" w:hAnsi="Times New Roman" w:hint="eastAsia"/>
        <w:b/>
        <w:bCs/>
        <w:noProof/>
        <w:color w:val="833C0B"/>
        <w:sz w:val="21"/>
      </w:rPr>
      <w:t>22</w:t>
    </w:r>
    <w:r w:rsidR="00796CB2">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B0610"/>
    <w:rsid w:val="001B179D"/>
    <w:rsid w:val="001B1904"/>
    <w:rsid w:val="001B25C9"/>
    <w:rsid w:val="001B2D4C"/>
    <w:rsid w:val="001B6043"/>
    <w:rsid w:val="001B6394"/>
    <w:rsid w:val="001C2E87"/>
    <w:rsid w:val="001C77D0"/>
    <w:rsid w:val="001D1F0A"/>
    <w:rsid w:val="001D40EA"/>
    <w:rsid w:val="001D4474"/>
    <w:rsid w:val="001D7D0A"/>
    <w:rsid w:val="001F5438"/>
    <w:rsid w:val="001F79C6"/>
    <w:rsid w:val="002006C2"/>
    <w:rsid w:val="00201944"/>
    <w:rsid w:val="00206537"/>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725E"/>
    <w:rsid w:val="006E3745"/>
    <w:rsid w:val="006F6553"/>
    <w:rsid w:val="007029E1"/>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96CB2"/>
    <w:rsid w:val="007A410D"/>
    <w:rsid w:val="007A66FE"/>
    <w:rsid w:val="007B3290"/>
    <w:rsid w:val="007B4FCE"/>
    <w:rsid w:val="007C1DB9"/>
    <w:rsid w:val="007C2FD2"/>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A16C1-EA12-4B1A-83FC-7F79CF4D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10</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66</cp:revision>
  <cp:lastPrinted>2023-06-08T02:23:00Z</cp:lastPrinted>
  <dcterms:created xsi:type="dcterms:W3CDTF">2022-11-15T10:06:00Z</dcterms:created>
  <dcterms:modified xsi:type="dcterms:W3CDTF">2023-08-22T02:40:00Z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