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B10769"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B10769" w:rsidRPr="00B03E50">
            <w:rPr>
              <w:rStyle w:val="a9"/>
              <w:noProof/>
            </w:rPr>
            <w:fldChar w:fldCharType="begin"/>
          </w:r>
          <w:r w:rsidR="00B10769" w:rsidRPr="00B03E50">
            <w:rPr>
              <w:rStyle w:val="a9"/>
              <w:noProof/>
            </w:rPr>
            <w:instrText xml:space="preserve"> </w:instrText>
          </w:r>
          <w:r w:rsidR="00B10769">
            <w:rPr>
              <w:noProof/>
            </w:rPr>
            <w:instrText>HYPERLINK \l "_Toc143074427"</w:instrText>
          </w:r>
          <w:r w:rsidR="00B10769" w:rsidRPr="00B03E50">
            <w:rPr>
              <w:rStyle w:val="a9"/>
              <w:noProof/>
            </w:rPr>
            <w:instrText xml:space="preserve"> </w:instrText>
          </w:r>
          <w:r w:rsidR="00B10769" w:rsidRPr="00B03E50">
            <w:rPr>
              <w:rStyle w:val="a9"/>
              <w:noProof/>
            </w:rPr>
          </w:r>
          <w:r w:rsidR="00B10769" w:rsidRPr="00B03E50">
            <w:rPr>
              <w:rStyle w:val="a9"/>
              <w:noProof/>
            </w:rPr>
            <w:fldChar w:fldCharType="separate"/>
          </w:r>
          <w:r w:rsidR="00B10769" w:rsidRPr="00B03E50">
            <w:rPr>
              <w:rStyle w:val="a9"/>
              <w:rFonts w:ascii="Times New Roman" w:eastAsia="楷体" w:hAnsi="Times New Roman"/>
              <w:b/>
              <w:noProof/>
            </w:rPr>
            <w:t>[</w:t>
          </w:r>
          <w:r w:rsidR="00B10769" w:rsidRPr="00B03E50">
            <w:rPr>
              <w:rStyle w:val="a9"/>
              <w:rFonts w:ascii="Times New Roman" w:eastAsia="楷体" w:hAnsi="Times New Roman"/>
              <w:b/>
              <w:noProof/>
            </w:rPr>
            <w:t>金融</w:t>
          </w:r>
          <w:r w:rsidR="00B10769" w:rsidRPr="00B03E50">
            <w:rPr>
              <w:rStyle w:val="a9"/>
              <w:rFonts w:ascii="Times New Roman" w:eastAsia="楷体" w:hAnsi="Times New Roman"/>
              <w:b/>
              <w:noProof/>
            </w:rPr>
            <w:t>]</w:t>
          </w:r>
          <w:r w:rsidR="00B10769" w:rsidRPr="00B03E50">
            <w:rPr>
              <w:rStyle w:val="a9"/>
              <w:noProof/>
            </w:rPr>
            <w:fldChar w:fldCharType="end"/>
          </w:r>
        </w:p>
        <w:p w:rsidR="00B10769" w:rsidRDefault="00B10769">
          <w:pPr>
            <w:pStyle w:val="23"/>
            <w:tabs>
              <w:tab w:val="right" w:leader="dot" w:pos="8296"/>
            </w:tabs>
            <w:rPr>
              <w:rFonts w:eastAsiaTheme="minorEastAsia"/>
              <w:noProof/>
              <w:szCs w:val="22"/>
            </w:rPr>
          </w:pPr>
          <w:hyperlink w:anchor="_Toc143074428" w:history="1">
            <w:r w:rsidRPr="00B03E50">
              <w:rPr>
                <w:rStyle w:val="a9"/>
                <w:rFonts w:ascii="Times New Roman" w:eastAsia="楷体" w:hAnsi="Times New Roman"/>
                <w:b/>
                <w:noProof/>
              </w:rPr>
              <w:t>股指：短线观望为主，待市场情绪宣泄后低位布局指数多单</w:t>
            </w:r>
          </w:hyperlink>
        </w:p>
        <w:p w:rsidR="00B10769" w:rsidRDefault="00B10769">
          <w:pPr>
            <w:pStyle w:val="11"/>
            <w:tabs>
              <w:tab w:val="right" w:leader="dot" w:pos="8296"/>
            </w:tabs>
            <w:rPr>
              <w:rFonts w:eastAsiaTheme="minorEastAsia"/>
              <w:noProof/>
              <w:szCs w:val="22"/>
            </w:rPr>
          </w:pPr>
          <w:hyperlink w:anchor="_Toc143074429" w:history="1">
            <w:r w:rsidRPr="00B03E50">
              <w:rPr>
                <w:rStyle w:val="a9"/>
                <w:rFonts w:ascii="Times New Roman" w:eastAsia="楷体" w:hAnsi="Times New Roman"/>
                <w:b/>
                <w:noProof/>
              </w:rPr>
              <w:t>[</w:t>
            </w:r>
            <w:r w:rsidRPr="00B03E50">
              <w:rPr>
                <w:rStyle w:val="a9"/>
                <w:rFonts w:ascii="Times New Roman" w:eastAsia="楷体" w:hAnsi="Times New Roman"/>
                <w:b/>
                <w:noProof/>
              </w:rPr>
              <w:t>贵金属</w:t>
            </w:r>
            <w:r w:rsidRPr="00B03E50">
              <w:rPr>
                <w:rStyle w:val="a9"/>
                <w:rFonts w:ascii="Times New Roman" w:eastAsia="楷体" w:hAnsi="Times New Roman"/>
                <w:b/>
                <w:noProof/>
              </w:rPr>
              <w:t>]</w:t>
            </w:r>
          </w:hyperlink>
        </w:p>
        <w:p w:rsidR="00B10769" w:rsidRDefault="00B10769">
          <w:pPr>
            <w:pStyle w:val="23"/>
            <w:tabs>
              <w:tab w:val="right" w:leader="dot" w:pos="8296"/>
            </w:tabs>
            <w:rPr>
              <w:rFonts w:eastAsiaTheme="minorEastAsia"/>
              <w:noProof/>
              <w:szCs w:val="22"/>
            </w:rPr>
          </w:pPr>
          <w:hyperlink w:anchor="_Toc143074430" w:history="1">
            <w:r w:rsidRPr="00B03E50">
              <w:rPr>
                <w:rStyle w:val="a9"/>
                <w:rFonts w:ascii="Times New Roman" w:eastAsia="楷体" w:hAnsi="Times New Roman"/>
                <w:b/>
                <w:noProof/>
              </w:rPr>
              <w:t>贵金属：美国零售销售环比超预期，贵金属价格小幅反弹</w:t>
            </w:r>
          </w:hyperlink>
        </w:p>
        <w:p w:rsidR="00B10769" w:rsidRDefault="00B10769">
          <w:pPr>
            <w:pStyle w:val="11"/>
            <w:tabs>
              <w:tab w:val="right" w:leader="dot" w:pos="8296"/>
            </w:tabs>
            <w:rPr>
              <w:rFonts w:eastAsiaTheme="minorEastAsia"/>
              <w:noProof/>
              <w:szCs w:val="22"/>
            </w:rPr>
          </w:pPr>
          <w:hyperlink w:anchor="_Toc143074431" w:history="1">
            <w:r w:rsidRPr="00B03E50">
              <w:rPr>
                <w:rStyle w:val="a9"/>
                <w:rFonts w:ascii="Times New Roman" w:eastAsia="楷体" w:hAnsi="Times New Roman"/>
                <w:b/>
                <w:noProof/>
              </w:rPr>
              <w:t>[</w:t>
            </w:r>
            <w:r w:rsidRPr="00B03E50">
              <w:rPr>
                <w:rStyle w:val="a9"/>
                <w:rFonts w:ascii="Times New Roman" w:eastAsia="楷体" w:hAnsi="Times New Roman"/>
                <w:b/>
                <w:noProof/>
              </w:rPr>
              <w:t>金属</w:t>
            </w:r>
            <w:r w:rsidRPr="00B03E50">
              <w:rPr>
                <w:rStyle w:val="a9"/>
                <w:rFonts w:ascii="Times New Roman" w:eastAsia="楷体" w:hAnsi="Times New Roman"/>
                <w:b/>
                <w:noProof/>
              </w:rPr>
              <w:t>]</w:t>
            </w:r>
          </w:hyperlink>
        </w:p>
        <w:p w:rsidR="00B10769" w:rsidRDefault="00B10769">
          <w:pPr>
            <w:pStyle w:val="23"/>
            <w:tabs>
              <w:tab w:val="right" w:leader="dot" w:pos="8296"/>
            </w:tabs>
            <w:rPr>
              <w:rFonts w:eastAsiaTheme="minorEastAsia"/>
              <w:noProof/>
              <w:szCs w:val="22"/>
            </w:rPr>
          </w:pPr>
          <w:hyperlink w:anchor="_Toc143074432" w:history="1">
            <w:r w:rsidRPr="00B03E50">
              <w:rPr>
                <w:rStyle w:val="a9"/>
                <w:rFonts w:ascii="楷体" w:eastAsia="楷体" w:hAnsi="楷体"/>
                <w:b/>
                <w:noProof/>
              </w:rPr>
              <w:t>碳酸锂：锂盐消费增长预期偏弱，周内期价大幅下跌</w:t>
            </w:r>
          </w:hyperlink>
        </w:p>
        <w:p w:rsidR="00B10769" w:rsidRDefault="00B10769">
          <w:pPr>
            <w:pStyle w:val="23"/>
            <w:tabs>
              <w:tab w:val="right" w:leader="dot" w:pos="8296"/>
            </w:tabs>
            <w:rPr>
              <w:rFonts w:eastAsiaTheme="minorEastAsia"/>
              <w:noProof/>
              <w:szCs w:val="22"/>
            </w:rPr>
          </w:pPr>
          <w:hyperlink w:anchor="_Toc143074433" w:history="1">
            <w:r w:rsidRPr="00B03E50">
              <w:rPr>
                <w:rStyle w:val="a9"/>
                <w:rFonts w:ascii="楷体" w:eastAsia="楷体" w:hAnsi="楷体"/>
                <w:b/>
                <w:noProof/>
              </w:rPr>
              <w:t>螺纹钢：平控引发补库热情，预计价格震荡偏强</w:t>
            </w:r>
          </w:hyperlink>
        </w:p>
        <w:p w:rsidR="00B10769" w:rsidRDefault="00B10769">
          <w:pPr>
            <w:pStyle w:val="23"/>
            <w:tabs>
              <w:tab w:val="right" w:leader="dot" w:pos="8296"/>
            </w:tabs>
            <w:rPr>
              <w:rFonts w:eastAsiaTheme="minorEastAsia"/>
              <w:noProof/>
              <w:szCs w:val="22"/>
            </w:rPr>
          </w:pPr>
          <w:hyperlink w:anchor="_Toc143074434" w:history="1">
            <w:r w:rsidRPr="00B03E50">
              <w:rPr>
                <w:rStyle w:val="a9"/>
                <w:rFonts w:ascii="楷体" w:eastAsia="楷体" w:hAnsi="楷体"/>
                <w:b/>
                <w:noProof/>
              </w:rPr>
              <w:t>焦炭：近端矛盾并不突出，远端平控并未立即执行，预计震荡为主</w:t>
            </w:r>
          </w:hyperlink>
        </w:p>
        <w:p w:rsidR="00B10769" w:rsidRDefault="00B10769">
          <w:pPr>
            <w:pStyle w:val="23"/>
            <w:tabs>
              <w:tab w:val="right" w:leader="dot" w:pos="8296"/>
            </w:tabs>
            <w:rPr>
              <w:rFonts w:eastAsiaTheme="minorEastAsia"/>
              <w:noProof/>
              <w:szCs w:val="22"/>
            </w:rPr>
          </w:pPr>
          <w:hyperlink w:anchor="_Toc143074435" w:history="1">
            <w:r w:rsidRPr="00B03E50">
              <w:rPr>
                <w:rStyle w:val="a9"/>
                <w:rFonts w:ascii="楷体" w:eastAsia="楷体" w:hAnsi="楷体"/>
                <w:b/>
                <w:noProof/>
              </w:rPr>
              <w:t>焦煤：现货下行收近端价差，远端矛盾并不突出，预计继续震荡运行</w:t>
            </w:r>
          </w:hyperlink>
        </w:p>
        <w:p w:rsidR="00B10769" w:rsidRDefault="00B10769">
          <w:pPr>
            <w:pStyle w:val="23"/>
            <w:tabs>
              <w:tab w:val="right" w:leader="dot" w:pos="8296"/>
            </w:tabs>
            <w:rPr>
              <w:rFonts w:eastAsiaTheme="minorEastAsia"/>
              <w:noProof/>
              <w:szCs w:val="22"/>
            </w:rPr>
          </w:pPr>
          <w:hyperlink w:anchor="_Toc143074436" w:history="1">
            <w:r w:rsidRPr="00B03E50">
              <w:rPr>
                <w:rStyle w:val="a9"/>
                <w:rFonts w:ascii="楷体" w:eastAsia="楷体" w:hAnsi="楷体"/>
                <w:b/>
                <w:noProof/>
              </w:rPr>
              <w:t>铜：维持震荡区间内运行</w:t>
            </w:r>
          </w:hyperlink>
        </w:p>
        <w:p w:rsidR="00B10769" w:rsidRDefault="00B10769">
          <w:pPr>
            <w:pStyle w:val="23"/>
            <w:tabs>
              <w:tab w:val="right" w:leader="dot" w:pos="8296"/>
            </w:tabs>
            <w:rPr>
              <w:rFonts w:eastAsiaTheme="minorEastAsia"/>
              <w:noProof/>
              <w:szCs w:val="22"/>
            </w:rPr>
          </w:pPr>
          <w:hyperlink w:anchor="_Toc143074437" w:history="1">
            <w:r w:rsidRPr="00B03E50">
              <w:rPr>
                <w:rStyle w:val="a9"/>
                <w:rFonts w:ascii="楷体" w:eastAsia="楷体" w:hAnsi="楷体"/>
                <w:b/>
                <w:noProof/>
              </w:rPr>
              <w:t>铝：铝价窄幅震荡运行</w:t>
            </w:r>
          </w:hyperlink>
        </w:p>
        <w:p w:rsidR="00B10769" w:rsidRDefault="00B10769">
          <w:pPr>
            <w:pStyle w:val="23"/>
            <w:tabs>
              <w:tab w:val="right" w:leader="dot" w:pos="8296"/>
            </w:tabs>
            <w:rPr>
              <w:rFonts w:eastAsiaTheme="minorEastAsia"/>
              <w:noProof/>
              <w:szCs w:val="22"/>
            </w:rPr>
          </w:pPr>
          <w:hyperlink w:anchor="_Toc143074438" w:history="1">
            <w:r w:rsidRPr="00B03E50">
              <w:rPr>
                <w:rStyle w:val="a9"/>
                <w:rFonts w:ascii="楷体" w:eastAsia="楷体" w:hAnsi="楷体"/>
                <w:b/>
                <w:noProof/>
              </w:rPr>
              <w:t>锌：锌价维持震荡运行</w:t>
            </w:r>
          </w:hyperlink>
        </w:p>
        <w:p w:rsidR="00B10769" w:rsidRDefault="00B10769">
          <w:pPr>
            <w:pStyle w:val="23"/>
            <w:tabs>
              <w:tab w:val="right" w:leader="dot" w:pos="8296"/>
            </w:tabs>
            <w:rPr>
              <w:rFonts w:eastAsiaTheme="minorEastAsia"/>
              <w:noProof/>
              <w:szCs w:val="22"/>
            </w:rPr>
          </w:pPr>
          <w:hyperlink w:anchor="_Toc143074439" w:history="1">
            <w:r w:rsidRPr="00B03E50">
              <w:rPr>
                <w:rStyle w:val="a9"/>
                <w:rFonts w:ascii="楷体" w:eastAsia="楷体" w:hAnsi="楷体"/>
                <w:b/>
                <w:noProof/>
              </w:rPr>
              <w:t>镍：震荡运行，关注印尼镍矿供应</w:t>
            </w:r>
          </w:hyperlink>
        </w:p>
        <w:p w:rsidR="00B10769" w:rsidRDefault="00B10769">
          <w:pPr>
            <w:pStyle w:val="23"/>
            <w:tabs>
              <w:tab w:val="right" w:leader="dot" w:pos="8296"/>
            </w:tabs>
            <w:rPr>
              <w:rFonts w:eastAsiaTheme="minorEastAsia"/>
              <w:noProof/>
              <w:szCs w:val="22"/>
            </w:rPr>
          </w:pPr>
          <w:hyperlink w:anchor="_Toc143074440" w:history="1">
            <w:r w:rsidRPr="00B03E50">
              <w:rPr>
                <w:rStyle w:val="a9"/>
                <w:rFonts w:ascii="楷体" w:eastAsia="楷体" w:hAnsi="楷体"/>
                <w:b/>
                <w:noProof/>
              </w:rPr>
              <w:t>铅：成本因子推升铅价走升</w:t>
            </w:r>
          </w:hyperlink>
        </w:p>
        <w:p w:rsidR="00B10769" w:rsidRDefault="00B10769">
          <w:pPr>
            <w:pStyle w:val="23"/>
            <w:tabs>
              <w:tab w:val="right" w:leader="dot" w:pos="8296"/>
            </w:tabs>
            <w:rPr>
              <w:rFonts w:eastAsiaTheme="minorEastAsia"/>
              <w:noProof/>
              <w:szCs w:val="22"/>
            </w:rPr>
          </w:pPr>
          <w:hyperlink w:anchor="_Toc143074441" w:history="1">
            <w:r w:rsidRPr="00B03E50">
              <w:rPr>
                <w:rStyle w:val="a9"/>
                <w:rFonts w:ascii="楷体" w:eastAsia="楷体" w:hAnsi="楷体"/>
                <w:b/>
                <w:noProof/>
              </w:rPr>
              <w:t>不锈钢：原料扰动且社库去化，延续震荡偏强</w:t>
            </w:r>
          </w:hyperlink>
        </w:p>
        <w:p w:rsidR="00B10769" w:rsidRDefault="00B10769">
          <w:pPr>
            <w:pStyle w:val="23"/>
            <w:tabs>
              <w:tab w:val="right" w:leader="dot" w:pos="8296"/>
            </w:tabs>
            <w:rPr>
              <w:rFonts w:eastAsiaTheme="minorEastAsia"/>
              <w:noProof/>
              <w:szCs w:val="22"/>
            </w:rPr>
          </w:pPr>
          <w:hyperlink w:anchor="_Toc143074442" w:history="1">
            <w:r w:rsidRPr="00B03E50">
              <w:rPr>
                <w:rStyle w:val="a9"/>
                <w:rFonts w:ascii="楷体" w:eastAsia="楷体" w:hAnsi="楷体"/>
                <w:b/>
                <w:noProof/>
              </w:rPr>
              <w:t>工业硅：市场矛盾暂不凸出，短期盘面或震荡为主</w:t>
            </w:r>
          </w:hyperlink>
        </w:p>
        <w:p w:rsidR="00B10769" w:rsidRDefault="00B10769">
          <w:pPr>
            <w:pStyle w:val="11"/>
            <w:tabs>
              <w:tab w:val="right" w:leader="dot" w:pos="8296"/>
            </w:tabs>
            <w:rPr>
              <w:rFonts w:eastAsiaTheme="minorEastAsia"/>
              <w:noProof/>
              <w:szCs w:val="22"/>
            </w:rPr>
          </w:pPr>
          <w:hyperlink w:anchor="_Toc143074443" w:history="1">
            <w:r w:rsidRPr="00B03E50">
              <w:rPr>
                <w:rStyle w:val="a9"/>
                <w:rFonts w:ascii="Times New Roman" w:eastAsia="楷体" w:hAnsi="Times New Roman"/>
                <w:b/>
                <w:noProof/>
              </w:rPr>
              <w:t>[</w:t>
            </w:r>
            <w:r w:rsidRPr="00B03E50">
              <w:rPr>
                <w:rStyle w:val="a9"/>
                <w:rFonts w:ascii="Times New Roman" w:eastAsia="楷体" w:hAnsi="Times New Roman"/>
                <w:b/>
                <w:noProof/>
              </w:rPr>
              <w:t>化工</w:t>
            </w:r>
            <w:r w:rsidRPr="00B03E50">
              <w:rPr>
                <w:rStyle w:val="a9"/>
                <w:rFonts w:ascii="Times New Roman" w:eastAsia="楷体" w:hAnsi="Times New Roman"/>
                <w:b/>
                <w:noProof/>
              </w:rPr>
              <w:t>]</w:t>
            </w:r>
          </w:hyperlink>
        </w:p>
        <w:p w:rsidR="00B10769" w:rsidRDefault="00B10769">
          <w:pPr>
            <w:pStyle w:val="23"/>
            <w:tabs>
              <w:tab w:val="right" w:leader="dot" w:pos="8296"/>
            </w:tabs>
            <w:rPr>
              <w:rFonts w:eastAsiaTheme="minorEastAsia"/>
              <w:noProof/>
              <w:szCs w:val="22"/>
            </w:rPr>
          </w:pPr>
          <w:hyperlink w:anchor="_Toc143074444" w:history="1">
            <w:r w:rsidRPr="00B03E50">
              <w:rPr>
                <w:rStyle w:val="a9"/>
                <w:rFonts w:ascii="Times New Roman" w:eastAsia="楷体" w:hAnsi="Times New Roman"/>
                <w:b/>
                <w:noProof/>
              </w:rPr>
              <w:t>天然橡胶</w:t>
            </w:r>
            <w:r w:rsidRPr="00B03E50">
              <w:rPr>
                <w:rStyle w:val="a9"/>
                <w:rFonts w:ascii="Times New Roman" w:eastAsia="楷体" w:hAnsi="Times New Roman"/>
                <w:b/>
                <w:noProof/>
              </w:rPr>
              <w:t>:</w:t>
            </w:r>
            <w:r w:rsidRPr="00B03E50">
              <w:rPr>
                <w:rStyle w:val="a9"/>
                <w:rFonts w:ascii="楷体" w:eastAsia="楷体" w:hAnsi="楷体"/>
                <w:b/>
                <w:noProof/>
              </w:rPr>
              <w:t xml:space="preserve"> 供应端有收缩预期 RU或低位反弹</w:t>
            </w:r>
          </w:hyperlink>
        </w:p>
        <w:p w:rsidR="00B10769" w:rsidRDefault="00B10769">
          <w:pPr>
            <w:pStyle w:val="23"/>
            <w:tabs>
              <w:tab w:val="right" w:leader="dot" w:pos="8296"/>
            </w:tabs>
            <w:rPr>
              <w:rFonts w:eastAsiaTheme="minorEastAsia"/>
              <w:noProof/>
              <w:szCs w:val="22"/>
            </w:rPr>
          </w:pPr>
          <w:hyperlink w:anchor="_Toc143074445" w:history="1">
            <w:r w:rsidRPr="00B03E50">
              <w:rPr>
                <w:rStyle w:val="a9"/>
                <w:rFonts w:ascii="楷体" w:eastAsia="楷体" w:hAnsi="楷体"/>
                <w:b/>
                <w:noProof/>
              </w:rPr>
              <w:t>PTA：关注5900压力位</w:t>
            </w:r>
          </w:hyperlink>
        </w:p>
        <w:p w:rsidR="00B10769" w:rsidRDefault="00B10769">
          <w:pPr>
            <w:pStyle w:val="23"/>
            <w:tabs>
              <w:tab w:val="right" w:leader="dot" w:pos="8296"/>
            </w:tabs>
            <w:rPr>
              <w:rFonts w:eastAsiaTheme="minorEastAsia"/>
              <w:noProof/>
              <w:szCs w:val="22"/>
            </w:rPr>
          </w:pPr>
          <w:hyperlink w:anchor="_Toc143074446" w:history="1">
            <w:r w:rsidRPr="00B03E50">
              <w:rPr>
                <w:rStyle w:val="a9"/>
                <w:rFonts w:ascii="楷体" w:eastAsia="楷体" w:hAnsi="楷体"/>
                <w:b/>
                <w:noProof/>
              </w:rPr>
              <w:t>PVC：高库存+弱复苏 驱动不足</w:t>
            </w:r>
          </w:hyperlink>
        </w:p>
        <w:p w:rsidR="00B10769" w:rsidRDefault="00B10769">
          <w:pPr>
            <w:pStyle w:val="23"/>
            <w:tabs>
              <w:tab w:val="right" w:leader="dot" w:pos="8296"/>
            </w:tabs>
            <w:rPr>
              <w:rFonts w:eastAsiaTheme="minorEastAsia"/>
              <w:noProof/>
              <w:szCs w:val="22"/>
            </w:rPr>
          </w:pPr>
          <w:hyperlink w:anchor="_Toc143074447" w:history="1">
            <w:r w:rsidRPr="00B03E50">
              <w:rPr>
                <w:rStyle w:val="a9"/>
                <w:rFonts w:ascii="楷体" w:eastAsia="楷体" w:hAnsi="楷体"/>
                <w:b/>
                <w:noProof/>
              </w:rPr>
              <w:t>聚烯烃：供应压力不减，聚烯烃延续震荡整理</w:t>
            </w:r>
          </w:hyperlink>
        </w:p>
        <w:p w:rsidR="00B10769" w:rsidRDefault="00B10769">
          <w:pPr>
            <w:pStyle w:val="23"/>
            <w:tabs>
              <w:tab w:val="right" w:leader="dot" w:pos="8296"/>
            </w:tabs>
            <w:rPr>
              <w:rFonts w:eastAsiaTheme="minorEastAsia"/>
              <w:noProof/>
              <w:szCs w:val="22"/>
            </w:rPr>
          </w:pPr>
          <w:hyperlink w:anchor="_Toc143074448" w:history="1">
            <w:r w:rsidRPr="00B03E50">
              <w:rPr>
                <w:rStyle w:val="a9"/>
                <w:rFonts w:ascii="楷体" w:eastAsia="楷体" w:hAnsi="楷体"/>
                <w:b/>
                <w:noProof/>
              </w:rPr>
              <w:t>MEG：存量库存累积反弹乏力</w:t>
            </w:r>
          </w:hyperlink>
        </w:p>
        <w:p w:rsidR="00B10769" w:rsidRDefault="00B10769">
          <w:pPr>
            <w:pStyle w:val="23"/>
            <w:tabs>
              <w:tab w:val="right" w:leader="dot" w:pos="8296"/>
            </w:tabs>
            <w:rPr>
              <w:rFonts w:eastAsiaTheme="minorEastAsia"/>
              <w:noProof/>
              <w:szCs w:val="22"/>
            </w:rPr>
          </w:pPr>
          <w:hyperlink w:anchor="_Toc143074449" w:history="1">
            <w:r w:rsidRPr="00B03E50">
              <w:rPr>
                <w:rStyle w:val="a9"/>
                <w:rFonts w:ascii="楷体" w:eastAsia="楷体" w:hAnsi="楷体"/>
                <w:b/>
                <w:noProof/>
              </w:rPr>
              <w:t>玻璃：基本面偏弱，区间震荡</w:t>
            </w:r>
          </w:hyperlink>
        </w:p>
        <w:p w:rsidR="00B10769" w:rsidRDefault="00B10769">
          <w:pPr>
            <w:pStyle w:val="23"/>
            <w:tabs>
              <w:tab w:val="right" w:leader="dot" w:pos="8296"/>
            </w:tabs>
            <w:rPr>
              <w:rFonts w:eastAsiaTheme="minorEastAsia"/>
              <w:noProof/>
              <w:szCs w:val="22"/>
            </w:rPr>
          </w:pPr>
          <w:hyperlink w:anchor="_Toc143074450" w:history="1">
            <w:r w:rsidRPr="00B03E50">
              <w:rPr>
                <w:rStyle w:val="a9"/>
                <w:rFonts w:ascii="楷体" w:eastAsia="楷体" w:hAnsi="楷体"/>
                <w:b/>
                <w:noProof/>
              </w:rPr>
              <w:t>纯碱：扩产上量逐步临近，反弹逢高做空</w:t>
            </w:r>
          </w:hyperlink>
        </w:p>
        <w:p w:rsidR="00B10769" w:rsidRDefault="00B10769">
          <w:pPr>
            <w:pStyle w:val="11"/>
            <w:tabs>
              <w:tab w:val="right" w:leader="dot" w:pos="8296"/>
            </w:tabs>
            <w:rPr>
              <w:rFonts w:eastAsiaTheme="minorEastAsia"/>
              <w:noProof/>
              <w:szCs w:val="22"/>
            </w:rPr>
          </w:pPr>
          <w:hyperlink w:anchor="_Toc143074451" w:history="1">
            <w:r w:rsidRPr="00B03E50">
              <w:rPr>
                <w:rStyle w:val="a9"/>
                <w:rFonts w:ascii="Times New Roman" w:eastAsia="楷体" w:hAnsi="Times New Roman"/>
                <w:b/>
                <w:noProof/>
              </w:rPr>
              <w:t>[</w:t>
            </w:r>
            <w:r w:rsidRPr="00B03E50">
              <w:rPr>
                <w:rStyle w:val="a9"/>
                <w:rFonts w:ascii="Times New Roman" w:eastAsia="楷体" w:hAnsi="Times New Roman"/>
                <w:b/>
                <w:noProof/>
              </w:rPr>
              <w:t>农产品</w:t>
            </w:r>
            <w:r w:rsidRPr="00B03E50">
              <w:rPr>
                <w:rStyle w:val="a9"/>
                <w:rFonts w:ascii="Times New Roman" w:eastAsia="楷体" w:hAnsi="Times New Roman"/>
                <w:b/>
                <w:noProof/>
              </w:rPr>
              <w:t>]</w:t>
            </w:r>
          </w:hyperlink>
        </w:p>
        <w:p w:rsidR="00B10769" w:rsidRDefault="00B10769">
          <w:pPr>
            <w:pStyle w:val="23"/>
            <w:tabs>
              <w:tab w:val="right" w:leader="dot" w:pos="8296"/>
            </w:tabs>
            <w:rPr>
              <w:rFonts w:eastAsiaTheme="minorEastAsia"/>
              <w:noProof/>
              <w:szCs w:val="22"/>
            </w:rPr>
          </w:pPr>
          <w:hyperlink w:anchor="_Toc143074452" w:history="1">
            <w:r w:rsidRPr="00B03E50">
              <w:rPr>
                <w:rStyle w:val="a9"/>
                <w:rFonts w:ascii="楷体" w:eastAsia="楷体" w:hAnsi="楷体"/>
                <w:b/>
                <w:noProof/>
              </w:rPr>
              <w:t>豆粕/菜粕：内强外弱延续，短期维持偏强震荡</w:t>
            </w:r>
          </w:hyperlink>
        </w:p>
        <w:p w:rsidR="00B10769" w:rsidRDefault="00B10769">
          <w:pPr>
            <w:pStyle w:val="23"/>
            <w:tabs>
              <w:tab w:val="right" w:leader="dot" w:pos="8296"/>
            </w:tabs>
            <w:rPr>
              <w:rFonts w:eastAsiaTheme="minorEastAsia"/>
              <w:noProof/>
              <w:szCs w:val="22"/>
            </w:rPr>
          </w:pPr>
          <w:hyperlink w:anchor="_Toc143074453" w:history="1">
            <w:r w:rsidRPr="00B03E50">
              <w:rPr>
                <w:rStyle w:val="a9"/>
                <w:rFonts w:ascii="楷体" w:eastAsia="楷体" w:hAnsi="楷体"/>
                <w:b/>
                <w:noProof/>
              </w:rPr>
              <w:t>油脂：短期缺乏有效利好驱动，暂看反弹持续性</w:t>
            </w:r>
          </w:hyperlink>
        </w:p>
        <w:p w:rsidR="00B10769" w:rsidRDefault="00B10769">
          <w:pPr>
            <w:pStyle w:val="23"/>
            <w:tabs>
              <w:tab w:val="right" w:leader="dot" w:pos="8296"/>
            </w:tabs>
            <w:rPr>
              <w:rFonts w:eastAsiaTheme="minorEastAsia"/>
              <w:noProof/>
              <w:szCs w:val="22"/>
            </w:rPr>
          </w:pPr>
          <w:hyperlink w:anchor="_Toc143074454" w:history="1">
            <w:r w:rsidRPr="00B03E50">
              <w:rPr>
                <w:rStyle w:val="a9"/>
                <w:rFonts w:ascii="楷体" w:eastAsia="楷体" w:hAnsi="楷体"/>
                <w:b/>
                <w:bCs/>
                <w:noProof/>
              </w:rPr>
              <w:t>玉米与淀粉：</w:t>
            </w:r>
            <w:r w:rsidRPr="00B03E50">
              <w:rPr>
                <w:rStyle w:val="a9"/>
                <w:rFonts w:ascii="楷体" w:eastAsia="楷体" w:hAnsi="楷体"/>
                <w:b/>
                <w:noProof/>
              </w:rPr>
              <w:t>移仓和新作上市压力带动期价继续回落</w:t>
            </w:r>
          </w:hyperlink>
        </w:p>
        <w:p w:rsidR="00B10769" w:rsidRDefault="00B10769">
          <w:pPr>
            <w:pStyle w:val="23"/>
            <w:tabs>
              <w:tab w:val="right" w:leader="dot" w:pos="8296"/>
            </w:tabs>
            <w:rPr>
              <w:rFonts w:eastAsiaTheme="minorEastAsia"/>
              <w:noProof/>
              <w:szCs w:val="22"/>
            </w:rPr>
          </w:pPr>
          <w:hyperlink w:anchor="_Toc143074455" w:history="1">
            <w:r w:rsidRPr="00B03E50">
              <w:rPr>
                <w:rStyle w:val="a9"/>
                <w:rFonts w:ascii="楷体" w:eastAsia="楷体" w:hAnsi="楷体"/>
                <w:b/>
                <w:bCs/>
                <w:noProof/>
              </w:rPr>
              <w:t>畜禽养殖：期价震荡等待现货方向</w:t>
            </w:r>
          </w:hyperlink>
        </w:p>
        <w:p w:rsidR="00B10769" w:rsidRDefault="00B10769">
          <w:pPr>
            <w:pStyle w:val="23"/>
            <w:tabs>
              <w:tab w:val="right" w:leader="dot" w:pos="8296"/>
            </w:tabs>
            <w:rPr>
              <w:rFonts w:eastAsiaTheme="minorEastAsia"/>
              <w:noProof/>
              <w:szCs w:val="22"/>
            </w:rPr>
          </w:pPr>
          <w:hyperlink w:anchor="_Toc143074456" w:history="1">
            <w:r w:rsidRPr="00B03E50">
              <w:rPr>
                <w:rStyle w:val="a9"/>
                <w:rFonts w:ascii="楷体" w:eastAsia="楷体" w:hAnsi="楷体"/>
                <w:b/>
                <w:noProof/>
              </w:rPr>
              <w:t>郑棉：关口承压回落，观望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30744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3074428"/>
      <w:bookmarkEnd w:id="4"/>
      <w:r>
        <w:rPr>
          <w:rFonts w:ascii="Times New Roman" w:eastAsia="楷体" w:hAnsi="Times New Roman" w:hint="eastAsia"/>
          <w:b/>
          <w:color w:val="000000" w:themeColor="text1"/>
          <w:sz w:val="24"/>
          <w:szCs w:val="24"/>
        </w:rPr>
        <w:t>股指：</w:t>
      </w:r>
      <w:bookmarkEnd w:id="6"/>
      <w:bookmarkEnd w:id="7"/>
      <w:r w:rsidR="00CD4FE6" w:rsidRPr="00CD4FE6">
        <w:rPr>
          <w:rFonts w:ascii="Times New Roman" w:eastAsia="楷体" w:hAnsi="Times New Roman" w:hint="eastAsia"/>
          <w:b/>
          <w:color w:val="000000" w:themeColor="text1"/>
          <w:sz w:val="24"/>
          <w:szCs w:val="24"/>
        </w:rPr>
        <w:t>短线观望为主，待市场情绪宣泄后低位布局指数多单</w:t>
      </w:r>
      <w:bookmarkEnd w:id="8"/>
    </w:p>
    <w:p w:rsidR="003F56A5" w:rsidRDefault="00CD4FE6" w:rsidP="00D14B3E">
      <w:pPr>
        <w:ind w:leftChars="300" w:left="630"/>
        <w:rPr>
          <w:rFonts w:ascii="Times New Roman" w:eastAsia="楷体" w:hAnsi="Times New Roman"/>
          <w:color w:val="000000" w:themeColor="text1"/>
          <w:sz w:val="24"/>
          <w:szCs w:val="24"/>
        </w:rPr>
      </w:pPr>
      <w:r w:rsidRPr="00CD4FE6">
        <w:rPr>
          <w:rFonts w:ascii="Times New Roman" w:eastAsia="楷体" w:hAnsi="Times New Roman" w:hint="eastAsia"/>
          <w:color w:val="000000" w:themeColor="text1"/>
          <w:sz w:val="24"/>
          <w:szCs w:val="24"/>
        </w:rPr>
        <w:t>当前位置处于箱体震荡下沿，市场已经计入较多悲观预期，后市来看在政策预期的心理落差或导致市场短期仍有波动风险，但下行空间较为有限，针对风险事件而言，只要政策应对得当，当前位置机会大于风险，不宜盲目做空，短线观望为主，待市场情绪宣泄后低位布局指数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307442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3074430"/>
      <w:r>
        <w:rPr>
          <w:rFonts w:ascii="Times New Roman" w:eastAsia="楷体" w:hAnsi="Times New Roman" w:hint="eastAsia"/>
          <w:b/>
          <w:color w:val="000000" w:themeColor="text1"/>
          <w:sz w:val="24"/>
          <w:szCs w:val="24"/>
        </w:rPr>
        <w:t>贵金属：</w:t>
      </w:r>
      <w:r w:rsidR="009E75B7" w:rsidRPr="009E75B7">
        <w:rPr>
          <w:rFonts w:ascii="Times New Roman" w:eastAsia="楷体" w:hAnsi="Times New Roman" w:hint="eastAsia"/>
          <w:b/>
          <w:color w:val="000000" w:themeColor="text1"/>
          <w:sz w:val="24"/>
          <w:szCs w:val="24"/>
        </w:rPr>
        <w:t>美国零售销售环比超预期，贵金属价格小幅反弹</w:t>
      </w:r>
      <w:bookmarkEnd w:id="10"/>
    </w:p>
    <w:p w:rsidR="003F56A5" w:rsidRDefault="009E75B7">
      <w:pPr>
        <w:ind w:leftChars="300" w:left="630"/>
        <w:rPr>
          <w:rFonts w:ascii="Times New Roman" w:eastAsia="楷体" w:hAnsi="Times New Roman"/>
          <w:sz w:val="24"/>
          <w:szCs w:val="24"/>
        </w:rPr>
      </w:pPr>
      <w:r w:rsidRPr="009E75B7">
        <w:rPr>
          <w:rFonts w:ascii="Times New Roman" w:eastAsia="楷体" w:hAnsi="Times New Roman" w:hint="eastAsia"/>
          <w:color w:val="000000" w:themeColor="text1"/>
          <w:sz w:val="24"/>
          <w:szCs w:val="24"/>
        </w:rPr>
        <w:t>美国</w:t>
      </w:r>
      <w:r w:rsidRPr="009E75B7">
        <w:rPr>
          <w:rFonts w:ascii="Times New Roman" w:eastAsia="楷体" w:hAnsi="Times New Roman" w:hint="eastAsia"/>
          <w:color w:val="000000" w:themeColor="text1"/>
          <w:sz w:val="24"/>
          <w:szCs w:val="24"/>
        </w:rPr>
        <w:t>7</w:t>
      </w:r>
      <w:r w:rsidRPr="009E75B7">
        <w:rPr>
          <w:rFonts w:ascii="Times New Roman" w:eastAsia="楷体" w:hAnsi="Times New Roman" w:hint="eastAsia"/>
          <w:color w:val="000000" w:themeColor="text1"/>
          <w:sz w:val="24"/>
          <w:szCs w:val="24"/>
        </w:rPr>
        <w:t>月零售销售月率录得</w:t>
      </w:r>
      <w:r w:rsidRPr="009E75B7">
        <w:rPr>
          <w:rFonts w:ascii="Times New Roman" w:eastAsia="楷体" w:hAnsi="Times New Roman" w:hint="eastAsia"/>
          <w:color w:val="000000" w:themeColor="text1"/>
          <w:sz w:val="24"/>
          <w:szCs w:val="24"/>
        </w:rPr>
        <w:t>0.7%</w:t>
      </w:r>
      <w:r w:rsidRPr="009E75B7">
        <w:rPr>
          <w:rFonts w:ascii="Times New Roman" w:eastAsia="楷体" w:hAnsi="Times New Roman" w:hint="eastAsia"/>
          <w:color w:val="000000" w:themeColor="text1"/>
          <w:sz w:val="24"/>
          <w:szCs w:val="24"/>
        </w:rPr>
        <w:t>，高于前值及预期；核心零售销售月率升至</w:t>
      </w:r>
      <w:r w:rsidRPr="009E75B7">
        <w:rPr>
          <w:rFonts w:ascii="Times New Roman" w:eastAsia="楷体" w:hAnsi="Times New Roman" w:hint="eastAsia"/>
          <w:color w:val="000000" w:themeColor="text1"/>
          <w:sz w:val="24"/>
          <w:szCs w:val="24"/>
        </w:rPr>
        <w:t>1%</w:t>
      </w:r>
      <w:r w:rsidRPr="009E75B7">
        <w:rPr>
          <w:rFonts w:ascii="Times New Roman" w:eastAsia="楷体" w:hAnsi="Times New Roman" w:hint="eastAsia"/>
          <w:color w:val="000000" w:themeColor="text1"/>
          <w:sz w:val="24"/>
          <w:szCs w:val="24"/>
        </w:rPr>
        <w:t>，民众消费表现强于预期。</w:t>
      </w:r>
      <w:r w:rsidRPr="009E75B7">
        <w:rPr>
          <w:rFonts w:ascii="Times New Roman" w:eastAsia="楷体" w:hAnsi="Times New Roman" w:hint="eastAsia"/>
          <w:color w:val="000000" w:themeColor="text1"/>
          <w:sz w:val="24"/>
          <w:szCs w:val="24"/>
        </w:rPr>
        <w:t>8</w:t>
      </w:r>
      <w:r w:rsidRPr="009E75B7">
        <w:rPr>
          <w:rFonts w:ascii="Times New Roman" w:eastAsia="楷体" w:hAnsi="Times New Roman" w:hint="eastAsia"/>
          <w:color w:val="000000" w:themeColor="text1"/>
          <w:sz w:val="24"/>
          <w:szCs w:val="24"/>
        </w:rPr>
        <w:t>月美国纽约联储制造业指数下降至</w:t>
      </w:r>
      <w:r w:rsidRPr="009E75B7">
        <w:rPr>
          <w:rFonts w:ascii="Times New Roman" w:eastAsia="楷体" w:hAnsi="Times New Roman" w:hint="eastAsia"/>
          <w:color w:val="000000" w:themeColor="text1"/>
          <w:sz w:val="24"/>
          <w:szCs w:val="24"/>
        </w:rPr>
        <w:t>-19</w:t>
      </w:r>
      <w:r w:rsidRPr="009E75B7">
        <w:rPr>
          <w:rFonts w:ascii="Times New Roman" w:eastAsia="楷体" w:hAnsi="Times New Roman" w:hint="eastAsia"/>
          <w:color w:val="000000" w:themeColor="text1"/>
          <w:sz w:val="24"/>
          <w:szCs w:val="24"/>
        </w:rPr>
        <w:t>，美国</w:t>
      </w:r>
      <w:r w:rsidRPr="009E75B7">
        <w:rPr>
          <w:rFonts w:ascii="Times New Roman" w:eastAsia="楷体" w:hAnsi="Times New Roman" w:hint="eastAsia"/>
          <w:color w:val="000000" w:themeColor="text1"/>
          <w:sz w:val="24"/>
          <w:szCs w:val="24"/>
        </w:rPr>
        <w:t>NAHB</w:t>
      </w:r>
      <w:r w:rsidRPr="009E75B7">
        <w:rPr>
          <w:rFonts w:ascii="Times New Roman" w:eastAsia="楷体" w:hAnsi="Times New Roman" w:hint="eastAsia"/>
          <w:color w:val="000000" w:themeColor="text1"/>
          <w:sz w:val="24"/>
          <w:szCs w:val="24"/>
        </w:rPr>
        <w:t>房产市场指数小幅回落至</w:t>
      </w:r>
      <w:r w:rsidRPr="009E75B7">
        <w:rPr>
          <w:rFonts w:ascii="Times New Roman" w:eastAsia="楷体" w:hAnsi="Times New Roman" w:hint="eastAsia"/>
          <w:color w:val="000000" w:themeColor="text1"/>
          <w:sz w:val="24"/>
          <w:szCs w:val="24"/>
        </w:rPr>
        <w:t>50</w:t>
      </w:r>
      <w:r w:rsidRPr="009E75B7">
        <w:rPr>
          <w:rFonts w:ascii="Times New Roman" w:eastAsia="楷体" w:hAnsi="Times New Roman" w:hint="eastAsia"/>
          <w:color w:val="000000" w:themeColor="text1"/>
          <w:sz w:val="24"/>
          <w:szCs w:val="24"/>
        </w:rPr>
        <w:t>。昨夜沪金、沪银小幅反弹。惠誉下调数家中小银行评级后，海外市场担忧美国银行业前景。中长线看多思路不变，建议沪金、沪银逢低试多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307443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3074432"/>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9E75B7" w:rsidRPr="009E75B7">
        <w:rPr>
          <w:rFonts w:ascii="楷体" w:eastAsia="楷体" w:hAnsi="楷体" w:hint="eastAsia"/>
          <w:b/>
          <w:color w:val="000000" w:themeColor="text1"/>
          <w:sz w:val="24"/>
          <w:szCs w:val="24"/>
        </w:rPr>
        <w:t>锂盐消费增长预期偏弱，周内期价大幅下跌</w:t>
      </w:r>
      <w:bookmarkEnd w:id="18"/>
    </w:p>
    <w:p w:rsidR="00F50569" w:rsidRDefault="009E75B7" w:rsidP="00F50569">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现货价格连跌近一个月，电池级碳酸锂价格昨日跌5500元至23.4万元/吨，期价大幅下跌。锂盐消费增长预期相对偏弱，材料企业减产、备货意愿降低。特斯拉等车企月内启动降价促销，终端降价压力向上游挤压，受此影响，产业对于后市锂价维持悲观情绪，后市或维持偏弱运行</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3074433"/>
      <w:r>
        <w:rPr>
          <w:rFonts w:ascii="楷体" w:eastAsia="楷体" w:hAnsi="楷体" w:hint="eastAsia"/>
          <w:b/>
          <w:color w:val="000000" w:themeColor="text1"/>
          <w:sz w:val="24"/>
          <w:szCs w:val="24"/>
        </w:rPr>
        <w:t>螺纹钢：</w:t>
      </w:r>
      <w:bookmarkEnd w:id="16"/>
      <w:bookmarkEnd w:id="17"/>
      <w:r w:rsidR="009E75B7" w:rsidRPr="009E75B7">
        <w:rPr>
          <w:rFonts w:ascii="楷体" w:eastAsia="楷体" w:hAnsi="楷体" w:hint="eastAsia"/>
          <w:b/>
          <w:color w:val="000000" w:themeColor="text1"/>
          <w:sz w:val="24"/>
          <w:szCs w:val="24"/>
        </w:rPr>
        <w:t>平控引发补库热情，预计价格震荡偏强</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9E75B7" w:rsidP="00201944">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昨日降息及平控等利好刺激贸易商补库情绪，昨日成交放量至18.8万吨成交，预计现货情绪或助推价格上行，短期价格或偏强震荡，等待需求回升。预计01合约震荡区间（3700,3760），可以逢低短多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3074434"/>
      <w:r>
        <w:rPr>
          <w:rFonts w:ascii="楷体" w:eastAsia="楷体" w:hAnsi="楷体" w:hint="eastAsia"/>
          <w:b/>
          <w:color w:val="000000" w:themeColor="text1"/>
          <w:sz w:val="24"/>
          <w:szCs w:val="24"/>
        </w:rPr>
        <w:t>焦炭：</w:t>
      </w:r>
      <w:bookmarkEnd w:id="20"/>
      <w:bookmarkEnd w:id="21"/>
      <w:r w:rsidR="009E75B7" w:rsidRPr="009E75B7">
        <w:rPr>
          <w:rFonts w:ascii="楷体" w:eastAsia="楷体" w:hAnsi="楷体" w:hint="eastAsia"/>
          <w:b/>
          <w:color w:val="000000" w:themeColor="text1"/>
          <w:sz w:val="24"/>
          <w:szCs w:val="24"/>
        </w:rPr>
        <w:t>近端矛盾并不突出，远端平控并未立即执行，预计震荡为主</w:t>
      </w:r>
      <w:bookmarkEnd w:id="22"/>
    </w:p>
    <w:p w:rsidR="003F56A5" w:rsidRDefault="009E75B7" w:rsidP="00572E35">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焦炭现货价格向下调整预期强，并且煤价松动，焦炭偏弱运行。但高基差下，焦炭价格或随成材震荡，短期成材价格上行缓解原料压力，平控未执行前，矛盾并不突出。预计09合约震荡区间（2200，2260），01合约或在（2080,2160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3074435"/>
      <w:r>
        <w:rPr>
          <w:rFonts w:ascii="楷体" w:eastAsia="楷体" w:hAnsi="楷体" w:hint="eastAsia"/>
          <w:b/>
          <w:color w:val="000000" w:themeColor="text1"/>
          <w:sz w:val="24"/>
          <w:szCs w:val="24"/>
        </w:rPr>
        <w:t>焦煤：</w:t>
      </w:r>
      <w:r w:rsidR="009E75B7" w:rsidRPr="009E75B7">
        <w:rPr>
          <w:rFonts w:ascii="楷体" w:eastAsia="楷体" w:hAnsi="楷体" w:hint="eastAsia"/>
          <w:b/>
          <w:sz w:val="24"/>
          <w:szCs w:val="24"/>
        </w:rPr>
        <w:t>现货下行收近端价差，远端矛盾并不突出，预计继续震荡运行</w:t>
      </w:r>
      <w:bookmarkEnd w:id="23"/>
    </w:p>
    <w:p w:rsidR="003F56A5" w:rsidRDefault="009E75B7">
      <w:pPr>
        <w:ind w:leftChars="300" w:left="630"/>
        <w:rPr>
          <w:rFonts w:ascii="楷体" w:eastAsia="楷体" w:hAnsi="楷体"/>
          <w:bCs/>
          <w:sz w:val="24"/>
          <w:szCs w:val="24"/>
        </w:rPr>
      </w:pPr>
      <w:r w:rsidRPr="009E75B7">
        <w:rPr>
          <w:rFonts w:ascii="楷体" w:eastAsia="楷体" w:hAnsi="楷体" w:hint="eastAsia"/>
          <w:sz w:val="24"/>
          <w:szCs w:val="24"/>
        </w:rPr>
        <w:t>现货价格强势，但下游补库尾声，叠加需求或环比走弱，压力下行压力较大，但盘面基差较大，或宽幅震荡。09合约在交割前或博弈情绪较重，建议观望为主，01合约等待价差修复后逢高空。预计09合约价格或在（1430,1500）区间震荡，01合约或在（1370，1420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3074436"/>
      <w:r>
        <w:rPr>
          <w:rFonts w:ascii="楷体" w:eastAsia="楷体" w:hAnsi="楷体" w:hint="eastAsia"/>
          <w:b/>
          <w:color w:val="000000" w:themeColor="text1"/>
          <w:sz w:val="24"/>
          <w:szCs w:val="24"/>
        </w:rPr>
        <w:t>铜：</w:t>
      </w:r>
      <w:bookmarkEnd w:id="24"/>
      <w:bookmarkEnd w:id="25"/>
      <w:r w:rsidR="009E75B7" w:rsidRPr="009E75B7">
        <w:rPr>
          <w:rFonts w:ascii="楷体" w:eastAsia="楷体" w:hAnsi="楷体" w:hint="eastAsia"/>
          <w:b/>
          <w:color w:val="000000" w:themeColor="text1"/>
          <w:sz w:val="24"/>
          <w:szCs w:val="24"/>
        </w:rPr>
        <w:t>维持震荡区间内运行</w:t>
      </w:r>
      <w:bookmarkEnd w:id="26"/>
    </w:p>
    <w:p w:rsidR="009E75B7" w:rsidRPr="009E75B7" w:rsidRDefault="009E75B7" w:rsidP="009E75B7">
      <w:pPr>
        <w:ind w:leftChars="300" w:left="630"/>
        <w:rPr>
          <w:rFonts w:ascii="楷体" w:eastAsia="楷体" w:hAnsi="楷体" w:hint="eastAsia"/>
          <w:color w:val="000000" w:themeColor="text1"/>
          <w:sz w:val="24"/>
          <w:szCs w:val="24"/>
        </w:rPr>
      </w:pPr>
      <w:r w:rsidRPr="009E75B7">
        <w:rPr>
          <w:rFonts w:ascii="楷体" w:eastAsia="楷体" w:hAnsi="楷体" w:hint="eastAsia"/>
          <w:color w:val="000000" w:themeColor="text1"/>
          <w:sz w:val="24"/>
          <w:szCs w:val="24"/>
        </w:rPr>
        <w:t>(1)宏观：美国7月零售销售月率录得0.7%，超出市场预期，为2023年1月以来最大增幅，实现连续四个月增长。</w:t>
      </w:r>
    </w:p>
    <w:p w:rsidR="009E75B7" w:rsidRPr="009E75B7" w:rsidRDefault="009E75B7" w:rsidP="009E75B7">
      <w:pPr>
        <w:ind w:leftChars="300" w:left="630"/>
        <w:rPr>
          <w:rFonts w:ascii="楷体" w:eastAsia="楷体" w:hAnsi="楷体" w:hint="eastAsia"/>
          <w:color w:val="000000" w:themeColor="text1"/>
          <w:sz w:val="24"/>
          <w:szCs w:val="24"/>
        </w:rPr>
      </w:pPr>
      <w:r w:rsidRPr="009E75B7">
        <w:rPr>
          <w:rFonts w:ascii="楷体" w:eastAsia="楷体" w:hAnsi="楷体" w:hint="eastAsia"/>
          <w:color w:val="000000" w:themeColor="text1"/>
          <w:sz w:val="24"/>
          <w:szCs w:val="24"/>
        </w:rPr>
        <w:t>(2)库存：8月15日，SHFE仓单库存19812吨，增198吨；LME仓单库存90150吨，增4775吨。</w:t>
      </w:r>
    </w:p>
    <w:p w:rsidR="009E75B7" w:rsidRPr="009E75B7" w:rsidRDefault="009E75B7" w:rsidP="009E75B7">
      <w:pPr>
        <w:ind w:leftChars="300" w:left="630"/>
        <w:rPr>
          <w:rFonts w:ascii="楷体" w:eastAsia="楷体" w:hAnsi="楷体" w:hint="eastAsia"/>
          <w:color w:val="000000" w:themeColor="text1"/>
          <w:sz w:val="24"/>
          <w:szCs w:val="24"/>
        </w:rPr>
      </w:pPr>
      <w:r w:rsidRPr="009E75B7">
        <w:rPr>
          <w:rFonts w:ascii="楷体" w:eastAsia="楷体" w:hAnsi="楷体" w:hint="eastAsia"/>
          <w:color w:val="000000" w:themeColor="text1"/>
          <w:sz w:val="24"/>
          <w:szCs w:val="24"/>
        </w:rPr>
        <w:t>(3)精废价差：8月15日，Mysteel精废价差954，扩大184。目前价差在合理价差1384之下。</w:t>
      </w:r>
    </w:p>
    <w:p w:rsidR="009E75B7" w:rsidRPr="009E75B7" w:rsidRDefault="009E75B7" w:rsidP="009E75B7">
      <w:pPr>
        <w:ind w:leftChars="300" w:left="630"/>
        <w:rPr>
          <w:rFonts w:ascii="楷体" w:eastAsia="楷体" w:hAnsi="楷体"/>
          <w:color w:val="000000" w:themeColor="text1"/>
          <w:sz w:val="24"/>
          <w:szCs w:val="24"/>
        </w:rPr>
      </w:pPr>
    </w:p>
    <w:p w:rsidR="00127803" w:rsidRPr="00127803" w:rsidRDefault="009E75B7" w:rsidP="009E75B7">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综述：海外方面，美国7月份零售销售优于预期，凸显消费者需求有韧性，美元指数延续偏强运行。国内方面，昨日央行开展2040亿元公开市场逆回购操作和4010亿元中期借贷便利(MLF)操作，其中，MLF利率下调15个基点至2.5%；7天期逆回购利率下调10个基点至1.80%，政策的持续推进提振市场信心，叠加旺季需求增量预期仍在，短期铜价回调空间有限，整体仍在震荡区间内运行。参考67000-69000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3074437"/>
      <w:r>
        <w:rPr>
          <w:rFonts w:ascii="楷体" w:eastAsia="楷体" w:hAnsi="楷体" w:hint="eastAsia"/>
          <w:b/>
          <w:color w:val="000000" w:themeColor="text1"/>
          <w:sz w:val="24"/>
          <w:szCs w:val="24"/>
        </w:rPr>
        <w:t>铝：</w:t>
      </w:r>
      <w:bookmarkEnd w:id="27"/>
      <w:bookmarkEnd w:id="28"/>
      <w:r w:rsidR="009E75B7" w:rsidRPr="009E75B7">
        <w:rPr>
          <w:rFonts w:ascii="楷体" w:eastAsia="楷体" w:hAnsi="楷体" w:hint="eastAsia"/>
          <w:b/>
          <w:color w:val="000000" w:themeColor="text1"/>
          <w:sz w:val="24"/>
          <w:szCs w:val="24"/>
        </w:rPr>
        <w:t>铝价窄幅震荡运行</w:t>
      </w:r>
      <w:bookmarkEnd w:id="29"/>
    </w:p>
    <w:p w:rsidR="003F56A5" w:rsidRDefault="009E75B7" w:rsidP="00127803">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美国消费仍有韧性，美元指数偏强运行，国内MLF利率下调，政策利多持续释放提振市场信心。云南电解铝复产持续推进，预计8月内完成开产，产量将逐步释放，，电解铝行业平均加权成本受低电价区产能快速复产影响继续下降，库存来看，交易所及社会库存维持低位去库，铝水比例偏高，铝锭到货偏紧导致库存持续走低，需求端来看，工业型材订单较建材订单量明显转好。在政策预期向好和供需格局小幅改善的前提下，国内铝价重心上移，但目前来看政策刺激效果仍待市场验证，且供需矛盾相对温和的表现下，铝价维持窄幅震荡</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3074438"/>
      <w:r>
        <w:rPr>
          <w:rFonts w:ascii="楷体" w:eastAsia="楷体" w:hAnsi="楷体" w:hint="eastAsia"/>
          <w:b/>
          <w:color w:val="000000" w:themeColor="text1"/>
          <w:sz w:val="24"/>
          <w:szCs w:val="24"/>
        </w:rPr>
        <w:t>锌：</w:t>
      </w:r>
      <w:r w:rsidR="009E75B7" w:rsidRPr="009E75B7">
        <w:rPr>
          <w:rFonts w:ascii="楷体" w:eastAsia="楷体" w:hAnsi="楷体" w:hint="eastAsia"/>
          <w:b/>
          <w:color w:val="000000" w:themeColor="text1"/>
          <w:sz w:val="24"/>
          <w:szCs w:val="24"/>
        </w:rPr>
        <w:t>锌价维持震荡运行</w:t>
      </w:r>
      <w:bookmarkEnd w:id="30"/>
    </w:p>
    <w:p w:rsidR="003F56A5" w:rsidRDefault="009E75B7" w:rsidP="000B0648">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美元指数走势偏强，有色板块走势承压，海外经济表现仍有韧性，短期降息可能较小，国内MLF降息释放流动性，政策利多持续释放。整体锌矿、精锌供应偏松，需求因仍处淡季阶段，镀锌开工维持，氧化锌、锌合金开工等表现一般，锌价近期走势偏弱，破前高位置趋势向下，部分下游企业采购积极性在锌价下跌的情况下有所增强，下游补库意愿走增，预计在“金九银十”旺季消费兑现之前锌价仍以区间震荡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3074439"/>
      <w:r>
        <w:rPr>
          <w:rFonts w:ascii="楷体" w:eastAsia="楷体" w:hAnsi="楷体" w:hint="eastAsia"/>
          <w:b/>
          <w:color w:val="000000" w:themeColor="text1"/>
          <w:sz w:val="24"/>
          <w:szCs w:val="24"/>
        </w:rPr>
        <w:t>镍：</w:t>
      </w:r>
      <w:r w:rsidR="009E75B7" w:rsidRPr="009E75B7">
        <w:rPr>
          <w:rFonts w:ascii="楷体" w:eastAsia="楷体" w:hAnsi="楷体" w:hint="eastAsia"/>
          <w:b/>
          <w:color w:val="000000" w:themeColor="text1"/>
          <w:sz w:val="24"/>
          <w:szCs w:val="24"/>
        </w:rPr>
        <w:t>震荡运行，关注印尼镍矿供应</w:t>
      </w:r>
      <w:bookmarkEnd w:id="31"/>
    </w:p>
    <w:p w:rsidR="003F56A5" w:rsidRDefault="009E75B7">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昨日央行公布降息，1月期MLF利率和7天逆回购利率分别下调15个基点和10个基点，宏观政策提振市场信心。需求端来看，合金需求受军工影响持稳；新能源汽车需求疲软；不锈钢市场则情绪较积极，且存在传统旺季消费增量预期。供应端来看，原生镍产量不断爬坡，但近期印尼矿部进行廉政调查，镍矿配额签发受到影响，需关注后续镍矿供应走向。沪镍库存接近四周都处于持续累库状态，不过库存低位仍对镍价有支撑。整体而言，镍基本面偏弱，易受宏观扰动，预期震荡运行，建议暂时观望</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307444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9E75B7" w:rsidRPr="009E75B7">
        <w:rPr>
          <w:rFonts w:ascii="楷体" w:eastAsia="楷体" w:hAnsi="楷体" w:hint="eastAsia"/>
          <w:b/>
          <w:color w:val="000000" w:themeColor="text1"/>
          <w:sz w:val="24"/>
          <w:szCs w:val="24"/>
        </w:rPr>
        <w:t>成本因子推升铅价走升</w:t>
      </w:r>
      <w:bookmarkEnd w:id="32"/>
    </w:p>
    <w:p w:rsidR="008B13D2" w:rsidRPr="008B13D2" w:rsidRDefault="009E75B7" w:rsidP="008B13D2">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lastRenderedPageBreak/>
        <w:t>央行今日发布降息，下调MLF利率和逆回购市场利率，降准预期升温，宏观利好拉动金属普涨。基本面来看，铅精矿供应整体上维持短缺，铅精矿加工费低位持稳；再生铅产量预期增加，废电瓶价格坚挺；8月期货合约平稳交割，社库近期呈累库态势；铅酸蓄电池终端消费需求疲弱，不过存在销售旺季增量预期。整体而言，基本面无明显驱动，成本端为铅价提供支撑</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3074441"/>
      <w:r>
        <w:rPr>
          <w:rFonts w:ascii="楷体" w:eastAsia="楷体" w:hAnsi="楷体" w:hint="eastAsia"/>
          <w:b/>
          <w:color w:val="000000" w:themeColor="text1"/>
          <w:sz w:val="24"/>
          <w:szCs w:val="24"/>
        </w:rPr>
        <w:t>不锈钢：</w:t>
      </w:r>
      <w:r w:rsidR="009E75B7" w:rsidRPr="009E75B7">
        <w:rPr>
          <w:rFonts w:ascii="楷体" w:eastAsia="楷体" w:hAnsi="楷体" w:hint="eastAsia"/>
          <w:b/>
          <w:color w:val="000000" w:themeColor="text1"/>
          <w:sz w:val="24"/>
          <w:szCs w:val="24"/>
        </w:rPr>
        <w:t>原料扰动且社库去化，延续震荡偏强</w:t>
      </w:r>
      <w:bookmarkEnd w:id="33"/>
    </w:p>
    <w:p w:rsidR="003F56A5" w:rsidRDefault="009E75B7">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央行继6月之后开启年内第二波降息，降准预期也随之升温，宏观政策消息稳定市场预期。近期印尼开展矿端廉政调查，引发印尼镍矿供应担忧，镍铁价格强势运行。原料端价格的涨势驱动不锈钢价上行。需求方面，不锈钢在传统消费淡季下社会库存持续去库，叠加利好政策的推动和金九银十的传统消费旺季预期，不锈钢短期延续震荡偏强运行，或继续上探16000整数关口压力位。关注社库变化</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3074442"/>
      <w:r>
        <w:rPr>
          <w:rFonts w:ascii="楷体" w:eastAsia="楷体" w:hAnsi="楷体" w:hint="eastAsia"/>
          <w:b/>
          <w:color w:val="000000" w:themeColor="text1"/>
          <w:sz w:val="24"/>
          <w:szCs w:val="24"/>
        </w:rPr>
        <w:t>工业硅：</w:t>
      </w:r>
      <w:r w:rsidR="009E75B7" w:rsidRPr="009E75B7">
        <w:rPr>
          <w:rFonts w:ascii="楷体" w:eastAsia="楷体" w:hAnsi="楷体" w:hint="eastAsia"/>
          <w:b/>
          <w:sz w:val="24"/>
          <w:szCs w:val="24"/>
        </w:rPr>
        <w:t>市场矛盾暂不凸出，短期盘面或震荡为主</w:t>
      </w:r>
      <w:bookmarkEnd w:id="34"/>
    </w:p>
    <w:p w:rsidR="003F56A5" w:rsidRDefault="009E75B7" w:rsidP="00827E8A">
      <w:pPr>
        <w:ind w:leftChars="300" w:left="630"/>
        <w:rPr>
          <w:rFonts w:ascii="楷体" w:eastAsia="楷体" w:hAnsi="楷体"/>
          <w:sz w:val="24"/>
          <w:szCs w:val="24"/>
        </w:rPr>
      </w:pPr>
      <w:r w:rsidRPr="009E75B7">
        <w:rPr>
          <w:rFonts w:ascii="楷体" w:eastAsia="楷体" w:hAnsi="楷体" w:hint="eastAsia"/>
          <w:sz w:val="24"/>
          <w:szCs w:val="24"/>
        </w:rPr>
        <w:t>8月15日，Si2310主力合约整体呈震荡走势，收盘价13635元/吨，较上一收盘价涨跌幅-0.18%。上周新疆大厂连续两次提价，带动现货市场出现明显反弹，当前工厂库存压力整体偏低，工厂挺价情绪较高，叠加需求存在改善预期，盘面或仍有支撑。但大运会结束后四川工厂陆续复产，据铁合金在线消息，当地开炉数由46台复产提升至目前75台水平，产量也将逐步释放，对盘面反弹将存在压制作用。目前市场矛盾暂不凸出，短期盘面以震荡对待，预计运行区间(13500，14000)，波段操作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30744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307444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9E75B7" w:rsidRPr="009E75B7">
        <w:rPr>
          <w:rFonts w:ascii="楷体" w:eastAsia="楷体" w:hAnsi="楷体" w:hint="eastAsia"/>
          <w:b/>
          <w:sz w:val="24"/>
          <w:szCs w:val="24"/>
        </w:rPr>
        <w:t>供应端有收缩预期 RU或低位反弹</w:t>
      </w:r>
      <w:bookmarkEnd w:id="37"/>
    </w:p>
    <w:p w:rsidR="003F56A5" w:rsidRDefault="009E75B7">
      <w:pPr>
        <w:ind w:leftChars="300" w:left="630"/>
        <w:rPr>
          <w:rFonts w:ascii="楷体" w:eastAsia="楷体" w:hAnsi="楷体"/>
          <w:sz w:val="24"/>
          <w:szCs w:val="24"/>
        </w:rPr>
      </w:pPr>
      <w:r w:rsidRPr="009E75B7">
        <w:rPr>
          <w:rFonts w:ascii="楷体" w:eastAsia="楷体" w:hAnsi="楷体" w:hint="eastAsia"/>
          <w:sz w:val="24"/>
          <w:szCs w:val="24"/>
        </w:rPr>
        <w:t>点评：供给端，泰国、越南降雨干扰，割胶工作开展受限，原料产出维持偏少状态，加之原料价格低迷，上游工厂生产利润倒挂，或将抑制橡胶产量的大幅增加。中游库存反复变动，绝对值仍处高位，但本周呈现小幅去库，提振市场信心。需求端来看，下游轮胎企业开工率半钢胎好于全钢胎，国内稳经济政策将有利于轮胎替换及配套需求的改善。此外，半钢胎外贸雪地胎需求旺盛，将进一步支撑半钢胎开工率高位运行。但整体内销市场整体出货偏慢，尤其是近期全钢胎成品库存提升，因此短期轮胎厂开工率继续提升的空间有限。消息层面，据市场传闻国储或先进行老胶抛储，数量和单价暂时未知。短期随着轮储信息初步明朗，前期市场的炒作情绪或逐步降温。整体看，橡胶基本面小幅改善，且当前胶价已接近成本线，下调空间不足。操作上，短期建议谨慎偏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307444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9E75B7" w:rsidRPr="009E75B7">
        <w:rPr>
          <w:rFonts w:ascii="楷体" w:eastAsia="楷体" w:hAnsi="楷体" w:hint="eastAsia"/>
          <w:b/>
          <w:color w:val="000000" w:themeColor="text1"/>
          <w:sz w:val="24"/>
          <w:szCs w:val="24"/>
        </w:rPr>
        <w:t>关注5900压力位</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9E75B7" w:rsidP="002C73FE">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原油方面，8月份后原油盘面驱动逻辑将由预期逐步转回现实，一旦利好兑现不及预期及宏观风险，原油盘面向下修复的风险会相对偏大。 PTA供给方面，周内逸盛新材料360万吨装置短暂降负，英力士125万吨装置降</w:t>
      </w:r>
      <w:r w:rsidRPr="009E75B7">
        <w:rPr>
          <w:rFonts w:ascii="楷体" w:eastAsia="楷体" w:hAnsi="楷体" w:hint="eastAsia"/>
          <w:color w:val="000000" w:themeColor="text1"/>
          <w:sz w:val="24"/>
          <w:szCs w:val="24"/>
        </w:rPr>
        <w:lastRenderedPageBreak/>
        <w:t>负至7成，东营威廉250万吨PTA装置因故停车，PTA负荷下降至76.7%（-2.3%）附近。需求方面，本周有一套聚酯装置计划内检修，同时局部装置有负荷微调，总的来看聚酯负荷有所回落。截至8.10，初步核算国内大陆地区聚酯负荷在92.2%附近。PTA期价回落后聚酯利润明显改善，市场对9-10月份旺季有预期，低库存下预计7月聚酯不会轻易减停产。而前期因上游原料成本走高导致减产的长丝和切片企业后期存负荷提升预期。展望后市，目前成本端支撑仍存，聚酯因库存低位高开工维持需求韧性尚可。近期PTA装置加工费虽压缩至100元/吨附近，但未见明显减产检修装置，PX-PTA重启较多及部分远月仓单流向市场，现货预期宽松，供应增量拖累供需，预估反弹受限。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307444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3074447"/>
      <w:r>
        <w:rPr>
          <w:rFonts w:ascii="楷体" w:eastAsia="楷体" w:hAnsi="楷体" w:hint="eastAsia"/>
          <w:b/>
          <w:color w:val="000000" w:themeColor="text1"/>
          <w:sz w:val="24"/>
          <w:szCs w:val="24"/>
        </w:rPr>
        <w:t>聚烯烃：</w:t>
      </w:r>
      <w:r w:rsidR="009E75B7" w:rsidRPr="009E75B7">
        <w:rPr>
          <w:rFonts w:ascii="楷体" w:eastAsia="楷体" w:hAnsi="楷体" w:hint="eastAsia"/>
          <w:b/>
          <w:color w:val="000000" w:themeColor="text1"/>
          <w:sz w:val="24"/>
          <w:szCs w:val="24"/>
        </w:rPr>
        <w:t>供应压力不减，聚烯烃延续震荡整理</w:t>
      </w:r>
      <w:bookmarkEnd w:id="40"/>
    </w:p>
    <w:p w:rsidR="003F56A5" w:rsidRDefault="009E75B7">
      <w:pPr>
        <w:ind w:leftChars="300" w:left="630"/>
        <w:rPr>
          <w:rFonts w:ascii="楷体" w:eastAsia="楷体" w:hAnsi="楷体"/>
          <w:bCs/>
          <w:sz w:val="24"/>
          <w:szCs w:val="24"/>
        </w:rPr>
      </w:pPr>
      <w:r w:rsidRPr="009E75B7">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被宏观经济及欧美股市走弱影响，油价承压。需求方面，PE下游方面，农膜整体需求平平，工厂生产清淡。棚膜工厂多停机检修；PP下游方面，BOPP市场成交刚需有量，整体量较上一交易日增加，BOPP企业未交付订单多数在一周以内，个别可至八月中。综合来看，PE方面，随着前期检修装置陆续重启，市场供应压力增加。但下游需求也在陆续恢复。预计今日PE偏强震荡为主。PP方面，装置检修情况相对稳定，新增扩能暂未放量，供应压力尚可。下游订单跟进不足，开工维持低位，需求端无明显好转，补库情绪不佳。预计今日市场或窄幅下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3074448"/>
      <w:r>
        <w:rPr>
          <w:rFonts w:ascii="楷体" w:eastAsia="楷体" w:hAnsi="楷体" w:hint="eastAsia"/>
          <w:b/>
          <w:color w:val="000000" w:themeColor="text1"/>
          <w:sz w:val="24"/>
          <w:szCs w:val="24"/>
        </w:rPr>
        <w:t>MEG：</w:t>
      </w:r>
      <w:r w:rsidR="009E75B7" w:rsidRPr="009E75B7">
        <w:rPr>
          <w:rFonts w:ascii="楷体" w:eastAsia="楷体" w:hAnsi="楷体" w:hint="eastAsia"/>
          <w:b/>
          <w:color w:val="000000" w:themeColor="text1"/>
          <w:sz w:val="24"/>
          <w:szCs w:val="24"/>
        </w:rPr>
        <w:t>存量库存累积反弹乏力</w:t>
      </w:r>
      <w:bookmarkEnd w:id="41"/>
    </w:p>
    <w:p w:rsidR="003F56A5" w:rsidRDefault="009E75B7" w:rsidP="00115EEA">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8.14华东主港地区MEG港口库存约114.3万吨附近，环比上期增加7.3万吨。港口库存累积，绝对库存偏高运行。截至8月10日，中国大陆地区乙二醇整体开工负荷在63.48%（-0.22%），其中煤制乙二醇开工负荷在61.88%</w:t>
      </w:r>
      <w:r w:rsidRPr="009E75B7">
        <w:rPr>
          <w:rFonts w:ascii="楷体" w:eastAsia="楷体" w:hAnsi="楷体" w:hint="eastAsia"/>
          <w:color w:val="000000" w:themeColor="text1"/>
          <w:sz w:val="24"/>
          <w:szCs w:val="24"/>
        </w:rPr>
        <w:lastRenderedPageBreak/>
        <w:t>（-4.60%）8月陕煤榆林化学第二套60万吨/年已于近日按计划停车检修，预计时长在10天附近，新杭能源计划于8月下旬附近停车检修20天附近，虹港石化100万吨停车中，重启待定，8月存少量煤化工装置检修计划。聚酯下游方面，截至8.10，初步核算国内大陆地区聚酯负荷在92.2%附近。终端开工小幅提升，江浙加弹综合开工率76%（-1%），江浙织机综合开工率69%（+1%），江浙印染综合开工率76%（+4%）。展望后市，成本端石脑油大幅上涨带动乙二醇工厂利润水平急剧压缩，部分工厂停车检修及转产意向再度增加，供应端国产量小幅减少 。受成本端油价提振及近期进口到港不及预期，市场供需维持紧平衡状态。期价在4000附近支撑较强，存弱反弹估值修复预期。仅供参考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307444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9E75B7" w:rsidRPr="009E75B7">
        <w:rPr>
          <w:rFonts w:ascii="楷体" w:eastAsia="楷体" w:hAnsi="楷体" w:hint="eastAsia"/>
          <w:b/>
          <w:color w:val="000000" w:themeColor="text1"/>
          <w:sz w:val="24"/>
          <w:szCs w:val="24"/>
        </w:rPr>
        <w:t>基本面偏弱，区间震荡</w:t>
      </w:r>
      <w:bookmarkEnd w:id="42"/>
    </w:p>
    <w:p w:rsidR="00A71A7E" w:rsidRDefault="009E75B7" w:rsidP="001F79C6">
      <w:pPr>
        <w:ind w:leftChars="300" w:left="630"/>
        <w:rPr>
          <w:rFonts w:ascii="楷体" w:eastAsia="楷体" w:hAnsi="楷体"/>
          <w:color w:val="000000" w:themeColor="text1"/>
          <w:sz w:val="24"/>
          <w:szCs w:val="24"/>
        </w:rPr>
      </w:pPr>
      <w:r w:rsidRPr="009E75B7">
        <w:rPr>
          <w:rFonts w:ascii="楷体" w:eastAsia="楷体" w:hAnsi="楷体" w:hint="eastAsia"/>
          <w:color w:val="000000" w:themeColor="text1"/>
          <w:sz w:val="24"/>
          <w:szCs w:val="24"/>
        </w:rPr>
        <w:t>隆众资讯8月15日报道：浮法玻璃现货价格2029，较上一交易日上涨4元/吨。华北原片厂库存较低，厂家挺价，其它地区总体以稳价为主。供给端，前期闷炉产线恢复，产量回升。需求端，截至2023年8月中旬，深加工企业订单天数20.1天，较上期+2.8天，环比+16.18%。下游阶段性补库告一段落，湖北产销快速回落，拿货趋于谨慎，华南产销较好。基本面短期偏弱，但旺季预期较强，价格难跌。盘面小幅震荡，多空博弈，远月供给压力压力尚在，短期矛盾暂不明显，建议观望</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307445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9E75B7" w:rsidRPr="009E75B7">
        <w:rPr>
          <w:rFonts w:ascii="楷体" w:eastAsia="楷体" w:hAnsi="楷体" w:hint="eastAsia"/>
          <w:b/>
          <w:color w:val="000000" w:themeColor="text1"/>
          <w:sz w:val="24"/>
          <w:szCs w:val="24"/>
        </w:rPr>
        <w:t>扩产上量逐步临近，反弹逢高做空</w:t>
      </w:r>
      <w:bookmarkEnd w:id="43"/>
    </w:p>
    <w:p w:rsidR="00A71A7E" w:rsidRDefault="009E75B7" w:rsidP="00A71A7E">
      <w:pPr>
        <w:ind w:leftChars="300" w:left="630"/>
        <w:rPr>
          <w:rFonts w:ascii="楷体" w:eastAsia="楷体" w:hAnsi="楷体"/>
          <w:bCs/>
          <w:sz w:val="24"/>
          <w:szCs w:val="24"/>
        </w:rPr>
      </w:pPr>
      <w:r w:rsidRPr="009E75B7">
        <w:rPr>
          <w:rFonts w:ascii="楷体" w:eastAsia="楷体" w:hAnsi="楷体" w:hint="eastAsia"/>
          <w:color w:val="000000" w:themeColor="text1"/>
          <w:sz w:val="24"/>
          <w:szCs w:val="24"/>
        </w:rPr>
        <w:t>今日纯碱价格无变化，华中送达价2200元/吨，华北2250元/吨。供给方面，远兴重碱开始提量，金山化工设备调试中，产量小幅度提升。需求方面，碱厂订单充足，现货库存低位下，短期价格易张难跌。随着扩产产量的逐步提升，供给紧张终将缓解，本周预计周内仍然是去库去库，从扩产的速度来看，8月底-9月中可以看到累库，盘面近期受远兴和金山投产消息影响震荡反复，但从中长期来看，近强远弱明显，反弹后把握高空01机会</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307445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307445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9E75B7" w:rsidRPr="009E75B7">
        <w:rPr>
          <w:rFonts w:ascii="楷体" w:eastAsia="楷体" w:hAnsi="楷体" w:hint="eastAsia"/>
          <w:b/>
          <w:sz w:val="24"/>
          <w:szCs w:val="24"/>
        </w:rPr>
        <w:t>内强外弱延续，短期维持偏强震荡</w:t>
      </w:r>
      <w:bookmarkEnd w:id="45"/>
    </w:p>
    <w:p w:rsidR="003F56A5" w:rsidRDefault="009E75B7">
      <w:pPr>
        <w:ind w:leftChars="300" w:left="630"/>
        <w:rPr>
          <w:rFonts w:ascii="楷体" w:eastAsia="楷体" w:hAnsi="楷体"/>
          <w:sz w:val="24"/>
          <w:szCs w:val="24"/>
        </w:rPr>
      </w:pPr>
      <w:r w:rsidRPr="009E75B7">
        <w:rPr>
          <w:rFonts w:ascii="楷体" w:eastAsia="楷体" w:hAnsi="楷体" w:hint="eastAsia"/>
          <w:sz w:val="24"/>
          <w:szCs w:val="24"/>
        </w:rPr>
        <w:t>国际方面，美豆优良率上升，且幅度超过预期，美豆在1300美分附近震荡。8月usda报告偏利好，但整体符合市场预期，美国农业部将美国大豆单产调低1.1蒲，至50.9蒲/英亩；大豆产量调低0.95亿蒲，为42.05亿蒲；由于供应降幅超过用量降幅，大豆期末库存预计为2.45亿蒲。近期在天气利好下，干旱面积收窄，优良率持续改善，截至8月15日当周，美国大豆优良率为59%，前一周为54%，上年同期为58%。国内现货持续上涨对期价构成支撑，海关抽查趋严，进口大豆入关速度较慢，部分油厂存断豆停机情况，开机及压榨下滑，从而再度影响豆粕累库进度，支撑现货报价坚挺，当前主流油厂豆粕现货报价小幅上调至4620-4740元/吨。大豆6-8月到港量仍较充裕，6月进口到港1027万吨，7月到港973万吨，但对北美新作买船进度偏慢，预计9月后进口到港将收紧，远月预期到港紧张支</w:t>
      </w:r>
      <w:r w:rsidRPr="009E75B7">
        <w:rPr>
          <w:rFonts w:ascii="楷体" w:eastAsia="楷体" w:hAnsi="楷体" w:hint="eastAsia"/>
          <w:sz w:val="24"/>
          <w:szCs w:val="24"/>
        </w:rPr>
        <w:lastRenderedPageBreak/>
        <w:t>撑远月基差报价坚挺。需求，下游生猪养殖利润近期有显著改善，养殖端需求回暖，提振整体终端企业存补库需求，提货及成交表现较好。菜粕当前供给相对偏紧，随着6月份后菜籽到港减少，油厂压榨也在逐步下滑。而需求方面，当前处于水产养殖旺季，下游提货较好，仍对期价构成支撑，同时随着近期豆粕价格大幅上涨，菜粕仍有比价优势，替代需求好转。策略方面，短期建议仍可持续关注月间正套，高位追多风险较大</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3074453"/>
      <w:r>
        <w:rPr>
          <w:rFonts w:ascii="楷体" w:eastAsia="楷体" w:hAnsi="楷体" w:hint="eastAsia"/>
          <w:b/>
          <w:color w:val="000000" w:themeColor="text1"/>
          <w:sz w:val="24"/>
          <w:szCs w:val="24"/>
        </w:rPr>
        <w:t>油脂：</w:t>
      </w:r>
      <w:r w:rsidR="009E75B7" w:rsidRPr="009E75B7">
        <w:rPr>
          <w:rFonts w:ascii="楷体" w:eastAsia="楷体" w:hAnsi="楷体" w:hint="eastAsia"/>
          <w:b/>
          <w:sz w:val="24"/>
          <w:szCs w:val="24"/>
        </w:rPr>
        <w:t>短期缺乏有效利好驱动，暂看反弹持续性</w:t>
      </w:r>
      <w:bookmarkEnd w:id="46"/>
    </w:p>
    <w:p w:rsidR="003F56A5" w:rsidRDefault="009E75B7" w:rsidP="00792D31">
      <w:pPr>
        <w:ind w:leftChars="300" w:left="630"/>
        <w:rPr>
          <w:rFonts w:ascii="楷体" w:eastAsia="楷体" w:hAnsi="楷体"/>
          <w:sz w:val="24"/>
          <w:szCs w:val="24"/>
        </w:rPr>
      </w:pPr>
      <w:r w:rsidRPr="009E75B7">
        <w:rPr>
          <w:rFonts w:ascii="楷体" w:eastAsia="楷体" w:hAnsi="楷体" w:hint="eastAsia"/>
          <w:sz w:val="24"/>
          <w:szCs w:val="24"/>
        </w:rPr>
        <w:t>在国内宏观政策利好以及马棕出口数据利好提振下，油脂止跌反弹，但当前基本面仍限制上方空间。棕榈油，产地仍处于季节性增产周期，印尼棕榈油5月份在供给增量大于需求下，库存持续回升，供给压力显现。而马棕产量7月显著改善，且8-9月份仍处于产量的季节性增产阶段，关注后续产量修复情况；而7月库存增幅不及预期，因出口环比增加，且根据ITS数据，8月1-15日棕榈油出口量为658475吨，环比增加18.85%，马棕累库速度预计仍偏慢。国内棕榈油7-8月份进口到港预计增加，库存维持同期高位，最新商业库存为61.76万吨，已连续两周减少，在于下游成交的好转。需求端，当前在豆棕价差拉大下，利好棕榈油下游消费需求，成交好转，但四季度为棕榈油消费淡季，预计后续北方地区需求将转向豆油。豆油累库或放缓。国内7-8月进口大豆到港量仍不少，虽前几周油厂开机恢复，豆油供应回升，但近期受海关检验问题油厂存断豆停机现象，或影响豆油累库进程。需求端，8月份后下游将陆续开始为双节备货且高校等将陆续开学，需求端或能有所提振。菜油在进口菜籽减少下，供应压力减轻。当前主产地菜籽还未上市，供应处于青黄不接的阶段，全球菜籽新作产量不确定性仍存。随着后续进口加籽到港量的减少，菜籽开机及压榨水平也有所降低，6月菜籽进口环比下滑38.5%，菜油进口21万吨，但当前供应仍较充裕。需求方面，与替代油脂价差仍不存在优势，当前去库速度缓慢，关注双节备货需求。短期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3074454"/>
      <w:r>
        <w:rPr>
          <w:rFonts w:ascii="楷体" w:eastAsia="楷体" w:hAnsi="楷体" w:hint="eastAsia"/>
          <w:b/>
          <w:bCs/>
          <w:color w:val="000000" w:themeColor="text1"/>
        </w:rPr>
        <w:t>玉米与淀粉：</w:t>
      </w:r>
      <w:r w:rsidR="009E75B7" w:rsidRPr="009E75B7">
        <w:rPr>
          <w:rFonts w:ascii="楷体" w:eastAsia="楷体" w:hAnsi="楷体" w:hint="eastAsia"/>
          <w:b/>
        </w:rPr>
        <w:t>移仓和新作上市压力带动期价继续回落</w:t>
      </w:r>
      <w:bookmarkEnd w:id="47"/>
    </w:p>
    <w:p w:rsidR="009E75B7" w:rsidRPr="009E75B7" w:rsidRDefault="009E75B7" w:rsidP="009E75B7">
      <w:pPr>
        <w:pStyle w:val="paragraph"/>
        <w:spacing w:before="60" w:after="60"/>
        <w:ind w:leftChars="300" w:left="630"/>
        <w:rPr>
          <w:rFonts w:ascii="楷体" w:eastAsia="楷体" w:hAnsi="楷体" w:hint="eastAsia"/>
        </w:rPr>
      </w:pPr>
      <w:r w:rsidRPr="009E75B7">
        <w:rPr>
          <w:rFonts w:ascii="楷体" w:eastAsia="楷体" w:hAnsi="楷体" w:hint="eastAsia"/>
        </w:rPr>
        <w:t>对于玉米而言，在前期报告中，我们认为基于国内新旧作产需缺口，陈化水稻抛储底价上调有望给玉米带来安全边际，上涨驱动则主要关注三个方面，即新作产区天气炒作、小麦现货上涨和市场再度进入被动库存，近期期价符合我们之前预期，接下来继续跟踪上述三个方面上涨驱动因素。综上所述，我们维持谨慎看多观点，建议投资者持有前期多单。</w:t>
      </w:r>
    </w:p>
    <w:p w:rsidR="003F56A5" w:rsidRDefault="009E75B7" w:rsidP="009E75B7">
      <w:pPr>
        <w:pStyle w:val="paragraph"/>
        <w:spacing w:before="60" w:beforeAutospacing="0" w:after="60" w:afterAutospacing="0"/>
        <w:ind w:leftChars="300" w:left="630"/>
        <w:rPr>
          <w:rFonts w:ascii="楷体" w:eastAsia="楷体" w:hAnsi="楷体"/>
        </w:rPr>
      </w:pPr>
      <w:r w:rsidRPr="009E75B7">
        <w:rPr>
          <w:rFonts w:ascii="楷体" w:eastAsia="楷体" w:hAnsi="楷体" w:hint="eastAsia"/>
        </w:rPr>
        <w:t>对于淀粉而言，近期淀粉-玉米价差小幅走扩，这更多源于期价同等涨幅下的天然结果，而非行业供需改善所致，相反价差走扩可能带动期现货生产利润改善，使得行业开机率难有大幅下降，与此同时，淀粉存在原料端成本和现货基差两个方面的支撑。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3074455"/>
      <w:r>
        <w:rPr>
          <w:rFonts w:ascii="楷体" w:eastAsia="楷体" w:hAnsi="楷体" w:hint="eastAsia"/>
          <w:b/>
          <w:bCs/>
          <w:color w:val="000000" w:themeColor="text1"/>
        </w:rPr>
        <w:lastRenderedPageBreak/>
        <w:t>畜禽养殖：</w:t>
      </w:r>
      <w:r w:rsidR="009E75B7" w:rsidRPr="009E75B7">
        <w:rPr>
          <w:rFonts w:ascii="楷体" w:eastAsia="楷体" w:hAnsi="楷体" w:hint="eastAsia"/>
          <w:b/>
          <w:bCs/>
          <w:color w:val="000000" w:themeColor="text1"/>
        </w:rPr>
        <w:t>期价震荡等待现货方向</w:t>
      </w:r>
      <w:bookmarkEnd w:id="48"/>
    </w:p>
    <w:p w:rsidR="009E75B7" w:rsidRPr="009E75B7" w:rsidRDefault="009E75B7" w:rsidP="009E75B7">
      <w:pPr>
        <w:pStyle w:val="paragraph"/>
        <w:spacing w:before="60" w:after="60"/>
        <w:ind w:leftChars="300" w:left="630"/>
        <w:rPr>
          <w:rFonts w:ascii="楷体" w:eastAsia="楷体" w:hAnsi="楷体" w:hint="eastAsia"/>
        </w:rPr>
      </w:pPr>
      <w:r w:rsidRPr="009E75B7">
        <w:rPr>
          <w:rFonts w:ascii="楷体" w:eastAsia="楷体" w:hAnsi="楷体" w:hint="eastAsia"/>
        </w:rPr>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值得重点关注的因素有二，其一是生猪养殖成本线，其二是二次育肥。近期现货价格在前期快速反弹之后震荡回调，接下来需要跟踪现货反弹的持续性，因其影响市场对供需的预期。综上所述，维持谨慎看多观点，建议持有前期多单。</w:t>
      </w:r>
    </w:p>
    <w:p w:rsidR="003F56A5" w:rsidRDefault="009E75B7" w:rsidP="009E75B7">
      <w:pPr>
        <w:pStyle w:val="paragraph"/>
        <w:spacing w:before="60" w:beforeAutospacing="0" w:after="60" w:afterAutospacing="0"/>
        <w:ind w:leftChars="300" w:left="630"/>
        <w:rPr>
          <w:rFonts w:ascii="楷体" w:eastAsia="楷体" w:hAnsi="楷体"/>
        </w:rPr>
      </w:pPr>
      <w:r w:rsidRPr="009E75B7">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近期鸡蛋期现背离带动基差继续走强，或源于市场三个方面的担心，其一是价格持续上涨或抑制下游消费，其二是近期上涨或部分源于北方暴雨天气的影响；其三是春节后补栏对应新开产带来供应的增加。在这种情况下，接下来需要关注现货上涨的持续性。综合来看，我们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3074456"/>
      <w:r>
        <w:rPr>
          <w:rFonts w:ascii="楷体" w:eastAsia="楷体" w:hAnsi="楷体" w:hint="eastAsia"/>
          <w:b/>
          <w:sz w:val="24"/>
          <w:szCs w:val="24"/>
        </w:rPr>
        <w:t>郑棉：</w:t>
      </w:r>
      <w:r w:rsidR="009E75B7" w:rsidRPr="009E75B7">
        <w:rPr>
          <w:rFonts w:ascii="楷体" w:eastAsia="楷体" w:hAnsi="楷体" w:hint="eastAsia"/>
          <w:b/>
          <w:sz w:val="24"/>
          <w:szCs w:val="24"/>
        </w:rPr>
        <w:t>关口承压回落，观望</w:t>
      </w:r>
      <w:bookmarkEnd w:id="49"/>
    </w:p>
    <w:p w:rsidR="003F56A5" w:rsidRDefault="009E75B7" w:rsidP="007B3290">
      <w:pPr>
        <w:ind w:leftChars="300" w:left="630"/>
        <w:rPr>
          <w:rFonts w:ascii="楷体" w:eastAsia="楷体" w:hAnsi="楷体"/>
          <w:sz w:val="24"/>
          <w:szCs w:val="24"/>
        </w:rPr>
      </w:pPr>
      <w:r w:rsidRPr="009E75B7">
        <w:rPr>
          <w:rFonts w:ascii="楷体" w:eastAsia="楷体" w:hAnsi="楷体" w:hint="eastAsia"/>
          <w:sz w:val="24"/>
          <w:szCs w:val="24"/>
        </w:rPr>
        <w:t>国际糖业组织(ISO)预测，2023/24年度(10-9月)全球糖市场缺口为212万吨，这是对下一年度糖市场状况的首次预估。这一糖业组织表示，缺口预期主要是由于全球头号产糖国巴西的产量可能下滑，以及巴西收成的季节性。ISO在季度报告中还将当前的2022/23年度的糖市过剩预估下修至49.30万吨，之前预估过剩85万吨。国内，由于台风影响，广西等白糖主产区出现连绵暴雨。但产区采取各项措施积极应对天气灾害，最终影响程度仍需观察等待。白糖在7000关口显著承压，预计短期内技术性回调，多单暂止盈离场，等待重新低多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7B" w:rsidRDefault="007F197B">
      <w:r>
        <w:separator/>
      </w:r>
    </w:p>
  </w:endnote>
  <w:endnote w:type="continuationSeparator" w:id="0">
    <w:p w:rsidR="007F197B" w:rsidRDefault="007F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EFB42FB" wp14:editId="284550F5">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10769">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B10769">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7B" w:rsidRDefault="007F197B">
      <w:r>
        <w:separator/>
      </w:r>
    </w:p>
  </w:footnote>
  <w:footnote w:type="continuationSeparator" w:id="0">
    <w:p w:rsidR="007F197B" w:rsidRDefault="007F19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3CC11BAC" wp14:editId="574F79AA">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63F7C35" wp14:editId="4C8CAF6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9E75B7">
      <w:rPr>
        <w:rFonts w:ascii="Times New Roman" w:eastAsia="楷体" w:hAnsi="Times New Roman" w:hint="eastAsia"/>
        <w:b/>
        <w:bCs/>
        <w:noProof/>
        <w:color w:val="833C0B"/>
        <w:sz w:val="21"/>
      </w:rPr>
      <w:t>2023</w:t>
    </w:r>
    <w:r w:rsidR="009E75B7">
      <w:rPr>
        <w:rFonts w:ascii="Times New Roman" w:eastAsia="楷体" w:hAnsi="Times New Roman" w:hint="eastAsia"/>
        <w:b/>
        <w:bCs/>
        <w:noProof/>
        <w:color w:val="833C0B"/>
        <w:sz w:val="21"/>
      </w:rPr>
      <w:t>年</w:t>
    </w:r>
    <w:r w:rsidR="009E75B7">
      <w:rPr>
        <w:rFonts w:ascii="Times New Roman" w:eastAsia="楷体" w:hAnsi="Times New Roman" w:hint="eastAsia"/>
        <w:b/>
        <w:bCs/>
        <w:noProof/>
        <w:color w:val="833C0B"/>
        <w:sz w:val="21"/>
      </w:rPr>
      <w:t>8</w:t>
    </w:r>
    <w:r w:rsidR="009E75B7">
      <w:rPr>
        <w:rFonts w:ascii="Times New Roman" w:eastAsia="楷体" w:hAnsi="Times New Roman" w:hint="eastAsia"/>
        <w:b/>
        <w:bCs/>
        <w:noProof/>
        <w:color w:val="833C0B"/>
        <w:sz w:val="21"/>
      </w:rPr>
      <w:t>月</w:t>
    </w:r>
    <w:r w:rsidR="009E75B7">
      <w:rPr>
        <w:rFonts w:ascii="Times New Roman" w:eastAsia="楷体" w:hAnsi="Times New Roman" w:hint="eastAsia"/>
        <w:b/>
        <w:bCs/>
        <w:noProof/>
        <w:color w:val="833C0B"/>
        <w:sz w:val="21"/>
      </w:rPr>
      <w:t>16</w:t>
    </w:r>
    <w:r w:rsidR="009E75B7">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D7D0A"/>
    <w:rsid w:val="001F5438"/>
    <w:rsid w:val="001F79C6"/>
    <w:rsid w:val="002006C2"/>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23FF"/>
    <w:rsid w:val="00357545"/>
    <w:rsid w:val="00370D25"/>
    <w:rsid w:val="00371ED6"/>
    <w:rsid w:val="00374836"/>
    <w:rsid w:val="00375F0B"/>
    <w:rsid w:val="00376AF1"/>
    <w:rsid w:val="00380E38"/>
    <w:rsid w:val="0038626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725E"/>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1DB9"/>
    <w:rsid w:val="007C2FD2"/>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4FE6"/>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622ED"/>
    <w:rsid w:val="00F65EEA"/>
    <w:rsid w:val="00F776D3"/>
    <w:rsid w:val="00F90537"/>
    <w:rsid w:val="00F91733"/>
    <w:rsid w:val="00F95209"/>
    <w:rsid w:val="00F964AD"/>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2019E-64C8-44A8-83CD-48EEA4A0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9</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63</cp:revision>
  <cp:lastPrinted>2023-06-08T02:23:00Z</cp:lastPrinted>
  <dcterms:created xsi:type="dcterms:W3CDTF">2022-11-15T10:06:00Z</dcterms:created>
  <dcterms:modified xsi:type="dcterms:W3CDTF">2023-08-16T02:33:00Z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