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0E0968"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0E0968" w:rsidRPr="00CC21EE">
            <w:rPr>
              <w:rStyle w:val="a9"/>
              <w:noProof/>
            </w:rPr>
            <w:fldChar w:fldCharType="begin"/>
          </w:r>
          <w:r w:rsidR="000E0968" w:rsidRPr="00CC21EE">
            <w:rPr>
              <w:rStyle w:val="a9"/>
              <w:noProof/>
            </w:rPr>
            <w:instrText xml:space="preserve"> </w:instrText>
          </w:r>
          <w:r w:rsidR="000E0968">
            <w:rPr>
              <w:noProof/>
            </w:rPr>
            <w:instrText>HYPERLINK \l "_Toc142552825"</w:instrText>
          </w:r>
          <w:r w:rsidR="000E0968" w:rsidRPr="00CC21EE">
            <w:rPr>
              <w:rStyle w:val="a9"/>
              <w:noProof/>
            </w:rPr>
            <w:instrText xml:space="preserve"> </w:instrText>
          </w:r>
          <w:r w:rsidR="000E0968" w:rsidRPr="00CC21EE">
            <w:rPr>
              <w:rStyle w:val="a9"/>
              <w:noProof/>
            </w:rPr>
          </w:r>
          <w:r w:rsidR="000E0968" w:rsidRPr="00CC21EE">
            <w:rPr>
              <w:rStyle w:val="a9"/>
              <w:noProof/>
            </w:rPr>
            <w:fldChar w:fldCharType="separate"/>
          </w:r>
          <w:r w:rsidR="000E0968" w:rsidRPr="00CC21EE">
            <w:rPr>
              <w:rStyle w:val="a9"/>
              <w:rFonts w:ascii="Times New Roman" w:eastAsia="楷体" w:hAnsi="Times New Roman"/>
              <w:b/>
              <w:noProof/>
            </w:rPr>
            <w:t>[</w:t>
          </w:r>
          <w:r w:rsidR="000E0968" w:rsidRPr="00CC21EE">
            <w:rPr>
              <w:rStyle w:val="a9"/>
              <w:rFonts w:ascii="Times New Roman" w:eastAsia="楷体" w:hAnsi="Times New Roman"/>
              <w:b/>
              <w:noProof/>
            </w:rPr>
            <w:t>金融</w:t>
          </w:r>
          <w:r w:rsidR="000E0968" w:rsidRPr="00CC21EE">
            <w:rPr>
              <w:rStyle w:val="a9"/>
              <w:rFonts w:ascii="Times New Roman" w:eastAsia="楷体" w:hAnsi="Times New Roman"/>
              <w:b/>
              <w:noProof/>
            </w:rPr>
            <w:t>]</w:t>
          </w:r>
          <w:r w:rsidR="000E0968" w:rsidRPr="00CC21EE">
            <w:rPr>
              <w:rStyle w:val="a9"/>
              <w:noProof/>
            </w:rPr>
            <w:fldChar w:fldCharType="end"/>
          </w:r>
        </w:p>
        <w:p w:rsidR="000E0968" w:rsidRDefault="000E0968">
          <w:pPr>
            <w:pStyle w:val="23"/>
            <w:tabs>
              <w:tab w:val="right" w:leader="dot" w:pos="8296"/>
            </w:tabs>
            <w:rPr>
              <w:rFonts w:eastAsiaTheme="minorEastAsia"/>
              <w:noProof/>
              <w:szCs w:val="22"/>
            </w:rPr>
          </w:pPr>
          <w:hyperlink w:anchor="_Toc142552826" w:history="1">
            <w:r w:rsidRPr="00CC21EE">
              <w:rPr>
                <w:rStyle w:val="a9"/>
                <w:rFonts w:ascii="Times New Roman" w:eastAsia="楷体" w:hAnsi="Times New Roman"/>
                <w:b/>
                <w:noProof/>
              </w:rPr>
              <w:t>股指：短线建议观望，待市场企稳后低多</w:t>
            </w:r>
          </w:hyperlink>
        </w:p>
        <w:p w:rsidR="000E0968" w:rsidRDefault="000E0968">
          <w:pPr>
            <w:pStyle w:val="11"/>
            <w:tabs>
              <w:tab w:val="right" w:leader="dot" w:pos="8296"/>
            </w:tabs>
            <w:rPr>
              <w:rFonts w:eastAsiaTheme="minorEastAsia"/>
              <w:noProof/>
              <w:szCs w:val="22"/>
            </w:rPr>
          </w:pPr>
          <w:hyperlink w:anchor="_Toc142552827" w:history="1">
            <w:r w:rsidRPr="00CC21EE">
              <w:rPr>
                <w:rStyle w:val="a9"/>
                <w:rFonts w:ascii="Times New Roman" w:eastAsia="楷体" w:hAnsi="Times New Roman"/>
                <w:b/>
                <w:noProof/>
              </w:rPr>
              <w:t>[</w:t>
            </w:r>
            <w:r w:rsidRPr="00CC21EE">
              <w:rPr>
                <w:rStyle w:val="a9"/>
                <w:rFonts w:ascii="Times New Roman" w:eastAsia="楷体" w:hAnsi="Times New Roman"/>
                <w:b/>
                <w:noProof/>
              </w:rPr>
              <w:t>贵金属</w:t>
            </w:r>
            <w:r w:rsidRPr="00CC21EE">
              <w:rPr>
                <w:rStyle w:val="a9"/>
                <w:rFonts w:ascii="Times New Roman" w:eastAsia="楷体" w:hAnsi="Times New Roman"/>
                <w:b/>
                <w:noProof/>
              </w:rPr>
              <w:t>]</w:t>
            </w:r>
          </w:hyperlink>
        </w:p>
        <w:p w:rsidR="000E0968" w:rsidRDefault="000E0968">
          <w:pPr>
            <w:pStyle w:val="23"/>
            <w:tabs>
              <w:tab w:val="right" w:leader="dot" w:pos="8296"/>
            </w:tabs>
            <w:rPr>
              <w:rFonts w:eastAsiaTheme="minorEastAsia"/>
              <w:noProof/>
              <w:szCs w:val="22"/>
            </w:rPr>
          </w:pPr>
          <w:hyperlink w:anchor="_Toc142552828" w:history="1">
            <w:r w:rsidRPr="00CC21EE">
              <w:rPr>
                <w:rStyle w:val="a9"/>
                <w:rFonts w:ascii="Times New Roman" w:eastAsia="楷体" w:hAnsi="Times New Roman"/>
                <w:b/>
                <w:noProof/>
              </w:rPr>
              <w:t>贵金属：静待美国</w:t>
            </w:r>
            <w:r w:rsidRPr="00CC21EE">
              <w:rPr>
                <w:rStyle w:val="a9"/>
                <w:rFonts w:ascii="Times New Roman" w:eastAsia="楷体" w:hAnsi="Times New Roman"/>
                <w:b/>
                <w:noProof/>
              </w:rPr>
              <w:t>CPI</w:t>
            </w:r>
            <w:r w:rsidRPr="00CC21EE">
              <w:rPr>
                <w:rStyle w:val="a9"/>
                <w:rFonts w:ascii="Times New Roman" w:eastAsia="楷体" w:hAnsi="Times New Roman"/>
                <w:b/>
                <w:noProof/>
              </w:rPr>
              <w:t>数据公布，贵金属价格小幅回落</w:t>
            </w:r>
          </w:hyperlink>
        </w:p>
        <w:p w:rsidR="000E0968" w:rsidRDefault="000E0968">
          <w:pPr>
            <w:pStyle w:val="11"/>
            <w:tabs>
              <w:tab w:val="right" w:leader="dot" w:pos="8296"/>
            </w:tabs>
            <w:rPr>
              <w:rFonts w:eastAsiaTheme="minorEastAsia"/>
              <w:noProof/>
              <w:szCs w:val="22"/>
            </w:rPr>
          </w:pPr>
          <w:hyperlink w:anchor="_Toc142552829" w:history="1">
            <w:r w:rsidRPr="00CC21EE">
              <w:rPr>
                <w:rStyle w:val="a9"/>
                <w:rFonts w:ascii="Times New Roman" w:eastAsia="楷体" w:hAnsi="Times New Roman"/>
                <w:b/>
                <w:noProof/>
              </w:rPr>
              <w:t>[</w:t>
            </w:r>
            <w:r w:rsidRPr="00CC21EE">
              <w:rPr>
                <w:rStyle w:val="a9"/>
                <w:rFonts w:ascii="Times New Roman" w:eastAsia="楷体" w:hAnsi="Times New Roman"/>
                <w:b/>
                <w:noProof/>
              </w:rPr>
              <w:t>金属</w:t>
            </w:r>
            <w:r w:rsidRPr="00CC21EE">
              <w:rPr>
                <w:rStyle w:val="a9"/>
                <w:rFonts w:ascii="Times New Roman" w:eastAsia="楷体" w:hAnsi="Times New Roman"/>
                <w:b/>
                <w:noProof/>
              </w:rPr>
              <w:t>]</w:t>
            </w:r>
          </w:hyperlink>
        </w:p>
        <w:p w:rsidR="000E0968" w:rsidRDefault="000E0968">
          <w:pPr>
            <w:pStyle w:val="23"/>
            <w:tabs>
              <w:tab w:val="right" w:leader="dot" w:pos="8296"/>
            </w:tabs>
            <w:rPr>
              <w:rFonts w:eastAsiaTheme="minorEastAsia"/>
              <w:noProof/>
              <w:szCs w:val="22"/>
            </w:rPr>
          </w:pPr>
          <w:hyperlink w:anchor="_Toc142552830" w:history="1">
            <w:r w:rsidRPr="00CC21EE">
              <w:rPr>
                <w:rStyle w:val="a9"/>
                <w:rFonts w:ascii="楷体" w:eastAsia="楷体" w:hAnsi="楷体"/>
                <w:b/>
                <w:noProof/>
              </w:rPr>
              <w:t>碳酸锂：锂矿勘察权竞拍启动，现货维持跌势</w:t>
            </w:r>
          </w:hyperlink>
        </w:p>
        <w:p w:rsidR="000E0968" w:rsidRDefault="000E0968">
          <w:pPr>
            <w:pStyle w:val="23"/>
            <w:tabs>
              <w:tab w:val="right" w:leader="dot" w:pos="8296"/>
            </w:tabs>
            <w:rPr>
              <w:rFonts w:eastAsiaTheme="minorEastAsia"/>
              <w:noProof/>
              <w:szCs w:val="22"/>
            </w:rPr>
          </w:pPr>
          <w:hyperlink w:anchor="_Toc142552831" w:history="1">
            <w:r w:rsidRPr="00CC21EE">
              <w:rPr>
                <w:rStyle w:val="a9"/>
                <w:rFonts w:ascii="楷体" w:eastAsia="楷体" w:hAnsi="楷体"/>
                <w:b/>
                <w:noProof/>
              </w:rPr>
              <w:t>螺纹钢：情绪有所好转，震荡区间底部价格或有所反弹</w:t>
            </w:r>
          </w:hyperlink>
        </w:p>
        <w:p w:rsidR="000E0968" w:rsidRDefault="000E0968">
          <w:pPr>
            <w:pStyle w:val="23"/>
            <w:tabs>
              <w:tab w:val="right" w:leader="dot" w:pos="8296"/>
            </w:tabs>
            <w:rPr>
              <w:rFonts w:eastAsiaTheme="minorEastAsia"/>
              <w:noProof/>
              <w:szCs w:val="22"/>
            </w:rPr>
          </w:pPr>
          <w:hyperlink w:anchor="_Toc142552832" w:history="1">
            <w:r w:rsidRPr="00CC21EE">
              <w:rPr>
                <w:rStyle w:val="a9"/>
                <w:rFonts w:ascii="楷体" w:eastAsia="楷体" w:hAnsi="楷体"/>
                <w:b/>
                <w:noProof/>
              </w:rPr>
              <w:t>焦炭：情绪回暖，价格震荡反弹</w:t>
            </w:r>
          </w:hyperlink>
        </w:p>
        <w:p w:rsidR="000E0968" w:rsidRDefault="000E0968">
          <w:pPr>
            <w:pStyle w:val="23"/>
            <w:tabs>
              <w:tab w:val="right" w:leader="dot" w:pos="8296"/>
            </w:tabs>
            <w:rPr>
              <w:rFonts w:eastAsiaTheme="minorEastAsia"/>
              <w:noProof/>
              <w:szCs w:val="22"/>
            </w:rPr>
          </w:pPr>
          <w:hyperlink w:anchor="_Toc142552833" w:history="1">
            <w:r w:rsidRPr="00CC21EE">
              <w:rPr>
                <w:rStyle w:val="a9"/>
                <w:rFonts w:ascii="楷体" w:eastAsia="楷体" w:hAnsi="楷体"/>
                <w:b/>
                <w:noProof/>
              </w:rPr>
              <w:t>焦煤：情绪回暖，价格震荡反弹</w:t>
            </w:r>
          </w:hyperlink>
        </w:p>
        <w:p w:rsidR="000E0968" w:rsidRDefault="000E0968">
          <w:pPr>
            <w:pStyle w:val="23"/>
            <w:tabs>
              <w:tab w:val="right" w:leader="dot" w:pos="8296"/>
            </w:tabs>
            <w:rPr>
              <w:rFonts w:eastAsiaTheme="minorEastAsia"/>
              <w:noProof/>
              <w:szCs w:val="22"/>
            </w:rPr>
          </w:pPr>
          <w:hyperlink w:anchor="_Toc142552834" w:history="1">
            <w:r w:rsidRPr="00CC21EE">
              <w:rPr>
                <w:rStyle w:val="a9"/>
                <w:rFonts w:ascii="楷体" w:eastAsia="楷体" w:hAnsi="楷体"/>
                <w:b/>
                <w:noProof/>
              </w:rPr>
              <w:t>铜：铜价承压运行，关注今晚美国7月CPI</w:t>
            </w:r>
          </w:hyperlink>
        </w:p>
        <w:p w:rsidR="000E0968" w:rsidRDefault="000E0968">
          <w:pPr>
            <w:pStyle w:val="23"/>
            <w:tabs>
              <w:tab w:val="right" w:leader="dot" w:pos="8296"/>
            </w:tabs>
            <w:rPr>
              <w:rFonts w:eastAsiaTheme="minorEastAsia"/>
              <w:noProof/>
              <w:szCs w:val="22"/>
            </w:rPr>
          </w:pPr>
          <w:hyperlink w:anchor="_Toc142552835" w:history="1">
            <w:r w:rsidRPr="00CC21EE">
              <w:rPr>
                <w:rStyle w:val="a9"/>
                <w:rFonts w:ascii="楷体" w:eastAsia="楷体" w:hAnsi="楷体"/>
                <w:b/>
                <w:noProof/>
              </w:rPr>
              <w:t>铝：宏观情绪走弱，铝价承压运行</w:t>
            </w:r>
          </w:hyperlink>
        </w:p>
        <w:p w:rsidR="000E0968" w:rsidRDefault="000E0968">
          <w:pPr>
            <w:pStyle w:val="23"/>
            <w:tabs>
              <w:tab w:val="right" w:leader="dot" w:pos="8296"/>
            </w:tabs>
            <w:rPr>
              <w:rFonts w:eastAsiaTheme="minorEastAsia"/>
              <w:noProof/>
              <w:szCs w:val="22"/>
            </w:rPr>
          </w:pPr>
          <w:hyperlink w:anchor="_Toc142552836" w:history="1">
            <w:r w:rsidRPr="00CC21EE">
              <w:rPr>
                <w:rStyle w:val="a9"/>
                <w:rFonts w:ascii="楷体" w:eastAsia="楷体" w:hAnsi="楷体"/>
                <w:b/>
                <w:noProof/>
              </w:rPr>
              <w:t>锌：锌价维持震荡运行</w:t>
            </w:r>
          </w:hyperlink>
        </w:p>
        <w:p w:rsidR="000E0968" w:rsidRDefault="000E0968">
          <w:pPr>
            <w:pStyle w:val="23"/>
            <w:tabs>
              <w:tab w:val="right" w:leader="dot" w:pos="8296"/>
            </w:tabs>
            <w:rPr>
              <w:rFonts w:eastAsiaTheme="minorEastAsia"/>
              <w:noProof/>
              <w:szCs w:val="22"/>
            </w:rPr>
          </w:pPr>
          <w:hyperlink w:anchor="_Toc142552837" w:history="1">
            <w:r w:rsidRPr="00CC21EE">
              <w:rPr>
                <w:rStyle w:val="a9"/>
                <w:rFonts w:ascii="楷体" w:eastAsia="楷体" w:hAnsi="楷体"/>
                <w:b/>
                <w:noProof/>
              </w:rPr>
              <w:t>镍：低库存仍支撑价格维持区间震荡</w:t>
            </w:r>
          </w:hyperlink>
        </w:p>
        <w:p w:rsidR="000E0968" w:rsidRDefault="000E0968">
          <w:pPr>
            <w:pStyle w:val="23"/>
            <w:tabs>
              <w:tab w:val="right" w:leader="dot" w:pos="8296"/>
            </w:tabs>
            <w:rPr>
              <w:rFonts w:eastAsiaTheme="minorEastAsia"/>
              <w:noProof/>
              <w:szCs w:val="22"/>
            </w:rPr>
          </w:pPr>
          <w:hyperlink w:anchor="_Toc142552838" w:history="1">
            <w:r w:rsidRPr="00CC21EE">
              <w:rPr>
                <w:rStyle w:val="a9"/>
                <w:rFonts w:ascii="楷体" w:eastAsia="楷体" w:hAnsi="楷体"/>
                <w:b/>
                <w:noProof/>
              </w:rPr>
              <w:t>铅：铝价维持区间震荡运行</w:t>
            </w:r>
          </w:hyperlink>
        </w:p>
        <w:p w:rsidR="000E0968" w:rsidRDefault="000E0968">
          <w:pPr>
            <w:pStyle w:val="23"/>
            <w:tabs>
              <w:tab w:val="right" w:leader="dot" w:pos="8296"/>
            </w:tabs>
            <w:rPr>
              <w:rFonts w:eastAsiaTheme="minorEastAsia"/>
              <w:noProof/>
              <w:szCs w:val="22"/>
            </w:rPr>
          </w:pPr>
          <w:hyperlink w:anchor="_Toc142552839" w:history="1">
            <w:r w:rsidRPr="00CC21EE">
              <w:rPr>
                <w:rStyle w:val="a9"/>
                <w:rFonts w:ascii="楷体" w:eastAsia="楷体" w:hAnsi="楷体"/>
                <w:b/>
                <w:noProof/>
              </w:rPr>
              <w:t>不锈钢：价格重心可能逐步上移</w:t>
            </w:r>
          </w:hyperlink>
        </w:p>
        <w:p w:rsidR="000E0968" w:rsidRDefault="000E0968">
          <w:pPr>
            <w:pStyle w:val="23"/>
            <w:tabs>
              <w:tab w:val="right" w:leader="dot" w:pos="8296"/>
            </w:tabs>
            <w:rPr>
              <w:rFonts w:eastAsiaTheme="minorEastAsia"/>
              <w:noProof/>
              <w:szCs w:val="22"/>
            </w:rPr>
          </w:pPr>
          <w:hyperlink w:anchor="_Toc142552840" w:history="1">
            <w:r w:rsidRPr="00CC21EE">
              <w:rPr>
                <w:rStyle w:val="a9"/>
                <w:rFonts w:ascii="楷体" w:eastAsia="楷体" w:hAnsi="楷体"/>
                <w:b/>
                <w:noProof/>
              </w:rPr>
              <w:t>工业硅：新疆大厂提价，盘面大幅反弹</w:t>
            </w:r>
          </w:hyperlink>
        </w:p>
        <w:p w:rsidR="000E0968" w:rsidRDefault="000E0968">
          <w:pPr>
            <w:pStyle w:val="11"/>
            <w:tabs>
              <w:tab w:val="right" w:leader="dot" w:pos="8296"/>
            </w:tabs>
            <w:rPr>
              <w:rFonts w:eastAsiaTheme="minorEastAsia"/>
              <w:noProof/>
              <w:szCs w:val="22"/>
            </w:rPr>
          </w:pPr>
          <w:hyperlink w:anchor="_Toc142552841" w:history="1">
            <w:r w:rsidRPr="00CC21EE">
              <w:rPr>
                <w:rStyle w:val="a9"/>
                <w:rFonts w:ascii="Times New Roman" w:eastAsia="楷体" w:hAnsi="Times New Roman"/>
                <w:b/>
                <w:noProof/>
              </w:rPr>
              <w:t>[</w:t>
            </w:r>
            <w:r w:rsidRPr="00CC21EE">
              <w:rPr>
                <w:rStyle w:val="a9"/>
                <w:rFonts w:ascii="Times New Roman" w:eastAsia="楷体" w:hAnsi="Times New Roman"/>
                <w:b/>
                <w:noProof/>
              </w:rPr>
              <w:t>化工</w:t>
            </w:r>
            <w:r w:rsidRPr="00CC21EE">
              <w:rPr>
                <w:rStyle w:val="a9"/>
                <w:rFonts w:ascii="Times New Roman" w:eastAsia="楷体" w:hAnsi="Times New Roman"/>
                <w:b/>
                <w:noProof/>
              </w:rPr>
              <w:t>]</w:t>
            </w:r>
          </w:hyperlink>
        </w:p>
        <w:p w:rsidR="000E0968" w:rsidRDefault="000E0968">
          <w:pPr>
            <w:pStyle w:val="23"/>
            <w:tabs>
              <w:tab w:val="right" w:leader="dot" w:pos="8296"/>
            </w:tabs>
            <w:rPr>
              <w:rFonts w:eastAsiaTheme="minorEastAsia"/>
              <w:noProof/>
              <w:szCs w:val="22"/>
            </w:rPr>
          </w:pPr>
          <w:hyperlink w:anchor="_Toc142552842" w:history="1">
            <w:r w:rsidRPr="00CC21EE">
              <w:rPr>
                <w:rStyle w:val="a9"/>
                <w:rFonts w:ascii="Times New Roman" w:eastAsia="楷体" w:hAnsi="Times New Roman"/>
                <w:b/>
                <w:noProof/>
              </w:rPr>
              <w:t>天然橡胶</w:t>
            </w:r>
            <w:r w:rsidRPr="00CC21EE">
              <w:rPr>
                <w:rStyle w:val="a9"/>
                <w:rFonts w:ascii="Times New Roman" w:eastAsia="楷体" w:hAnsi="Times New Roman"/>
                <w:b/>
                <w:noProof/>
              </w:rPr>
              <w:t>:</w:t>
            </w:r>
            <w:r w:rsidRPr="00CC21EE">
              <w:rPr>
                <w:rStyle w:val="a9"/>
                <w:rFonts w:ascii="楷体" w:eastAsia="楷体" w:hAnsi="楷体"/>
                <w:b/>
                <w:noProof/>
              </w:rPr>
              <w:t xml:space="preserve"> 基本面小幅改善 RU谨慎偏多看待</w:t>
            </w:r>
          </w:hyperlink>
        </w:p>
        <w:p w:rsidR="000E0968" w:rsidRDefault="000E0968">
          <w:pPr>
            <w:pStyle w:val="23"/>
            <w:tabs>
              <w:tab w:val="right" w:leader="dot" w:pos="8296"/>
            </w:tabs>
            <w:rPr>
              <w:rFonts w:eastAsiaTheme="minorEastAsia"/>
              <w:noProof/>
              <w:szCs w:val="22"/>
            </w:rPr>
          </w:pPr>
          <w:hyperlink w:anchor="_Toc142552843" w:history="1">
            <w:r w:rsidRPr="00CC21EE">
              <w:rPr>
                <w:rStyle w:val="a9"/>
                <w:rFonts w:ascii="楷体" w:eastAsia="楷体" w:hAnsi="楷体"/>
                <w:b/>
                <w:noProof/>
              </w:rPr>
              <w:t>PTA：底部支撑较强</w:t>
            </w:r>
          </w:hyperlink>
        </w:p>
        <w:p w:rsidR="000E0968" w:rsidRDefault="000E0968">
          <w:pPr>
            <w:pStyle w:val="23"/>
            <w:tabs>
              <w:tab w:val="right" w:leader="dot" w:pos="8296"/>
            </w:tabs>
            <w:rPr>
              <w:rFonts w:eastAsiaTheme="minorEastAsia"/>
              <w:noProof/>
              <w:szCs w:val="22"/>
            </w:rPr>
          </w:pPr>
          <w:hyperlink w:anchor="_Toc142552844" w:history="1">
            <w:r w:rsidRPr="00CC21EE">
              <w:rPr>
                <w:rStyle w:val="a9"/>
                <w:rFonts w:ascii="楷体" w:eastAsia="楷体" w:hAnsi="楷体"/>
                <w:b/>
                <w:noProof/>
              </w:rPr>
              <w:t>PVC：高库存+弱复苏 驱动不足</w:t>
            </w:r>
          </w:hyperlink>
        </w:p>
        <w:p w:rsidR="000E0968" w:rsidRDefault="000E0968">
          <w:pPr>
            <w:pStyle w:val="23"/>
            <w:tabs>
              <w:tab w:val="right" w:leader="dot" w:pos="8296"/>
            </w:tabs>
            <w:rPr>
              <w:rFonts w:eastAsiaTheme="minorEastAsia"/>
              <w:noProof/>
              <w:szCs w:val="22"/>
            </w:rPr>
          </w:pPr>
          <w:hyperlink w:anchor="_Toc142552845" w:history="1">
            <w:r w:rsidRPr="00CC21EE">
              <w:rPr>
                <w:rStyle w:val="a9"/>
                <w:rFonts w:ascii="楷体" w:eastAsia="楷体" w:hAnsi="楷体"/>
                <w:b/>
                <w:noProof/>
              </w:rPr>
              <w:t>聚烯烃：下游成交有所好转，聚烯烃价格偏强震荡为主</w:t>
            </w:r>
          </w:hyperlink>
        </w:p>
        <w:p w:rsidR="000E0968" w:rsidRDefault="000E0968">
          <w:pPr>
            <w:pStyle w:val="23"/>
            <w:tabs>
              <w:tab w:val="right" w:leader="dot" w:pos="8296"/>
            </w:tabs>
            <w:rPr>
              <w:rFonts w:eastAsiaTheme="minorEastAsia"/>
              <w:noProof/>
              <w:szCs w:val="22"/>
            </w:rPr>
          </w:pPr>
          <w:hyperlink w:anchor="_Toc142552846" w:history="1">
            <w:r w:rsidRPr="00CC21EE">
              <w:rPr>
                <w:rStyle w:val="a9"/>
                <w:rFonts w:ascii="楷体" w:eastAsia="楷体" w:hAnsi="楷体"/>
                <w:b/>
                <w:noProof/>
              </w:rPr>
              <w:t>MEG：成本提振及到港不及预期驱动弱反弹</w:t>
            </w:r>
          </w:hyperlink>
        </w:p>
        <w:p w:rsidR="000E0968" w:rsidRDefault="000E0968">
          <w:pPr>
            <w:pStyle w:val="23"/>
            <w:tabs>
              <w:tab w:val="right" w:leader="dot" w:pos="8296"/>
            </w:tabs>
            <w:rPr>
              <w:rFonts w:eastAsiaTheme="minorEastAsia"/>
              <w:noProof/>
              <w:szCs w:val="22"/>
            </w:rPr>
          </w:pPr>
          <w:hyperlink w:anchor="_Toc142552847" w:history="1">
            <w:r w:rsidRPr="00CC21EE">
              <w:rPr>
                <w:rStyle w:val="a9"/>
                <w:rFonts w:ascii="楷体" w:eastAsia="楷体" w:hAnsi="楷体"/>
                <w:b/>
                <w:noProof/>
              </w:rPr>
              <w:t>玻璃：产销走弱，短线建议观望</w:t>
            </w:r>
          </w:hyperlink>
        </w:p>
        <w:p w:rsidR="000E0968" w:rsidRDefault="000E0968">
          <w:pPr>
            <w:pStyle w:val="23"/>
            <w:tabs>
              <w:tab w:val="right" w:leader="dot" w:pos="8296"/>
            </w:tabs>
            <w:rPr>
              <w:rFonts w:eastAsiaTheme="minorEastAsia"/>
              <w:noProof/>
              <w:szCs w:val="22"/>
            </w:rPr>
          </w:pPr>
          <w:hyperlink w:anchor="_Toc142552848" w:history="1">
            <w:r w:rsidRPr="00CC21EE">
              <w:rPr>
                <w:rStyle w:val="a9"/>
                <w:rFonts w:ascii="楷体" w:eastAsia="楷体" w:hAnsi="楷体"/>
                <w:b/>
                <w:noProof/>
              </w:rPr>
              <w:t>纯碱：现货偏强，震荡反弹</w:t>
            </w:r>
          </w:hyperlink>
        </w:p>
        <w:p w:rsidR="000E0968" w:rsidRDefault="000E0968">
          <w:pPr>
            <w:pStyle w:val="11"/>
            <w:tabs>
              <w:tab w:val="right" w:leader="dot" w:pos="8296"/>
            </w:tabs>
            <w:rPr>
              <w:rFonts w:eastAsiaTheme="minorEastAsia"/>
              <w:noProof/>
              <w:szCs w:val="22"/>
            </w:rPr>
          </w:pPr>
          <w:hyperlink w:anchor="_Toc142552849" w:history="1">
            <w:r w:rsidRPr="00CC21EE">
              <w:rPr>
                <w:rStyle w:val="a9"/>
                <w:rFonts w:ascii="Times New Roman" w:eastAsia="楷体" w:hAnsi="Times New Roman"/>
                <w:b/>
                <w:noProof/>
              </w:rPr>
              <w:t>[</w:t>
            </w:r>
            <w:r w:rsidRPr="00CC21EE">
              <w:rPr>
                <w:rStyle w:val="a9"/>
                <w:rFonts w:ascii="Times New Roman" w:eastAsia="楷体" w:hAnsi="Times New Roman"/>
                <w:b/>
                <w:noProof/>
              </w:rPr>
              <w:t>农产品</w:t>
            </w:r>
            <w:r w:rsidRPr="00CC21EE">
              <w:rPr>
                <w:rStyle w:val="a9"/>
                <w:rFonts w:ascii="Times New Roman" w:eastAsia="楷体" w:hAnsi="Times New Roman"/>
                <w:b/>
                <w:noProof/>
              </w:rPr>
              <w:t>]</w:t>
            </w:r>
          </w:hyperlink>
        </w:p>
        <w:p w:rsidR="000E0968" w:rsidRDefault="000E0968">
          <w:pPr>
            <w:pStyle w:val="23"/>
            <w:tabs>
              <w:tab w:val="right" w:leader="dot" w:pos="8296"/>
            </w:tabs>
            <w:rPr>
              <w:rFonts w:eastAsiaTheme="minorEastAsia"/>
              <w:noProof/>
              <w:szCs w:val="22"/>
            </w:rPr>
          </w:pPr>
          <w:hyperlink w:anchor="_Toc142552850" w:history="1">
            <w:r w:rsidRPr="00CC21EE">
              <w:rPr>
                <w:rStyle w:val="a9"/>
                <w:rFonts w:ascii="楷体" w:eastAsia="楷体" w:hAnsi="楷体"/>
                <w:b/>
                <w:noProof/>
              </w:rPr>
              <w:t>豆粕/菜粕：表现强于外盘，短期维持近强远弱格局</w:t>
            </w:r>
          </w:hyperlink>
        </w:p>
        <w:p w:rsidR="000E0968" w:rsidRDefault="000E0968">
          <w:pPr>
            <w:pStyle w:val="23"/>
            <w:tabs>
              <w:tab w:val="right" w:leader="dot" w:pos="8296"/>
            </w:tabs>
            <w:rPr>
              <w:rFonts w:eastAsiaTheme="minorEastAsia"/>
              <w:noProof/>
              <w:szCs w:val="22"/>
            </w:rPr>
          </w:pPr>
          <w:hyperlink w:anchor="_Toc142552851" w:history="1">
            <w:r w:rsidRPr="00CC21EE">
              <w:rPr>
                <w:rStyle w:val="a9"/>
                <w:rFonts w:ascii="楷体" w:eastAsia="楷体" w:hAnsi="楷体"/>
                <w:b/>
                <w:noProof/>
              </w:rPr>
              <w:t>油脂：维持区间震荡，关注今天MPOB报告</w:t>
            </w:r>
          </w:hyperlink>
        </w:p>
        <w:p w:rsidR="000E0968" w:rsidRDefault="000E0968">
          <w:pPr>
            <w:pStyle w:val="23"/>
            <w:tabs>
              <w:tab w:val="right" w:leader="dot" w:pos="8296"/>
            </w:tabs>
            <w:rPr>
              <w:rFonts w:eastAsiaTheme="minorEastAsia"/>
              <w:noProof/>
              <w:szCs w:val="22"/>
            </w:rPr>
          </w:pPr>
          <w:hyperlink w:anchor="_Toc142552852" w:history="1">
            <w:r w:rsidRPr="00CC21EE">
              <w:rPr>
                <w:rStyle w:val="a9"/>
                <w:rFonts w:ascii="楷体" w:eastAsia="楷体" w:hAnsi="楷体"/>
                <w:b/>
                <w:bCs/>
                <w:noProof/>
              </w:rPr>
              <w:t>玉米与淀粉：</w:t>
            </w:r>
            <w:r w:rsidRPr="00CC21EE">
              <w:rPr>
                <w:rStyle w:val="a9"/>
                <w:rFonts w:ascii="楷体" w:eastAsia="楷体" w:hAnsi="楷体"/>
                <w:b/>
                <w:noProof/>
              </w:rPr>
              <w:t>期价夜盘回落调整</w:t>
            </w:r>
          </w:hyperlink>
        </w:p>
        <w:p w:rsidR="000E0968" w:rsidRDefault="000E0968">
          <w:pPr>
            <w:pStyle w:val="23"/>
            <w:tabs>
              <w:tab w:val="right" w:leader="dot" w:pos="8296"/>
            </w:tabs>
            <w:rPr>
              <w:rFonts w:eastAsiaTheme="minorEastAsia"/>
              <w:noProof/>
              <w:szCs w:val="22"/>
            </w:rPr>
          </w:pPr>
          <w:hyperlink w:anchor="_Toc142552853" w:history="1">
            <w:r w:rsidRPr="00CC21EE">
              <w:rPr>
                <w:rStyle w:val="a9"/>
                <w:rFonts w:ascii="楷体" w:eastAsia="楷体" w:hAnsi="楷体"/>
                <w:b/>
                <w:bCs/>
                <w:noProof/>
              </w:rPr>
              <w:t>畜禽养殖：鸡蛋期价继续上涨</w:t>
            </w:r>
          </w:hyperlink>
        </w:p>
        <w:p w:rsidR="000E0968" w:rsidRDefault="000E0968">
          <w:pPr>
            <w:pStyle w:val="23"/>
            <w:tabs>
              <w:tab w:val="right" w:leader="dot" w:pos="8296"/>
            </w:tabs>
            <w:rPr>
              <w:rFonts w:eastAsiaTheme="minorEastAsia"/>
              <w:noProof/>
              <w:szCs w:val="22"/>
            </w:rPr>
          </w:pPr>
          <w:hyperlink w:anchor="_Toc142552854" w:history="1">
            <w:r w:rsidRPr="00CC21EE">
              <w:rPr>
                <w:rStyle w:val="a9"/>
                <w:rFonts w:ascii="楷体" w:eastAsia="楷体" w:hAnsi="楷体"/>
                <w:b/>
                <w:noProof/>
              </w:rPr>
              <w:t>郑棉：震荡整理，多单持有或观望</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4255282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42552826"/>
      <w:bookmarkEnd w:id="4"/>
      <w:r>
        <w:rPr>
          <w:rFonts w:ascii="Times New Roman" w:eastAsia="楷体" w:hAnsi="Times New Roman" w:hint="eastAsia"/>
          <w:b/>
          <w:color w:val="000000" w:themeColor="text1"/>
          <w:sz w:val="24"/>
          <w:szCs w:val="24"/>
        </w:rPr>
        <w:t>股指：</w:t>
      </w:r>
      <w:bookmarkEnd w:id="6"/>
      <w:bookmarkEnd w:id="7"/>
      <w:r w:rsidR="006D725E" w:rsidRPr="006D725E">
        <w:rPr>
          <w:rFonts w:ascii="Times New Roman" w:eastAsia="楷体" w:hAnsi="Times New Roman" w:hint="eastAsia"/>
          <w:b/>
          <w:color w:val="000000" w:themeColor="text1"/>
          <w:sz w:val="24"/>
          <w:szCs w:val="24"/>
        </w:rPr>
        <w:t>短线建议观望，待市场企稳后低多</w:t>
      </w:r>
      <w:bookmarkEnd w:id="8"/>
    </w:p>
    <w:p w:rsidR="003F56A5" w:rsidRDefault="006D725E" w:rsidP="00D14B3E">
      <w:pPr>
        <w:ind w:leftChars="300" w:left="630"/>
        <w:rPr>
          <w:rFonts w:ascii="Times New Roman" w:eastAsia="楷体" w:hAnsi="Times New Roman"/>
          <w:color w:val="000000" w:themeColor="text1"/>
          <w:sz w:val="24"/>
          <w:szCs w:val="24"/>
        </w:rPr>
      </w:pPr>
      <w:r w:rsidRPr="006D725E">
        <w:rPr>
          <w:rFonts w:ascii="Times New Roman" w:eastAsia="楷体" w:hAnsi="Times New Roman" w:hint="eastAsia"/>
          <w:color w:val="000000" w:themeColor="text1"/>
          <w:sz w:val="24"/>
          <w:szCs w:val="24"/>
        </w:rPr>
        <w:t>国内地产利空消息频出，出口降幅继续扩大，隔夜人民币汇率大幅走弱，羸弱基本面或使得短期情绪受压制。中期看，政策持续发力、经济弱修复、盈利筑底回升是大方向，短线建议观望，待市场企稳后低多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4255282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42552828"/>
      <w:r>
        <w:rPr>
          <w:rFonts w:ascii="Times New Roman" w:eastAsia="楷体" w:hAnsi="Times New Roman" w:hint="eastAsia"/>
          <w:b/>
          <w:color w:val="000000" w:themeColor="text1"/>
          <w:sz w:val="24"/>
          <w:szCs w:val="24"/>
        </w:rPr>
        <w:t>贵金属：</w:t>
      </w:r>
      <w:r w:rsidR="000E0968" w:rsidRPr="000E0968">
        <w:rPr>
          <w:rFonts w:ascii="Times New Roman" w:eastAsia="楷体" w:hAnsi="Times New Roman" w:hint="eastAsia"/>
          <w:b/>
          <w:color w:val="000000" w:themeColor="text1"/>
          <w:sz w:val="24"/>
          <w:szCs w:val="24"/>
        </w:rPr>
        <w:t>静待美国</w:t>
      </w:r>
      <w:r w:rsidR="000E0968" w:rsidRPr="000E0968">
        <w:rPr>
          <w:rFonts w:ascii="Times New Roman" w:eastAsia="楷体" w:hAnsi="Times New Roman" w:hint="eastAsia"/>
          <w:b/>
          <w:color w:val="000000" w:themeColor="text1"/>
          <w:sz w:val="24"/>
          <w:szCs w:val="24"/>
        </w:rPr>
        <w:t>CPI</w:t>
      </w:r>
      <w:r w:rsidR="000E0968" w:rsidRPr="000E0968">
        <w:rPr>
          <w:rFonts w:ascii="Times New Roman" w:eastAsia="楷体" w:hAnsi="Times New Roman" w:hint="eastAsia"/>
          <w:b/>
          <w:color w:val="000000" w:themeColor="text1"/>
          <w:sz w:val="24"/>
          <w:szCs w:val="24"/>
        </w:rPr>
        <w:t>数据公布，贵金属价格小幅回落</w:t>
      </w:r>
      <w:bookmarkEnd w:id="10"/>
    </w:p>
    <w:p w:rsidR="003F56A5" w:rsidRDefault="000E0968">
      <w:pPr>
        <w:ind w:leftChars="300" w:left="630"/>
        <w:rPr>
          <w:rFonts w:ascii="Times New Roman" w:eastAsia="楷体" w:hAnsi="Times New Roman"/>
          <w:sz w:val="24"/>
          <w:szCs w:val="24"/>
        </w:rPr>
      </w:pPr>
      <w:r w:rsidRPr="000E0968">
        <w:rPr>
          <w:rFonts w:ascii="Times New Roman" w:eastAsia="楷体" w:hAnsi="Times New Roman" w:hint="eastAsia"/>
          <w:color w:val="000000" w:themeColor="text1"/>
          <w:sz w:val="24"/>
          <w:szCs w:val="24"/>
        </w:rPr>
        <w:t>今日晚间美国将公布</w:t>
      </w:r>
      <w:r w:rsidRPr="000E0968">
        <w:rPr>
          <w:rFonts w:ascii="Times New Roman" w:eastAsia="楷体" w:hAnsi="Times New Roman" w:hint="eastAsia"/>
          <w:color w:val="000000" w:themeColor="text1"/>
          <w:sz w:val="24"/>
          <w:szCs w:val="24"/>
        </w:rPr>
        <w:t>7</w:t>
      </w:r>
      <w:r w:rsidRPr="000E0968">
        <w:rPr>
          <w:rFonts w:ascii="Times New Roman" w:eastAsia="楷体" w:hAnsi="Times New Roman" w:hint="eastAsia"/>
          <w:color w:val="000000" w:themeColor="text1"/>
          <w:sz w:val="24"/>
          <w:szCs w:val="24"/>
        </w:rPr>
        <w:t>月</w:t>
      </w:r>
      <w:r w:rsidRPr="000E0968">
        <w:rPr>
          <w:rFonts w:ascii="Times New Roman" w:eastAsia="楷体" w:hAnsi="Times New Roman" w:hint="eastAsia"/>
          <w:color w:val="000000" w:themeColor="text1"/>
          <w:sz w:val="24"/>
          <w:szCs w:val="24"/>
        </w:rPr>
        <w:t>CPI</w:t>
      </w:r>
      <w:r w:rsidRPr="000E0968">
        <w:rPr>
          <w:rFonts w:ascii="Times New Roman" w:eastAsia="楷体" w:hAnsi="Times New Roman" w:hint="eastAsia"/>
          <w:color w:val="000000" w:themeColor="text1"/>
          <w:sz w:val="24"/>
          <w:szCs w:val="24"/>
        </w:rPr>
        <w:t>通胀数据，此前经济学家预计</w:t>
      </w:r>
      <w:r w:rsidRPr="000E0968">
        <w:rPr>
          <w:rFonts w:ascii="Times New Roman" w:eastAsia="楷体" w:hAnsi="Times New Roman" w:hint="eastAsia"/>
          <w:color w:val="000000" w:themeColor="text1"/>
          <w:sz w:val="24"/>
          <w:szCs w:val="24"/>
        </w:rPr>
        <w:t>7</w:t>
      </w:r>
      <w:r w:rsidRPr="000E0968">
        <w:rPr>
          <w:rFonts w:ascii="Times New Roman" w:eastAsia="楷体" w:hAnsi="Times New Roman" w:hint="eastAsia"/>
          <w:color w:val="000000" w:themeColor="text1"/>
          <w:sz w:val="24"/>
          <w:szCs w:val="24"/>
        </w:rPr>
        <w:t>月通胀或温和上升，</w:t>
      </w:r>
      <w:r w:rsidRPr="000E0968">
        <w:rPr>
          <w:rFonts w:ascii="Times New Roman" w:eastAsia="楷体" w:hAnsi="Times New Roman" w:hint="eastAsia"/>
          <w:color w:val="000000" w:themeColor="text1"/>
          <w:sz w:val="24"/>
          <w:szCs w:val="24"/>
        </w:rPr>
        <w:t>7</w:t>
      </w:r>
      <w:r w:rsidRPr="000E0968">
        <w:rPr>
          <w:rFonts w:ascii="Times New Roman" w:eastAsia="楷体" w:hAnsi="Times New Roman" w:hint="eastAsia"/>
          <w:color w:val="000000" w:themeColor="text1"/>
          <w:sz w:val="24"/>
          <w:szCs w:val="24"/>
        </w:rPr>
        <w:t>月</w:t>
      </w:r>
      <w:r w:rsidRPr="000E0968">
        <w:rPr>
          <w:rFonts w:ascii="Times New Roman" w:eastAsia="楷体" w:hAnsi="Times New Roman" w:hint="eastAsia"/>
          <w:color w:val="000000" w:themeColor="text1"/>
          <w:sz w:val="24"/>
          <w:szCs w:val="24"/>
        </w:rPr>
        <w:t>CPI</w:t>
      </w:r>
      <w:r w:rsidRPr="000E0968">
        <w:rPr>
          <w:rFonts w:ascii="Times New Roman" w:eastAsia="楷体" w:hAnsi="Times New Roman" w:hint="eastAsia"/>
          <w:color w:val="000000" w:themeColor="text1"/>
          <w:sz w:val="24"/>
          <w:szCs w:val="24"/>
        </w:rPr>
        <w:t>同比或升至</w:t>
      </w:r>
      <w:r w:rsidRPr="000E0968">
        <w:rPr>
          <w:rFonts w:ascii="Times New Roman" w:eastAsia="楷体" w:hAnsi="Times New Roman" w:hint="eastAsia"/>
          <w:color w:val="000000" w:themeColor="text1"/>
          <w:sz w:val="24"/>
          <w:szCs w:val="24"/>
        </w:rPr>
        <w:t>3.3%</w:t>
      </w:r>
      <w:r w:rsidRPr="000E0968">
        <w:rPr>
          <w:rFonts w:ascii="Times New Roman" w:eastAsia="楷体" w:hAnsi="Times New Roman" w:hint="eastAsia"/>
          <w:color w:val="000000" w:themeColor="text1"/>
          <w:sz w:val="24"/>
          <w:szCs w:val="24"/>
        </w:rPr>
        <w:t>，核心</w:t>
      </w:r>
      <w:r w:rsidRPr="000E0968">
        <w:rPr>
          <w:rFonts w:ascii="Times New Roman" w:eastAsia="楷体" w:hAnsi="Times New Roman" w:hint="eastAsia"/>
          <w:color w:val="000000" w:themeColor="text1"/>
          <w:sz w:val="24"/>
          <w:szCs w:val="24"/>
        </w:rPr>
        <w:t>CPI</w:t>
      </w:r>
      <w:r w:rsidRPr="000E0968">
        <w:rPr>
          <w:rFonts w:ascii="Times New Roman" w:eastAsia="楷体" w:hAnsi="Times New Roman" w:hint="eastAsia"/>
          <w:color w:val="000000" w:themeColor="text1"/>
          <w:sz w:val="24"/>
          <w:szCs w:val="24"/>
        </w:rPr>
        <w:t>同比或持平上月的</w:t>
      </w:r>
      <w:r w:rsidRPr="000E0968">
        <w:rPr>
          <w:rFonts w:ascii="Times New Roman" w:eastAsia="楷体" w:hAnsi="Times New Roman" w:hint="eastAsia"/>
          <w:color w:val="000000" w:themeColor="text1"/>
          <w:sz w:val="24"/>
          <w:szCs w:val="24"/>
        </w:rPr>
        <w:t>4.8%</w:t>
      </w:r>
      <w:r w:rsidRPr="000E0968">
        <w:rPr>
          <w:rFonts w:ascii="Times New Roman" w:eastAsia="楷体" w:hAnsi="Times New Roman" w:hint="eastAsia"/>
          <w:color w:val="000000" w:themeColor="text1"/>
          <w:sz w:val="24"/>
          <w:szCs w:val="24"/>
        </w:rPr>
        <w:t>。由于此前联储官员已暗示即将停止加息，本月通胀数据对美联储政策部署的影响偏弱。昨夜沪金小幅下行，沪银微跌。中长线看多思路不变，建议沪金、沪银逢低试多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4255282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42552830"/>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0E0968" w:rsidRPr="000E0968">
        <w:rPr>
          <w:rFonts w:ascii="楷体" w:eastAsia="楷体" w:hAnsi="楷体" w:hint="eastAsia"/>
          <w:b/>
          <w:color w:val="000000" w:themeColor="text1"/>
          <w:sz w:val="24"/>
          <w:szCs w:val="24"/>
        </w:rPr>
        <w:t>锂矿勘察权竞拍启动，现货维持跌势</w:t>
      </w:r>
      <w:bookmarkEnd w:id="18"/>
    </w:p>
    <w:p w:rsidR="00F50569" w:rsidRDefault="000E0968" w:rsidP="00F50569">
      <w:pPr>
        <w:ind w:leftChars="300" w:left="630"/>
        <w:rPr>
          <w:rFonts w:ascii="楷体" w:eastAsia="楷体" w:hAnsi="楷体"/>
          <w:color w:val="000000" w:themeColor="text1"/>
          <w:sz w:val="24"/>
          <w:szCs w:val="24"/>
        </w:rPr>
      </w:pPr>
      <w:r w:rsidRPr="000E0968">
        <w:rPr>
          <w:rFonts w:ascii="楷体" w:eastAsia="楷体" w:hAnsi="楷体" w:hint="eastAsia"/>
          <w:color w:val="000000" w:themeColor="text1"/>
          <w:sz w:val="24"/>
          <w:szCs w:val="24"/>
        </w:rPr>
        <w:t>四川省金川县李家沟北锂矿勘查权竞拍正式开始，该矿勘查权起售价为57万元，最高报价达3.78亿元，报价次数达669次。电碳价格跌破25万元/吨，后市预期相对偏悲观，生产端逐步累库，下游维持压价情绪，仅以刚需采购为主，锂价或维持偏弱震荡。中长期内碳酸锂供需格局相对宽松，建议维持偏空思路</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42552831"/>
      <w:r>
        <w:rPr>
          <w:rFonts w:ascii="楷体" w:eastAsia="楷体" w:hAnsi="楷体" w:hint="eastAsia"/>
          <w:b/>
          <w:color w:val="000000" w:themeColor="text1"/>
          <w:sz w:val="24"/>
          <w:szCs w:val="24"/>
        </w:rPr>
        <w:t>螺纹钢：</w:t>
      </w:r>
      <w:bookmarkEnd w:id="16"/>
      <w:bookmarkEnd w:id="17"/>
      <w:r w:rsidR="000E0968" w:rsidRPr="000E0968">
        <w:rPr>
          <w:rFonts w:ascii="楷体" w:eastAsia="楷体" w:hAnsi="楷体" w:hint="eastAsia"/>
          <w:b/>
          <w:color w:val="000000" w:themeColor="text1"/>
          <w:sz w:val="24"/>
          <w:szCs w:val="24"/>
        </w:rPr>
        <w:t>情绪有所好转，震荡区间底部价格或有所反弹</w:t>
      </w:r>
      <w:bookmarkEnd w:id="19"/>
      <w:r w:rsidR="009127EC" w:rsidRPr="009127EC">
        <w:rPr>
          <w:rFonts w:ascii="楷体" w:eastAsia="楷体" w:hAnsi="楷体" w:hint="eastAsia"/>
          <w:b/>
          <w:color w:val="000000" w:themeColor="text1"/>
          <w:sz w:val="24"/>
          <w:szCs w:val="24"/>
        </w:rPr>
        <w:t xml:space="preserve">  </w:t>
      </w:r>
    </w:p>
    <w:p w:rsidR="003F56A5" w:rsidRDefault="000E0968" w:rsidP="00201944">
      <w:pPr>
        <w:ind w:leftChars="300" w:left="630"/>
        <w:rPr>
          <w:rFonts w:ascii="楷体" w:eastAsia="楷体" w:hAnsi="楷体"/>
          <w:color w:val="000000" w:themeColor="text1"/>
          <w:sz w:val="24"/>
          <w:szCs w:val="24"/>
        </w:rPr>
      </w:pPr>
      <w:r w:rsidRPr="000E0968">
        <w:rPr>
          <w:rFonts w:ascii="楷体" w:eastAsia="楷体" w:hAnsi="楷体" w:hint="eastAsia"/>
          <w:color w:val="000000" w:themeColor="text1"/>
          <w:sz w:val="24"/>
          <w:szCs w:val="24"/>
        </w:rPr>
        <w:t>市场情绪转暖，需求有所好转，成材价格底部回弹。短期基本面环比或有所改善，叠加平控或大概率近期出台，价格或有震荡区间底部反弹，预计01、10合约震荡区间（3690,3760）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42552832"/>
      <w:r>
        <w:rPr>
          <w:rFonts w:ascii="楷体" w:eastAsia="楷体" w:hAnsi="楷体" w:hint="eastAsia"/>
          <w:b/>
          <w:color w:val="000000" w:themeColor="text1"/>
          <w:sz w:val="24"/>
          <w:szCs w:val="24"/>
        </w:rPr>
        <w:t>焦炭：</w:t>
      </w:r>
      <w:bookmarkEnd w:id="20"/>
      <w:bookmarkEnd w:id="21"/>
      <w:r w:rsidR="000E0968" w:rsidRPr="000E0968">
        <w:rPr>
          <w:rFonts w:ascii="楷体" w:eastAsia="楷体" w:hAnsi="楷体" w:hint="eastAsia"/>
          <w:b/>
          <w:color w:val="000000" w:themeColor="text1"/>
          <w:sz w:val="24"/>
          <w:szCs w:val="24"/>
        </w:rPr>
        <w:t>情绪回暖，价格震荡反弹</w:t>
      </w:r>
      <w:bookmarkEnd w:id="22"/>
    </w:p>
    <w:p w:rsidR="003F56A5" w:rsidRDefault="000E0968" w:rsidP="00572E35">
      <w:pPr>
        <w:ind w:leftChars="300" w:left="630"/>
        <w:rPr>
          <w:rFonts w:ascii="楷体" w:eastAsia="楷体" w:hAnsi="楷体"/>
          <w:color w:val="000000" w:themeColor="text1"/>
          <w:sz w:val="24"/>
          <w:szCs w:val="24"/>
        </w:rPr>
      </w:pPr>
      <w:r w:rsidRPr="000E0968">
        <w:rPr>
          <w:rFonts w:ascii="楷体" w:eastAsia="楷体" w:hAnsi="楷体" w:hint="eastAsia"/>
          <w:color w:val="000000" w:themeColor="text1"/>
          <w:sz w:val="24"/>
          <w:szCs w:val="24"/>
        </w:rPr>
        <w:t>现货偏稳运行，市场情绪较弱，盘面保持一定贴水后，近月或震荡待等待现货。焦炭供需缺口大幅度收窄，焦煤短暂支撑成本，下游价格压制下，情绪回暖下焦炭价格偏强震荡，预计09合约震荡区间（2250，2350）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42552833"/>
      <w:r>
        <w:rPr>
          <w:rFonts w:ascii="楷体" w:eastAsia="楷体" w:hAnsi="楷体" w:hint="eastAsia"/>
          <w:b/>
          <w:color w:val="000000" w:themeColor="text1"/>
          <w:sz w:val="24"/>
          <w:szCs w:val="24"/>
        </w:rPr>
        <w:t>焦煤：</w:t>
      </w:r>
      <w:r w:rsidR="000E0968" w:rsidRPr="000E0968">
        <w:rPr>
          <w:rFonts w:ascii="楷体" w:eastAsia="楷体" w:hAnsi="楷体" w:hint="eastAsia"/>
          <w:b/>
          <w:sz w:val="24"/>
          <w:szCs w:val="24"/>
        </w:rPr>
        <w:t>情绪回暖，价格震荡反弹</w:t>
      </w:r>
      <w:bookmarkEnd w:id="23"/>
    </w:p>
    <w:p w:rsidR="003F56A5" w:rsidRDefault="000E0968">
      <w:pPr>
        <w:ind w:leftChars="300" w:left="630"/>
        <w:rPr>
          <w:rFonts w:ascii="楷体" w:eastAsia="楷体" w:hAnsi="楷体"/>
          <w:bCs/>
          <w:sz w:val="24"/>
          <w:szCs w:val="24"/>
        </w:rPr>
      </w:pPr>
      <w:r w:rsidRPr="000E0968">
        <w:rPr>
          <w:rFonts w:ascii="楷体" w:eastAsia="楷体" w:hAnsi="楷体" w:hint="eastAsia"/>
          <w:sz w:val="24"/>
          <w:szCs w:val="24"/>
        </w:rPr>
        <w:t>现货价格短期或因安全问题继续偏强运行，支撑09、01合约估值，但下游补库意愿走弱，市场预期走弱，强现实弱预期下日内宽幅震荡为主，等待现货市场的变化，预计09合约价格或在（1480,1520）区间震荡,01合约震荡区间（1370,1420）</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42552834"/>
      <w:r>
        <w:rPr>
          <w:rFonts w:ascii="楷体" w:eastAsia="楷体" w:hAnsi="楷体" w:hint="eastAsia"/>
          <w:b/>
          <w:color w:val="000000" w:themeColor="text1"/>
          <w:sz w:val="24"/>
          <w:szCs w:val="24"/>
        </w:rPr>
        <w:lastRenderedPageBreak/>
        <w:t>铜：</w:t>
      </w:r>
      <w:bookmarkEnd w:id="24"/>
      <w:bookmarkEnd w:id="25"/>
      <w:r w:rsidR="000E0968" w:rsidRPr="000E0968">
        <w:rPr>
          <w:rFonts w:ascii="楷体" w:eastAsia="楷体" w:hAnsi="楷体" w:hint="eastAsia"/>
          <w:b/>
          <w:color w:val="000000" w:themeColor="text1"/>
          <w:sz w:val="24"/>
          <w:szCs w:val="24"/>
        </w:rPr>
        <w:t>铜价承压运行，关注今晚美国7月CPI</w:t>
      </w:r>
      <w:bookmarkEnd w:id="26"/>
    </w:p>
    <w:p w:rsidR="000E0968" w:rsidRPr="000E0968" w:rsidRDefault="000E0968" w:rsidP="000E0968">
      <w:pPr>
        <w:ind w:leftChars="300" w:left="630"/>
        <w:rPr>
          <w:rFonts w:ascii="楷体" w:eastAsia="楷体" w:hAnsi="楷体" w:hint="eastAsia"/>
          <w:color w:val="000000" w:themeColor="text1"/>
          <w:sz w:val="24"/>
          <w:szCs w:val="24"/>
        </w:rPr>
      </w:pPr>
      <w:r w:rsidRPr="000E0968">
        <w:rPr>
          <w:rFonts w:ascii="楷体" w:eastAsia="楷体" w:hAnsi="楷体" w:hint="eastAsia"/>
          <w:color w:val="000000" w:themeColor="text1"/>
          <w:sz w:val="24"/>
          <w:szCs w:val="24"/>
        </w:rPr>
        <w:t>(1) 今年6月，全球第二大产铜国秘鲁的铜产量达到241,801吨，与 2022年6月（198,467 吨）相比增长了 21.8%。受到6月秘鲁产量增长等的提振，今年1-6月，秘鲁铜产量为 1,318,276 吨，与 2022年1-6月（1,120,865 吨）相比增长了 17.6%。</w:t>
      </w:r>
    </w:p>
    <w:p w:rsidR="000E0968" w:rsidRPr="000E0968" w:rsidRDefault="000E0968" w:rsidP="000E0968">
      <w:pPr>
        <w:ind w:leftChars="300" w:left="630"/>
        <w:rPr>
          <w:rFonts w:ascii="楷体" w:eastAsia="楷体" w:hAnsi="楷体" w:hint="eastAsia"/>
          <w:color w:val="000000" w:themeColor="text1"/>
          <w:sz w:val="24"/>
          <w:szCs w:val="24"/>
        </w:rPr>
      </w:pPr>
      <w:r w:rsidRPr="000E0968">
        <w:rPr>
          <w:rFonts w:ascii="楷体" w:eastAsia="楷体" w:hAnsi="楷体" w:hint="eastAsia"/>
          <w:color w:val="000000" w:themeColor="text1"/>
          <w:sz w:val="24"/>
          <w:szCs w:val="24"/>
        </w:rPr>
        <w:t>(2)库存：8月9日，SHFE仓单库存14264吨，增1701吨；LME仓单库存81000吨，增700吨。</w:t>
      </w:r>
    </w:p>
    <w:p w:rsidR="000E0968" w:rsidRPr="000E0968" w:rsidRDefault="000E0968" w:rsidP="000E0968">
      <w:pPr>
        <w:ind w:leftChars="300" w:left="630"/>
        <w:rPr>
          <w:rFonts w:ascii="楷体" w:eastAsia="楷体" w:hAnsi="楷体" w:hint="eastAsia"/>
          <w:color w:val="000000" w:themeColor="text1"/>
          <w:sz w:val="24"/>
          <w:szCs w:val="24"/>
        </w:rPr>
      </w:pPr>
      <w:r w:rsidRPr="000E0968">
        <w:rPr>
          <w:rFonts w:ascii="楷体" w:eastAsia="楷体" w:hAnsi="楷体" w:hint="eastAsia"/>
          <w:color w:val="000000" w:themeColor="text1"/>
          <w:sz w:val="24"/>
          <w:szCs w:val="24"/>
        </w:rPr>
        <w:t>(3)精废价差：8月9日，Mysteel精废价差1820，扩大202。目前价差在合理价差1397之上。</w:t>
      </w:r>
    </w:p>
    <w:p w:rsidR="000E0968" w:rsidRPr="000E0968" w:rsidRDefault="000E0968" w:rsidP="000E0968">
      <w:pPr>
        <w:ind w:leftChars="300" w:left="630"/>
        <w:rPr>
          <w:rFonts w:ascii="楷体" w:eastAsia="楷体" w:hAnsi="楷体"/>
          <w:color w:val="000000" w:themeColor="text1"/>
          <w:sz w:val="24"/>
          <w:szCs w:val="24"/>
        </w:rPr>
      </w:pPr>
    </w:p>
    <w:p w:rsidR="00127803" w:rsidRPr="00127803" w:rsidRDefault="000E0968" w:rsidP="000E0968">
      <w:pPr>
        <w:ind w:leftChars="300" w:left="630"/>
        <w:rPr>
          <w:rFonts w:ascii="楷体" w:eastAsia="楷体" w:hAnsi="楷体"/>
          <w:color w:val="000000" w:themeColor="text1"/>
          <w:sz w:val="24"/>
          <w:szCs w:val="24"/>
        </w:rPr>
      </w:pPr>
      <w:r w:rsidRPr="000E0968">
        <w:rPr>
          <w:rFonts w:ascii="楷体" w:eastAsia="楷体" w:hAnsi="楷体" w:hint="eastAsia"/>
          <w:color w:val="000000" w:themeColor="text1"/>
          <w:sz w:val="24"/>
          <w:szCs w:val="24"/>
        </w:rPr>
        <w:t>综述：两市油价隔夜强势攀升，提振铜价，隔夜美联储官员也发出了更多鸽派信号，但官员们实际上是各执一词，此前美联储理事鲍曼还在周一表示，进一步加息是有可能的，美元指数小幅下跌。基本面，供应存趋松预期，市场仍对政策带来的需求增加预期有期待，需等待旺季验证。短期关注周四晚8:30公布的美国CPI，以寻找有关美联储货币政策走向的迹象，如果数据返升可能给铜价继续带来下行压力</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2C73FE" w:rsidRDefault="00CC3FFA" w:rsidP="002C73FE">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42552835"/>
      <w:r>
        <w:rPr>
          <w:rFonts w:ascii="楷体" w:eastAsia="楷体" w:hAnsi="楷体" w:hint="eastAsia"/>
          <w:b/>
          <w:color w:val="000000" w:themeColor="text1"/>
          <w:sz w:val="24"/>
          <w:szCs w:val="24"/>
        </w:rPr>
        <w:t>铝：</w:t>
      </w:r>
      <w:bookmarkEnd w:id="27"/>
      <w:bookmarkEnd w:id="28"/>
      <w:r w:rsidR="006D725E" w:rsidRPr="006D725E">
        <w:rPr>
          <w:rFonts w:ascii="楷体" w:eastAsia="楷体" w:hAnsi="楷体" w:hint="eastAsia"/>
          <w:b/>
          <w:color w:val="000000" w:themeColor="text1"/>
          <w:sz w:val="24"/>
          <w:szCs w:val="24"/>
        </w:rPr>
        <w:t>宏观情绪走弱，铝价承压运行</w:t>
      </w:r>
      <w:bookmarkEnd w:id="29"/>
    </w:p>
    <w:p w:rsidR="003F56A5" w:rsidRDefault="006D725E" w:rsidP="00127803">
      <w:pPr>
        <w:ind w:leftChars="300" w:left="630"/>
        <w:rPr>
          <w:rFonts w:ascii="楷体" w:eastAsia="楷体" w:hAnsi="楷体"/>
          <w:color w:val="000000" w:themeColor="text1"/>
          <w:sz w:val="24"/>
          <w:szCs w:val="24"/>
        </w:rPr>
      </w:pPr>
      <w:r w:rsidRPr="006D725E">
        <w:rPr>
          <w:rFonts w:ascii="楷体" w:eastAsia="楷体" w:hAnsi="楷体" w:hint="eastAsia"/>
          <w:color w:val="000000" w:themeColor="text1"/>
          <w:sz w:val="24"/>
          <w:szCs w:val="24"/>
        </w:rPr>
        <w:t>宏观情绪再受扰动，消息面传出穆迪可能下调美国六家大银行的信用评级，市场避险情绪走强。国内电解铝供应持续走增，目前产能开工率超95%，电解铝产量维持高位，电解铝成本支撑略有上移，目前交易所库存、社会库存依旧表现为去库，需求端来看，市场订单量略有回升，主要来自工业材下游订单量贡献。海外市场情绪走弱，市场对国内政策需求增量的刺激仍有预期，在宏观多空共振，基本面供需双修的情况之下，大概率价格仍维持在17500-19000主波动区间内运行</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42552836"/>
      <w:r>
        <w:rPr>
          <w:rFonts w:ascii="楷体" w:eastAsia="楷体" w:hAnsi="楷体" w:hint="eastAsia"/>
          <w:b/>
          <w:color w:val="000000" w:themeColor="text1"/>
          <w:sz w:val="24"/>
          <w:szCs w:val="24"/>
        </w:rPr>
        <w:t>锌：</w:t>
      </w:r>
      <w:r w:rsidR="000E0968" w:rsidRPr="000E0968">
        <w:rPr>
          <w:rFonts w:ascii="楷体" w:eastAsia="楷体" w:hAnsi="楷体" w:hint="eastAsia"/>
          <w:b/>
          <w:color w:val="000000" w:themeColor="text1"/>
          <w:sz w:val="24"/>
          <w:szCs w:val="24"/>
        </w:rPr>
        <w:t>锌价维持震荡运行</w:t>
      </w:r>
      <w:bookmarkEnd w:id="30"/>
    </w:p>
    <w:p w:rsidR="003F56A5" w:rsidRDefault="000E0968" w:rsidP="000B0648">
      <w:pPr>
        <w:ind w:leftChars="300" w:left="630"/>
        <w:rPr>
          <w:rFonts w:ascii="楷体" w:eastAsia="楷体" w:hAnsi="楷体"/>
          <w:color w:val="000000" w:themeColor="text1"/>
          <w:sz w:val="24"/>
          <w:szCs w:val="24"/>
        </w:rPr>
      </w:pPr>
      <w:r w:rsidRPr="000E0968">
        <w:rPr>
          <w:rFonts w:ascii="楷体" w:eastAsia="楷体" w:hAnsi="楷体" w:hint="eastAsia"/>
          <w:color w:val="000000" w:themeColor="text1"/>
          <w:sz w:val="24"/>
          <w:szCs w:val="24"/>
        </w:rPr>
        <w:t>美元指数震荡走弱，海外市场情绪回升，国内政策整体定调偏乐观，国内市场信心有提振，持续关注今晚美国CPI数据公布。基本面上看，供应端利润持续修复，7月产量数据再超预期，现货市场报价坚挺，下游对目前锌价报价接受度提升，需求上，镀锌开工持续走强，合金、氧化锌开工表现一般，库存表现为累库，需求维持弱复苏。若后续政策落地能有效提振市场需求，锌价的上方空间才能打开，短期来看锌价或维持震荡态势</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42552837"/>
      <w:r>
        <w:rPr>
          <w:rFonts w:ascii="楷体" w:eastAsia="楷体" w:hAnsi="楷体" w:hint="eastAsia"/>
          <w:b/>
          <w:color w:val="000000" w:themeColor="text1"/>
          <w:sz w:val="24"/>
          <w:szCs w:val="24"/>
        </w:rPr>
        <w:t>镍：</w:t>
      </w:r>
      <w:r w:rsidR="00D14B3E" w:rsidRPr="00D14B3E">
        <w:rPr>
          <w:rFonts w:ascii="楷体" w:eastAsia="楷体" w:hAnsi="楷体" w:hint="eastAsia"/>
          <w:b/>
          <w:color w:val="000000" w:themeColor="text1"/>
          <w:sz w:val="24"/>
          <w:szCs w:val="24"/>
        </w:rPr>
        <w:t>低库存仍支撑价格维持区间震荡</w:t>
      </w:r>
      <w:bookmarkEnd w:id="31"/>
    </w:p>
    <w:p w:rsidR="003F56A5" w:rsidRDefault="00D14B3E">
      <w:pPr>
        <w:ind w:leftChars="300" w:left="630"/>
        <w:rPr>
          <w:rFonts w:ascii="楷体" w:eastAsia="楷体" w:hAnsi="楷体"/>
          <w:color w:val="000000" w:themeColor="text1"/>
          <w:sz w:val="24"/>
          <w:szCs w:val="24"/>
        </w:rPr>
      </w:pPr>
      <w:r w:rsidRPr="00D14B3E">
        <w:rPr>
          <w:rFonts w:ascii="楷体" w:eastAsia="楷体" w:hAnsi="楷体" w:hint="eastAsia"/>
          <w:color w:val="000000" w:themeColor="text1"/>
          <w:sz w:val="24"/>
          <w:szCs w:val="24"/>
        </w:rPr>
        <w:t>近期镍价维持区间震荡，核心逻辑没变，供应过剩压制反弹空间，但低库存维持对价格仍有支撑，按当前08合约持仓量依旧存在挤仓风险。短期价格跟随宏观情绪波动，等待基本面矛盾积累。操作上，反弹过程逐步布局空单，上方安全边际可参考2309合约压力位17.5万一线</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42552838"/>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0E0968" w:rsidRPr="000E0968">
        <w:rPr>
          <w:rFonts w:ascii="楷体" w:eastAsia="楷体" w:hAnsi="楷体" w:hint="eastAsia"/>
          <w:b/>
          <w:color w:val="000000" w:themeColor="text1"/>
          <w:sz w:val="24"/>
          <w:szCs w:val="24"/>
        </w:rPr>
        <w:t>铝价维持区间震荡运行</w:t>
      </w:r>
      <w:bookmarkEnd w:id="32"/>
    </w:p>
    <w:p w:rsidR="008B13D2" w:rsidRPr="008B13D2" w:rsidRDefault="000E0968" w:rsidP="008B13D2">
      <w:pPr>
        <w:ind w:leftChars="300" w:left="630"/>
        <w:rPr>
          <w:rFonts w:ascii="楷体" w:eastAsia="楷体" w:hAnsi="楷体"/>
          <w:color w:val="000000" w:themeColor="text1"/>
          <w:sz w:val="24"/>
          <w:szCs w:val="24"/>
        </w:rPr>
      </w:pPr>
      <w:r w:rsidRPr="000E0968">
        <w:rPr>
          <w:rFonts w:ascii="楷体" w:eastAsia="楷体" w:hAnsi="楷体" w:hint="eastAsia"/>
          <w:color w:val="000000" w:themeColor="text1"/>
          <w:sz w:val="24"/>
          <w:szCs w:val="24"/>
        </w:rPr>
        <w:t>美元指数小幅下跌，有色价格提振，海外市场流动性风险仍存，持续关注今晚美联储CPI公布情况。国内电解铝供应持续走增，目前产能开工率超95%，电解铝产量维持高位，电解铝成本支撑略有上移，目前交易所库存、</w:t>
      </w:r>
      <w:r w:rsidRPr="000E0968">
        <w:rPr>
          <w:rFonts w:ascii="楷体" w:eastAsia="楷体" w:hAnsi="楷体" w:hint="eastAsia"/>
          <w:color w:val="000000" w:themeColor="text1"/>
          <w:sz w:val="24"/>
          <w:szCs w:val="24"/>
        </w:rPr>
        <w:lastRenderedPageBreak/>
        <w:t>社会库存依旧表现为去库，需求端来看，市场订单量略有回升，主要来自工业材下游订单量贡献。海外市场情绪走弱，市场对国内政策需求增量的刺激仍有预期，在宏观多空共振，基本面供需双修的情况之下，大概率价格仍维持在17500-19000主波动区间内运行</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42552839"/>
      <w:r>
        <w:rPr>
          <w:rFonts w:ascii="楷体" w:eastAsia="楷体" w:hAnsi="楷体" w:hint="eastAsia"/>
          <w:b/>
          <w:color w:val="000000" w:themeColor="text1"/>
          <w:sz w:val="24"/>
          <w:szCs w:val="24"/>
        </w:rPr>
        <w:t>不锈钢：</w:t>
      </w:r>
      <w:r w:rsidR="002006C2" w:rsidRPr="002006C2">
        <w:rPr>
          <w:rFonts w:ascii="楷体" w:eastAsia="楷体" w:hAnsi="楷体" w:hint="eastAsia"/>
          <w:b/>
          <w:color w:val="000000" w:themeColor="text1"/>
          <w:sz w:val="24"/>
          <w:szCs w:val="24"/>
        </w:rPr>
        <w:t>价格重心可能逐步上移</w:t>
      </w:r>
      <w:bookmarkEnd w:id="33"/>
    </w:p>
    <w:p w:rsidR="003F56A5" w:rsidRDefault="002006C2">
      <w:pPr>
        <w:ind w:leftChars="300" w:left="630"/>
        <w:rPr>
          <w:rFonts w:ascii="楷体" w:eastAsia="楷体" w:hAnsi="楷体"/>
          <w:color w:val="000000" w:themeColor="text1"/>
          <w:sz w:val="24"/>
          <w:szCs w:val="24"/>
        </w:rPr>
      </w:pPr>
      <w:r w:rsidRPr="002006C2">
        <w:rPr>
          <w:rFonts w:ascii="楷体" w:eastAsia="楷体" w:hAnsi="楷体" w:hint="eastAsia"/>
          <w:color w:val="000000" w:themeColor="text1"/>
          <w:sz w:val="24"/>
          <w:szCs w:val="24"/>
        </w:rPr>
        <w:t>近日镍铁价格小幅上抬，叠加国内政策预期仍在，对不锈钢价存支撑，社会库存保持相对平稳，淡季累库预期仍未兑现，短期向下驱动不足，如政策支撑下消费在旺季明显好转，不排除价格重心继续上移。短期价格波动维持在14900-15600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42552840"/>
      <w:r>
        <w:rPr>
          <w:rFonts w:ascii="楷体" w:eastAsia="楷体" w:hAnsi="楷体" w:hint="eastAsia"/>
          <w:b/>
          <w:color w:val="000000" w:themeColor="text1"/>
          <w:sz w:val="24"/>
          <w:szCs w:val="24"/>
        </w:rPr>
        <w:t>工业硅：</w:t>
      </w:r>
      <w:r w:rsidR="000E0968" w:rsidRPr="000E0968">
        <w:rPr>
          <w:rFonts w:ascii="楷体" w:eastAsia="楷体" w:hAnsi="楷体" w:hint="eastAsia"/>
          <w:b/>
          <w:sz w:val="24"/>
          <w:szCs w:val="24"/>
        </w:rPr>
        <w:t>新疆大厂提价，盘面大幅反弹</w:t>
      </w:r>
      <w:bookmarkEnd w:id="34"/>
    </w:p>
    <w:p w:rsidR="003F56A5" w:rsidRDefault="000E0968" w:rsidP="00827E8A">
      <w:pPr>
        <w:ind w:leftChars="300" w:left="630"/>
        <w:rPr>
          <w:rFonts w:ascii="楷体" w:eastAsia="楷体" w:hAnsi="楷体"/>
          <w:sz w:val="24"/>
          <w:szCs w:val="24"/>
        </w:rPr>
      </w:pPr>
      <w:r w:rsidRPr="000E0968">
        <w:rPr>
          <w:rFonts w:ascii="楷体" w:eastAsia="楷体" w:hAnsi="楷体" w:hint="eastAsia"/>
          <w:sz w:val="24"/>
          <w:szCs w:val="24"/>
        </w:rPr>
        <w:t>8月9日，Si2310主力合约呈大幅反弹走势，收盘价13595元/吨，较上一收盘价涨跌幅＋2.60%，主要为新疆大厂现货价格普涨600元/吨。近期，期现商较为积极采购现货注册仓单，工厂库存去化明显，压力整体偏低，短期挺价意愿较强，短期或对市场有所支撑。但需要注意，一方面期货库存并未被终端实际消耗，现货、期货综合库存整体高位，压力仍存;另一方面，主产区供应存在复产及增加预期。因此，预计市场反弹高度有限</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4255284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5B790A" w:rsidRDefault="00CC3FFA" w:rsidP="005B790A">
      <w:pPr>
        <w:ind w:firstLineChars="200" w:firstLine="482"/>
        <w:outlineLvl w:val="1"/>
        <w:rPr>
          <w:rFonts w:ascii="楷体" w:eastAsia="楷体" w:hAnsi="楷体"/>
          <w:b/>
          <w:sz w:val="24"/>
          <w:szCs w:val="24"/>
        </w:rPr>
      </w:pPr>
      <w:bookmarkStart w:id="37" w:name="_Toc142552842"/>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0E0968" w:rsidRPr="000E0968">
        <w:rPr>
          <w:rFonts w:ascii="楷体" w:eastAsia="楷体" w:hAnsi="楷体" w:hint="eastAsia"/>
          <w:b/>
          <w:sz w:val="24"/>
          <w:szCs w:val="24"/>
        </w:rPr>
        <w:t>基本面小幅改善 RU谨慎偏多看待</w:t>
      </w:r>
      <w:bookmarkEnd w:id="37"/>
    </w:p>
    <w:p w:rsidR="003F56A5" w:rsidRDefault="000E0968">
      <w:pPr>
        <w:ind w:leftChars="300" w:left="630"/>
        <w:rPr>
          <w:rFonts w:ascii="楷体" w:eastAsia="楷体" w:hAnsi="楷体"/>
          <w:sz w:val="24"/>
          <w:szCs w:val="24"/>
        </w:rPr>
      </w:pPr>
      <w:r w:rsidRPr="000E0968">
        <w:rPr>
          <w:rFonts w:ascii="楷体" w:eastAsia="楷体" w:hAnsi="楷体" w:hint="eastAsia"/>
          <w:sz w:val="24"/>
          <w:szCs w:val="24"/>
        </w:rPr>
        <w:t>点评：供给端，泰国、越南降雨干扰，割胶工作开展受限，原料产出维持偏少状态，加之原料价格低迷，上游工厂生产利润倒挂，或将抑制橡胶产量的大幅增加。中游库存反复变动，绝对值仍处高位，尽管进口量环比出现一定下滑，但去化难度加大。需求端来看，下游轮胎企业开工率半钢胎好于全钢胎，国内稳经济政策将有利于轮胎替换及配套需求的改善。此外，半钢胎外贸雪地胎需求旺盛，将进一步支撑半钢胎开工率高位运行。但整体内销市场整体出货偏慢，尤其是近期全钢胎成品库存提升，因此短期轮胎厂开工率继续提升的空间有限。消息层面，据市场传闻国储或先进行老胶抛储，数量和单价暂时未知。短期随着轮储信息初步明朗，前期市场的炒作情绪或逐步降温。橡胶基本面小幅改善，且当前胶价已接近成本线，下调空间不足。操作上，短期建议谨慎偏多</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42552843"/>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0E0968" w:rsidRPr="000E0968">
        <w:rPr>
          <w:rFonts w:ascii="楷体" w:eastAsia="楷体" w:hAnsi="楷体" w:hint="eastAsia"/>
          <w:b/>
          <w:color w:val="000000" w:themeColor="text1"/>
          <w:sz w:val="24"/>
          <w:szCs w:val="24"/>
        </w:rPr>
        <w:t>底部支撑较强</w:t>
      </w:r>
      <w:bookmarkEnd w:id="38"/>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0E0968" w:rsidP="002C73FE">
      <w:pPr>
        <w:ind w:leftChars="300" w:left="630"/>
        <w:rPr>
          <w:rFonts w:ascii="楷体" w:eastAsia="楷体" w:hAnsi="楷体"/>
          <w:color w:val="000000" w:themeColor="text1"/>
          <w:sz w:val="24"/>
          <w:szCs w:val="24"/>
        </w:rPr>
      </w:pPr>
      <w:r w:rsidRPr="000E0968">
        <w:rPr>
          <w:rFonts w:ascii="楷体" w:eastAsia="楷体" w:hAnsi="楷体" w:hint="eastAsia"/>
          <w:color w:val="000000" w:themeColor="text1"/>
          <w:sz w:val="24"/>
          <w:szCs w:val="24"/>
        </w:rPr>
        <w:t>原油方面，8月份后原油盘面驱动逻辑将由预期逐步转回现实，一旦利好兑现不及预期及宏观风险，原油盘面向下修复的风险会相对偏大。短期多空双方拉锯，多头势力仍占优，有望继续冲新高。 PTA供给方面，恒力石化5线计划内检修，独山能源重启，其他个别装置负荷小幅波动，PTA负荷在79%附近。需求方面，本周有检修装置开启聚酯负荷有所回落，初步核算国内大陆地区聚酯负荷在92.4%附近。市场对9-10月份旺季有预期，低库存下预计7月聚酯不会轻易减停产。展望后市，海外出行旺季下成本端走高提振，聚酯因库存低位高开工维持需求韧性尚可。近期PTA装置加</w:t>
      </w:r>
      <w:r w:rsidRPr="000E0968">
        <w:rPr>
          <w:rFonts w:ascii="楷体" w:eastAsia="楷体" w:hAnsi="楷体" w:hint="eastAsia"/>
          <w:color w:val="000000" w:themeColor="text1"/>
          <w:sz w:val="24"/>
          <w:szCs w:val="24"/>
        </w:rPr>
        <w:lastRenderedPageBreak/>
        <w:t>工费压缩至100元/吨附近，港口台风等因素影响及低工费下或有计划外减停，预估PTA供应存收缩预期。短期受成本端油价波动影响，预估进入5800-6000区间震荡走势。仅供参考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42552844"/>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9"/>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40" w:name="_Toc142552845"/>
      <w:r>
        <w:rPr>
          <w:rFonts w:ascii="楷体" w:eastAsia="楷体" w:hAnsi="楷体" w:hint="eastAsia"/>
          <w:b/>
          <w:color w:val="000000" w:themeColor="text1"/>
          <w:sz w:val="24"/>
          <w:szCs w:val="24"/>
        </w:rPr>
        <w:t>聚烯烃：</w:t>
      </w:r>
      <w:r w:rsidR="000E0968" w:rsidRPr="000E0968">
        <w:rPr>
          <w:rFonts w:ascii="楷体" w:eastAsia="楷体" w:hAnsi="楷体" w:hint="eastAsia"/>
          <w:b/>
          <w:color w:val="000000" w:themeColor="text1"/>
          <w:sz w:val="24"/>
          <w:szCs w:val="24"/>
        </w:rPr>
        <w:t>下游成交有所好转，聚烯烃价格偏强震荡为主</w:t>
      </w:r>
      <w:bookmarkEnd w:id="40"/>
    </w:p>
    <w:p w:rsidR="003F56A5" w:rsidRDefault="000E0968">
      <w:pPr>
        <w:ind w:leftChars="300" w:left="630"/>
        <w:rPr>
          <w:rFonts w:ascii="楷体" w:eastAsia="楷体" w:hAnsi="楷体"/>
          <w:bCs/>
          <w:sz w:val="24"/>
          <w:szCs w:val="24"/>
        </w:rPr>
      </w:pPr>
      <w:r w:rsidRPr="000E0968">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近期国际原油价格表现强势，基本面利好的支撑依然明显。今日关注点在于美国7月CPI数据将发布。需求方面，PE下游方面，农膜整体需求平平，工厂生产清淡。棚膜工厂多停机检修；PP下游方面，BOPP市场成交刚需有量，整体量较上一交易日增加，BOPP企业未交付订单多数在一周以内，个别可至八月中。综合来看，PE方面，更多交易集中于周初，周中后销售压力下降，且检修后的资源并未快速扑向市场，考虑成本面支撑作用，叠加成交有所好转给予市场信心。综上所述，预计今日聚乙烯偏强震荡。PP方面，当下聚丙烯市场供需矛盾积累不足，伴随着供应的增加，市场货源消化能力尚可，库存低位给予市场一定信心，市场交易重心从基本面转至成本端；原油在沙特减产氛围支撑下延续上涨态势，叠加丙烷价格高位，PDH利润再度经受挑战，市场对未来预期相对乐观；预计今日PP市场存上涨预期</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1" w:name="_Toc142552846"/>
      <w:r>
        <w:rPr>
          <w:rFonts w:ascii="楷体" w:eastAsia="楷体" w:hAnsi="楷体" w:hint="eastAsia"/>
          <w:b/>
          <w:color w:val="000000" w:themeColor="text1"/>
          <w:sz w:val="24"/>
          <w:szCs w:val="24"/>
        </w:rPr>
        <w:t>MEG：</w:t>
      </w:r>
      <w:r w:rsidR="000E0968" w:rsidRPr="000E0968">
        <w:rPr>
          <w:rFonts w:ascii="楷体" w:eastAsia="楷体" w:hAnsi="楷体" w:hint="eastAsia"/>
          <w:b/>
          <w:color w:val="000000" w:themeColor="text1"/>
          <w:sz w:val="24"/>
          <w:szCs w:val="24"/>
        </w:rPr>
        <w:t>成本提振及到港不及预期驱动弱反弹</w:t>
      </w:r>
      <w:bookmarkEnd w:id="41"/>
    </w:p>
    <w:p w:rsidR="003F56A5" w:rsidRDefault="000E0968" w:rsidP="00115EEA">
      <w:pPr>
        <w:ind w:leftChars="300" w:left="630"/>
        <w:rPr>
          <w:rFonts w:ascii="楷体" w:eastAsia="楷体" w:hAnsi="楷体"/>
          <w:color w:val="000000" w:themeColor="text1"/>
          <w:sz w:val="24"/>
          <w:szCs w:val="24"/>
        </w:rPr>
      </w:pPr>
      <w:r w:rsidRPr="000E0968">
        <w:rPr>
          <w:rFonts w:ascii="楷体" w:eastAsia="楷体" w:hAnsi="楷体" w:hint="eastAsia"/>
          <w:color w:val="000000" w:themeColor="text1"/>
          <w:sz w:val="24"/>
          <w:szCs w:val="24"/>
        </w:rPr>
        <w:t>供需情况，受天气因素影响上周船只延误明显，8.7华东主港地区MEG港口库存约107.0万吨附近，环比上期减少1.1万吨，本周到港预报环比减少，上周发货增加港口库存去化。截至8月3日，中国大陆地区乙二醇整体开工负荷在63.69%（+3.16%），其中煤制乙二醇开工负荷在66.48%（+3.61%）。8月陕煤榆林化学180万吨装置年内年检计划取消，虹港石化100万吨重启，新装置方面中昆60万吨投产、榆能40万吨投产。聚酯下游方面截至8.3，初步核算国内大陆地区聚酯负荷在92.4%附近。终端开工</w:t>
      </w:r>
      <w:r w:rsidRPr="000E0968">
        <w:rPr>
          <w:rFonts w:ascii="楷体" w:eastAsia="楷体" w:hAnsi="楷体" w:hint="eastAsia"/>
          <w:color w:val="000000" w:themeColor="text1"/>
          <w:sz w:val="24"/>
          <w:szCs w:val="24"/>
        </w:rPr>
        <w:lastRenderedPageBreak/>
        <w:t>变化不大，江浙加弹综合开工率77%，江浙织机综合开工率68%，江浙印染综合开工率72%。展望后市，受成本端油价提振及近期进口到港不及预期，市场供需维持紧平衡状态。期价在4000附近支撑较强，存弱反弹估值修复预期。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42552847"/>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0E0968" w:rsidRPr="000E0968">
        <w:rPr>
          <w:rFonts w:ascii="楷体" w:eastAsia="楷体" w:hAnsi="楷体" w:hint="eastAsia"/>
          <w:b/>
          <w:color w:val="000000" w:themeColor="text1"/>
          <w:sz w:val="24"/>
          <w:szCs w:val="24"/>
        </w:rPr>
        <w:t>产销走弱，短线建议观望</w:t>
      </w:r>
      <w:bookmarkEnd w:id="42"/>
    </w:p>
    <w:p w:rsidR="00A71A7E" w:rsidRDefault="000E0968" w:rsidP="001F79C6">
      <w:pPr>
        <w:ind w:leftChars="300" w:left="630"/>
        <w:rPr>
          <w:rFonts w:ascii="楷体" w:eastAsia="楷体" w:hAnsi="楷体"/>
          <w:color w:val="000000" w:themeColor="text1"/>
          <w:sz w:val="24"/>
          <w:szCs w:val="24"/>
        </w:rPr>
      </w:pPr>
      <w:r w:rsidRPr="000E0968">
        <w:rPr>
          <w:rFonts w:ascii="楷体" w:eastAsia="楷体" w:hAnsi="楷体" w:hint="eastAsia"/>
          <w:color w:val="000000" w:themeColor="text1"/>
          <w:sz w:val="24"/>
          <w:szCs w:val="24"/>
        </w:rPr>
        <w:t>隆众资讯8月9日报道：今日浮法玻璃现货价格2006，较上一交易日上涨6元/吨。原片厂持续涨价，维持以涨促销策略，华北拿货情绪走弱，产销下滑。宏观上政策利好情绪逐渐减弱，部分头部房企债务问题利空。供应方面，产线恢复，产量预计周内回升。需求方面，周末日度均销环比走弱，补库情绪减弱，但周内整体产销仍在高位，预计周内去库。短期盘面进入震荡整理期，建议观望，等待市场选择方向。中长线，四季度以后供给端压力较大，建议逢高空01合约</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3" w:name="_Toc142552848"/>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0E0968" w:rsidRPr="000E0968">
        <w:rPr>
          <w:rFonts w:ascii="楷体" w:eastAsia="楷体" w:hAnsi="楷体" w:hint="eastAsia"/>
          <w:b/>
          <w:color w:val="000000" w:themeColor="text1"/>
          <w:sz w:val="24"/>
          <w:szCs w:val="24"/>
        </w:rPr>
        <w:t>现货偏强，震荡反弹</w:t>
      </w:r>
      <w:bookmarkEnd w:id="43"/>
    </w:p>
    <w:p w:rsidR="00A71A7E" w:rsidRDefault="000E0968" w:rsidP="00A71A7E">
      <w:pPr>
        <w:ind w:leftChars="300" w:left="630"/>
        <w:rPr>
          <w:rFonts w:ascii="楷体" w:eastAsia="楷体" w:hAnsi="楷体"/>
          <w:bCs/>
          <w:sz w:val="24"/>
          <w:szCs w:val="24"/>
        </w:rPr>
      </w:pPr>
      <w:r w:rsidRPr="000E0968">
        <w:rPr>
          <w:rFonts w:ascii="楷体" w:eastAsia="楷体" w:hAnsi="楷体" w:hint="eastAsia"/>
          <w:color w:val="000000" w:themeColor="text1"/>
          <w:sz w:val="24"/>
          <w:szCs w:val="24"/>
        </w:rPr>
        <w:t>今日纯碱价格无变化，华中送达价2200元/吨，华北2250元/吨。供给方面，9号南方碱业进入停车，计划三天；四川和邦减量运行，供应端小幅下调，虽有远兴产线投产，但供给检修和投产对冲后，预计周内继续去库。需求方面，下游保持刚需，碱厂订单充足。盘面经过上周远兴扩产消息刺激大跌后，小幅反弹。整体来看近月偏强，现货和极端低库存影响下，后续仍有基差修复空间，远月合约由于过剩明确，但强现货下短期不宜大幅追空，等待反弹逢高沽空机会</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4" w:name="_Toc14255284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4"/>
    </w:p>
    <w:p w:rsidR="003F56A5" w:rsidRDefault="00147B03">
      <w:pPr>
        <w:ind w:leftChars="200" w:left="420"/>
        <w:outlineLvl w:val="1"/>
        <w:rPr>
          <w:rFonts w:ascii="楷体" w:eastAsia="楷体" w:hAnsi="楷体"/>
          <w:b/>
          <w:sz w:val="24"/>
          <w:szCs w:val="24"/>
        </w:rPr>
      </w:pPr>
      <w:bookmarkStart w:id="45" w:name="_Toc142552850"/>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0E0968" w:rsidRPr="000E0968">
        <w:rPr>
          <w:rFonts w:ascii="楷体" w:eastAsia="楷体" w:hAnsi="楷体" w:hint="eastAsia"/>
          <w:b/>
          <w:sz w:val="24"/>
          <w:szCs w:val="24"/>
        </w:rPr>
        <w:t>表现强于外盘，短期维持近强远弱格局</w:t>
      </w:r>
      <w:bookmarkEnd w:id="45"/>
    </w:p>
    <w:p w:rsidR="003F56A5" w:rsidRDefault="000E0968">
      <w:pPr>
        <w:ind w:leftChars="300" w:left="630"/>
        <w:rPr>
          <w:rFonts w:ascii="楷体" w:eastAsia="楷体" w:hAnsi="楷体"/>
          <w:sz w:val="24"/>
          <w:szCs w:val="24"/>
        </w:rPr>
      </w:pPr>
      <w:r w:rsidRPr="000E0968">
        <w:rPr>
          <w:rFonts w:ascii="楷体" w:eastAsia="楷体" w:hAnsi="楷体" w:hint="eastAsia"/>
          <w:sz w:val="24"/>
          <w:szCs w:val="24"/>
        </w:rPr>
        <w:t>国际方面，过去一周主产区均有降水，天气有利于作物生长，叠加最新优良率略高于预期，在报告公布前投资者交投清淡，美豆走势偏弱。在美豆种植面积大幅减少的背景下，7-8月生长期天气仍十分关键，虽7月美农报告仍维持52单产预期，但在天气影响下，市场认为数据过于乐观仍8月份有下调风险。优良率略有改善，截至8月8日当周，美国大豆优良率为54%，市场预期53%，前一周为52%，上年同期为59%。国内市场，从上周开始海关抽查趋严，进口大豆入关速度较慢，部分油厂存断豆停机情况，开机及压榨下滑，从而再度影响豆粕累库进度，支撑现货报价坚挺，当前主流油厂豆粕现货报价小幅上调至4570-4660元/吨。大豆6-8月到港量仍较充裕，6月进口到港1027万吨，7月到港973万吨，但对北美新作买船进度偏慢，预计7月后进口到港将逐步下滑，远月预期到港紧张支撑远月基差报价坚挺。需求，下游生猪养殖利润近期有显著改善，但养殖企业饲料配方中豆粕添加比例上调有限，整体终端企业存补库需求，提货及成交表现较好。菜粕当前供给相对偏紧，随着6月份后菜籽到港减少，油厂压榨也在逐步下滑。而需求方面，当前处于水产养殖旺季，下游提货较好，仍对期价构成支撑，同时随着近期豆粕价格大幅上涨，菜粕仍有比价走势，替代需求好转。策略方面，短期建议谨慎看多，高位追多有风险</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6" w:name="_Toc142552851"/>
      <w:r>
        <w:rPr>
          <w:rFonts w:ascii="楷体" w:eastAsia="楷体" w:hAnsi="楷体" w:hint="eastAsia"/>
          <w:b/>
          <w:color w:val="000000" w:themeColor="text1"/>
          <w:sz w:val="24"/>
          <w:szCs w:val="24"/>
        </w:rPr>
        <w:t>油脂：</w:t>
      </w:r>
      <w:r w:rsidR="000E0968" w:rsidRPr="000E0968">
        <w:rPr>
          <w:rFonts w:ascii="楷体" w:eastAsia="楷体" w:hAnsi="楷体" w:hint="eastAsia"/>
          <w:b/>
          <w:sz w:val="24"/>
          <w:szCs w:val="24"/>
        </w:rPr>
        <w:t>维持区间震荡，关注今天MPOB报告</w:t>
      </w:r>
      <w:bookmarkEnd w:id="46"/>
    </w:p>
    <w:p w:rsidR="003F56A5" w:rsidRDefault="000E0968" w:rsidP="00792D31">
      <w:pPr>
        <w:ind w:leftChars="300" w:left="630"/>
        <w:rPr>
          <w:rFonts w:ascii="楷体" w:eastAsia="楷体" w:hAnsi="楷体"/>
          <w:sz w:val="24"/>
          <w:szCs w:val="24"/>
        </w:rPr>
      </w:pPr>
      <w:r w:rsidRPr="000E0968">
        <w:rPr>
          <w:rFonts w:ascii="楷体" w:eastAsia="楷体" w:hAnsi="楷体" w:hint="eastAsia"/>
          <w:sz w:val="24"/>
          <w:szCs w:val="24"/>
        </w:rPr>
        <w:t>在当前市场多空因素博弈下，油脂维持区间震荡，等待USDA及MPOB报告公布。三大油脂基本面仍存在一定差异，但整体供过于求格局未变，关注下游成交情况。棕榈油，产地仍处于季节性增产周期，印尼棕榈油5月份在供给增量大于需求下，库存持续回升，供给压力显现。但7-8月份出口税费上调，提振竞争对手马棕出口需求。而马棕产量预计改善，SPPOMA数据显示，7月马棕产量较上月增加7.4%，同时在中国和印度的买船增加下，马棕出口预计环比增加14.05%。虽全球厄尔尼诺现象升温，使得市场担忧马棕产量，但在印尼产量超预期增加下也一定程度上抵消了这一担忧，叠加预期7月MPOB报告偏空，对价格构成压力。国内棕榈油7-8月份进口到港预计增加，库存维持同期高位，也限制当前价格反弹空间。最新商业库存为67.15万吨，较前一周回落，7-8月供应预计仍较充裕。需求端，当前在豆棕价差拉大下，利好棕榈油下游消费需求，成交好转。豆油累库或放缓。国内7-8月进口大豆到港量仍不少，虽前几周油厂开机恢复，豆油供应回升，但近期受海关检验问题油厂存断豆停机现象，或影响豆油累库进程。需求端，8月份后下游将陆续开始为双节备货且高校等将陆续开学，需求端或能有所提振。菜油在进口菜籽减少下，供应压力减轻。当前主产地菜籽还未上市，供应处于青黄不接的阶段，全球菜籽新作产量不确定性仍存。随着后续进口加籽到港量的减少，菜籽开机及压榨水平也有所降低，6月菜籽进口环比下滑38.5%，菜油进口21万吨。需求方面，与替代油脂价差拉大，当前去库速度缓慢，关注双节备货需求。短期建议波段操作，中长期对于油脂维持谨慎看多观点</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7" w:name="_Toc142552852"/>
      <w:r>
        <w:rPr>
          <w:rFonts w:ascii="楷体" w:eastAsia="楷体" w:hAnsi="楷体" w:hint="eastAsia"/>
          <w:b/>
          <w:bCs/>
          <w:color w:val="000000" w:themeColor="text1"/>
        </w:rPr>
        <w:t>玉米与淀粉：</w:t>
      </w:r>
      <w:r w:rsidR="000E0968" w:rsidRPr="000E0968">
        <w:rPr>
          <w:rFonts w:ascii="楷体" w:eastAsia="楷体" w:hAnsi="楷体" w:hint="eastAsia"/>
          <w:b/>
        </w:rPr>
        <w:t>期价夜盘回落调整</w:t>
      </w:r>
      <w:bookmarkEnd w:id="47"/>
    </w:p>
    <w:p w:rsidR="000E0968" w:rsidRPr="000E0968" w:rsidRDefault="000E0968" w:rsidP="000E0968">
      <w:pPr>
        <w:pStyle w:val="paragraph"/>
        <w:spacing w:before="60" w:after="60"/>
        <w:ind w:leftChars="300" w:left="630"/>
        <w:rPr>
          <w:rFonts w:ascii="楷体" w:eastAsia="楷体" w:hAnsi="楷体" w:hint="eastAsia"/>
        </w:rPr>
      </w:pPr>
      <w:r w:rsidRPr="000E0968">
        <w:rPr>
          <w:rFonts w:ascii="楷体" w:eastAsia="楷体" w:hAnsi="楷体" w:hint="eastAsia"/>
        </w:rPr>
        <w:t>对于玉米而言，在月报中我们认为基于国内新旧作产需缺口，陈化水稻抛储底价上调有望给玉米带来安全边际，上涨驱动则主要关注三个方面，即新作产区天气炒作、小麦现货上涨和市场再度进入被动库存，近期上涨更多前面两个方面因素的带动。相对而言，旧作合约更多依赖被动补库存，否则在陈化水稻抛储的背景下，旧作合约上涨空间受限。新作合约则值得重点留意，因目前近月贴水现货，而远月贴水近月，或已经在很大程度上反映利空预期，而上述三个方面的驱动均有可能体现在新作合约上。综上所述，我们维持谨慎看多观点，建议投资者持有前期多单。</w:t>
      </w:r>
    </w:p>
    <w:p w:rsidR="003F56A5" w:rsidRDefault="000E0968" w:rsidP="000E0968">
      <w:pPr>
        <w:pStyle w:val="paragraph"/>
        <w:spacing w:before="60" w:beforeAutospacing="0" w:after="60" w:afterAutospacing="0"/>
        <w:ind w:leftChars="300" w:left="630"/>
        <w:rPr>
          <w:rFonts w:ascii="楷体" w:eastAsia="楷体" w:hAnsi="楷体"/>
        </w:rPr>
      </w:pPr>
      <w:r w:rsidRPr="000E0968">
        <w:rPr>
          <w:rFonts w:ascii="楷体" w:eastAsia="楷体" w:hAnsi="楷体" w:hint="eastAsia"/>
        </w:rPr>
        <w:t>对于淀粉而言，近期淀粉-玉米价差波动幅度不大，主要源于市场多空交织，利空因素主要在于行业供需依然宽松，因行业开机率未见明显下滑，而行业需求已进入备货后的季节性淡季。而利多因素主要源于两个方面，其一是原料成本端的担忧；其二是现货带来的基差支撑。在这种情况下，淀粉-玉米价差套利交易方向暂不具备确定性。在这种情况下，我们建议淀粉-玉米价差离场后观望为宜，单边操作参考玉米</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8" w:name="_Toc142552853"/>
      <w:r>
        <w:rPr>
          <w:rFonts w:ascii="楷体" w:eastAsia="楷体" w:hAnsi="楷体" w:hint="eastAsia"/>
          <w:b/>
          <w:bCs/>
          <w:color w:val="000000" w:themeColor="text1"/>
        </w:rPr>
        <w:t>畜禽养殖：</w:t>
      </w:r>
      <w:r w:rsidR="000E0968" w:rsidRPr="000E0968">
        <w:rPr>
          <w:rFonts w:ascii="楷体" w:eastAsia="楷体" w:hAnsi="楷体" w:hint="eastAsia"/>
          <w:b/>
          <w:bCs/>
          <w:color w:val="000000" w:themeColor="text1"/>
        </w:rPr>
        <w:t>鸡蛋期价继续上涨</w:t>
      </w:r>
      <w:bookmarkEnd w:id="48"/>
    </w:p>
    <w:p w:rsidR="000E0968" w:rsidRPr="000E0968" w:rsidRDefault="000E0968" w:rsidP="000E0968">
      <w:pPr>
        <w:pStyle w:val="paragraph"/>
        <w:spacing w:before="60" w:after="60"/>
        <w:ind w:leftChars="300" w:left="630"/>
        <w:rPr>
          <w:rFonts w:ascii="楷体" w:eastAsia="楷体" w:hAnsi="楷体" w:hint="eastAsia"/>
        </w:rPr>
      </w:pPr>
      <w:r w:rsidRPr="000E0968">
        <w:rPr>
          <w:rFonts w:ascii="楷体" w:eastAsia="楷体" w:hAnsi="楷体" w:hint="eastAsia"/>
        </w:rPr>
        <w:lastRenderedPageBreak/>
        <w:t>对于生猪而言，在前期报告中我们指出，3月以来现货表现不及我们之前预期，问题出在供应量，在供应去化的过程中市场会关注两个方面的机会，其一是去产能带来的周期见底机会，其二是去库存带来的阶段性反弹机会。随着生猪期现货的反弹，市场首先需要评估其上涨性质，考虑到各机构预计的能繁母猪下降幅度缓慢，且仔猪养殖亏损持续时间较短，近期生猪期现货反弹反而不利于产能去化，因此我们更倾向于后者，即去库存带来的阶段性反弹。在这种情况下，市场或更多转向关注阶段性反弹的高度，值得重点关注的因素有二，其一是生猪养殖成本线，其二是二次育肥。直观而言，市场更多跟踪现货价格来判断生猪供需状况。综上所述，维持谨慎看多观点，建议持有前期多单。</w:t>
      </w:r>
    </w:p>
    <w:p w:rsidR="003F56A5" w:rsidRDefault="000E0968" w:rsidP="000E0968">
      <w:pPr>
        <w:pStyle w:val="paragraph"/>
        <w:spacing w:before="60" w:beforeAutospacing="0" w:after="60" w:afterAutospacing="0"/>
        <w:ind w:leftChars="300" w:left="630"/>
        <w:rPr>
          <w:rFonts w:ascii="楷体" w:eastAsia="楷体" w:hAnsi="楷体"/>
        </w:rPr>
      </w:pPr>
      <w:r w:rsidRPr="000E0968">
        <w:rPr>
          <w:rFonts w:ascii="楷体" w:eastAsia="楷体" w:hAnsi="楷体" w:hint="eastAsia"/>
        </w:rPr>
        <w:t>对于鸡蛋而言，鸡蛋期价特别是远月合约在3-6月曾经历大幅下跌，这主要源于春节后鸡蛋现货价格带动养殖利润高企，继而带动蛋鸡补栏积极性上升，淘汰积极性下降，使得市场预期鸡蛋供需趋于改善，这也导致当时鸡蛋远月-近月价差持续收窄。但7月以来鸡蛋现货价格大幅上涨，或导致市场重新评估之前的这一预期，因截至6月底，在产蛋鸡存栏并未环比显著提高，依然维持历史低位运行，在这种情况下，2-5月蛋鸡苗销售量同比增加带来的供应增量会否带来在产蛋鸡存栏的环比回升，值得重点留意。接下来市场关注可能转向现货上涨的持续性，虽然往年季节性高点往往出现在8月中下旬甚至9月初，但市场可能担心两个方面，其一是价格持续上涨或抑制下游消费，其二是近期上涨或部分源于北方暴雨天气的影响。综合来看，我们维持谨慎看多观点，建议谨慎投资者观望，激进投资者持有前期多单</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9" w:name="_Toc142552854"/>
      <w:r>
        <w:rPr>
          <w:rFonts w:ascii="楷体" w:eastAsia="楷体" w:hAnsi="楷体" w:hint="eastAsia"/>
          <w:b/>
          <w:sz w:val="24"/>
          <w:szCs w:val="24"/>
        </w:rPr>
        <w:t>郑棉：</w:t>
      </w:r>
      <w:r w:rsidR="000E0968" w:rsidRPr="000E0968">
        <w:rPr>
          <w:rFonts w:ascii="楷体" w:eastAsia="楷体" w:hAnsi="楷体" w:hint="eastAsia"/>
          <w:b/>
          <w:sz w:val="24"/>
          <w:szCs w:val="24"/>
        </w:rPr>
        <w:t>震荡整理，多单持有或观望</w:t>
      </w:r>
      <w:bookmarkEnd w:id="49"/>
    </w:p>
    <w:p w:rsidR="003F56A5" w:rsidRDefault="000E0968" w:rsidP="007B3290">
      <w:pPr>
        <w:ind w:leftChars="300" w:left="630"/>
        <w:rPr>
          <w:rFonts w:ascii="楷体" w:eastAsia="楷体" w:hAnsi="楷体"/>
          <w:sz w:val="24"/>
          <w:szCs w:val="24"/>
        </w:rPr>
      </w:pPr>
      <w:r w:rsidRPr="000E0968">
        <w:rPr>
          <w:rFonts w:ascii="楷体" w:eastAsia="楷体" w:hAnsi="楷体" w:hint="eastAsia"/>
          <w:sz w:val="24"/>
          <w:szCs w:val="24"/>
        </w:rPr>
        <w:t>6、7月传统纺织淡季的各项数据陆续出炉，给郑棉带来一定回调压力。不过，随着下半年传统旺季的临近，近期订单和纱线价格略有好转，企业对后市依然持较乐观的看法。抛储持续火热的成交也给予郑棉支撑。预计郑棉在1.7-1.75区间内震荡，消化夯实前期涨幅</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0" w:name="_Toc71212556"/>
      <w:bookmarkStart w:id="51" w:name="_Toc19667"/>
      <w:bookmarkStart w:id="52" w:name="_Toc98426751"/>
      <w:bookmarkStart w:id="53" w:name="_Toc12779"/>
      <w:bookmarkStart w:id="54" w:name="_Toc72481108"/>
      <w:r>
        <w:rPr>
          <w:rFonts w:ascii="Times New Roman" w:eastAsia="楷体" w:hAnsi="Times New Roman"/>
          <w:b/>
          <w:color w:val="411D05"/>
          <w:sz w:val="30"/>
          <w:szCs w:val="30"/>
        </w:rPr>
        <w:lastRenderedPageBreak/>
        <w:t>免责声明</w:t>
      </w:r>
      <w:bookmarkEnd w:id="50"/>
      <w:bookmarkEnd w:id="51"/>
      <w:bookmarkEnd w:id="52"/>
      <w:bookmarkEnd w:id="53"/>
      <w:bookmarkEnd w:id="54"/>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683" w:rsidRDefault="00521683">
      <w:r>
        <w:separator/>
      </w:r>
    </w:p>
  </w:endnote>
  <w:endnote w:type="continuationSeparator" w:id="0">
    <w:p w:rsidR="00521683" w:rsidRDefault="00521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09A89A9B" wp14:editId="243FD6B8">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0E0968">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0E0968">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683" w:rsidRDefault="00521683">
      <w:r>
        <w:separator/>
      </w:r>
    </w:p>
  </w:footnote>
  <w:footnote w:type="continuationSeparator" w:id="0">
    <w:p w:rsidR="00521683" w:rsidRDefault="005216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6DAADCBF" wp14:editId="4EE3866B">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401D2357" wp14:editId="38E199EC">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0E0968">
      <w:rPr>
        <w:rFonts w:ascii="Times New Roman" w:eastAsia="楷体" w:hAnsi="Times New Roman" w:hint="eastAsia"/>
        <w:b/>
        <w:bCs/>
        <w:noProof/>
        <w:color w:val="833C0B"/>
        <w:sz w:val="21"/>
      </w:rPr>
      <w:t>2023</w:t>
    </w:r>
    <w:r w:rsidR="000E0968">
      <w:rPr>
        <w:rFonts w:ascii="Times New Roman" w:eastAsia="楷体" w:hAnsi="Times New Roman" w:hint="eastAsia"/>
        <w:b/>
        <w:bCs/>
        <w:noProof/>
        <w:color w:val="833C0B"/>
        <w:sz w:val="21"/>
      </w:rPr>
      <w:t>年</w:t>
    </w:r>
    <w:r w:rsidR="000E0968">
      <w:rPr>
        <w:rFonts w:ascii="Times New Roman" w:eastAsia="楷体" w:hAnsi="Times New Roman" w:hint="eastAsia"/>
        <w:b/>
        <w:bCs/>
        <w:noProof/>
        <w:color w:val="833C0B"/>
        <w:sz w:val="21"/>
      </w:rPr>
      <w:t>8</w:t>
    </w:r>
    <w:r w:rsidR="000E0968">
      <w:rPr>
        <w:rFonts w:ascii="Times New Roman" w:eastAsia="楷体" w:hAnsi="Times New Roman" w:hint="eastAsia"/>
        <w:b/>
        <w:bCs/>
        <w:noProof/>
        <w:color w:val="833C0B"/>
        <w:sz w:val="21"/>
      </w:rPr>
      <w:t>月</w:t>
    </w:r>
    <w:r w:rsidR="000E0968">
      <w:rPr>
        <w:rFonts w:ascii="Times New Roman" w:eastAsia="楷体" w:hAnsi="Times New Roman" w:hint="eastAsia"/>
        <w:b/>
        <w:bCs/>
        <w:noProof/>
        <w:color w:val="833C0B"/>
        <w:sz w:val="21"/>
      </w:rPr>
      <w:t>10</w:t>
    </w:r>
    <w:r w:rsidR="000E0968">
      <w:rPr>
        <w:rFonts w:ascii="Times New Roman" w:eastAsia="楷体" w:hAnsi="Times New Roman" w:hint="eastAsia"/>
        <w:b/>
        <w:bCs/>
        <w:noProof/>
        <w:color w:val="833C0B"/>
        <w:sz w:val="21"/>
      </w:rPr>
      <w:t>日星期四</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151C6"/>
    <w:rsid w:val="00020E82"/>
    <w:rsid w:val="00024902"/>
    <w:rsid w:val="00035EB2"/>
    <w:rsid w:val="000417D7"/>
    <w:rsid w:val="00050B6C"/>
    <w:rsid w:val="0005286B"/>
    <w:rsid w:val="0005726F"/>
    <w:rsid w:val="00057E99"/>
    <w:rsid w:val="00072EAA"/>
    <w:rsid w:val="00076420"/>
    <w:rsid w:val="000820C6"/>
    <w:rsid w:val="00093E40"/>
    <w:rsid w:val="00096258"/>
    <w:rsid w:val="000A413E"/>
    <w:rsid w:val="000B0648"/>
    <w:rsid w:val="000B4E70"/>
    <w:rsid w:val="000C102A"/>
    <w:rsid w:val="000C475E"/>
    <w:rsid w:val="000D36DC"/>
    <w:rsid w:val="000D42E2"/>
    <w:rsid w:val="000D7CF0"/>
    <w:rsid w:val="000E03FC"/>
    <w:rsid w:val="000E0968"/>
    <w:rsid w:val="000E0C15"/>
    <w:rsid w:val="000E4EEB"/>
    <w:rsid w:val="00115EEA"/>
    <w:rsid w:val="00117470"/>
    <w:rsid w:val="00120B1F"/>
    <w:rsid w:val="00127803"/>
    <w:rsid w:val="00127FF1"/>
    <w:rsid w:val="00147668"/>
    <w:rsid w:val="00147B03"/>
    <w:rsid w:val="0015047B"/>
    <w:rsid w:val="00156FEB"/>
    <w:rsid w:val="00170E7B"/>
    <w:rsid w:val="001801C4"/>
    <w:rsid w:val="001942CB"/>
    <w:rsid w:val="001945E9"/>
    <w:rsid w:val="001A3E49"/>
    <w:rsid w:val="001B179D"/>
    <w:rsid w:val="001B1904"/>
    <w:rsid w:val="001B25C9"/>
    <w:rsid w:val="001B2D4C"/>
    <w:rsid w:val="001B6043"/>
    <w:rsid w:val="001B6394"/>
    <w:rsid w:val="001C2E87"/>
    <w:rsid w:val="001C77D0"/>
    <w:rsid w:val="001D1F0A"/>
    <w:rsid w:val="001D40EA"/>
    <w:rsid w:val="001D4474"/>
    <w:rsid w:val="001D7D0A"/>
    <w:rsid w:val="001F5438"/>
    <w:rsid w:val="001F79C6"/>
    <w:rsid w:val="002006C2"/>
    <w:rsid w:val="00201944"/>
    <w:rsid w:val="00206537"/>
    <w:rsid w:val="002074A1"/>
    <w:rsid w:val="00216C1E"/>
    <w:rsid w:val="00226406"/>
    <w:rsid w:val="0023093E"/>
    <w:rsid w:val="00230DB7"/>
    <w:rsid w:val="00235529"/>
    <w:rsid w:val="00244CA3"/>
    <w:rsid w:val="0025590B"/>
    <w:rsid w:val="00267FFD"/>
    <w:rsid w:val="00282262"/>
    <w:rsid w:val="00285297"/>
    <w:rsid w:val="00291461"/>
    <w:rsid w:val="00292AE8"/>
    <w:rsid w:val="002951EB"/>
    <w:rsid w:val="00297A1B"/>
    <w:rsid w:val="002A0670"/>
    <w:rsid w:val="002A6C89"/>
    <w:rsid w:val="002B0F87"/>
    <w:rsid w:val="002B2257"/>
    <w:rsid w:val="002B32AE"/>
    <w:rsid w:val="002C73FE"/>
    <w:rsid w:val="002F075C"/>
    <w:rsid w:val="002F545E"/>
    <w:rsid w:val="002F6AD1"/>
    <w:rsid w:val="002F7810"/>
    <w:rsid w:val="0031065A"/>
    <w:rsid w:val="00320AB1"/>
    <w:rsid w:val="00321629"/>
    <w:rsid w:val="003230A0"/>
    <w:rsid w:val="00323550"/>
    <w:rsid w:val="0033167B"/>
    <w:rsid w:val="00332F22"/>
    <w:rsid w:val="0033644D"/>
    <w:rsid w:val="003416C2"/>
    <w:rsid w:val="00341727"/>
    <w:rsid w:val="003471F4"/>
    <w:rsid w:val="003523FF"/>
    <w:rsid w:val="00357545"/>
    <w:rsid w:val="00370D25"/>
    <w:rsid w:val="00371ED6"/>
    <w:rsid w:val="00374836"/>
    <w:rsid w:val="00375F0B"/>
    <w:rsid w:val="00376AF1"/>
    <w:rsid w:val="00380E38"/>
    <w:rsid w:val="0038626D"/>
    <w:rsid w:val="003953FD"/>
    <w:rsid w:val="003A1F3C"/>
    <w:rsid w:val="003A3DB4"/>
    <w:rsid w:val="003A5DDB"/>
    <w:rsid w:val="003C32DB"/>
    <w:rsid w:val="003C54F5"/>
    <w:rsid w:val="003C5F91"/>
    <w:rsid w:val="003D3A9E"/>
    <w:rsid w:val="003F2424"/>
    <w:rsid w:val="003F56A5"/>
    <w:rsid w:val="00404AFE"/>
    <w:rsid w:val="004201F5"/>
    <w:rsid w:val="004230AC"/>
    <w:rsid w:val="00426AB5"/>
    <w:rsid w:val="00433C64"/>
    <w:rsid w:val="00440FBE"/>
    <w:rsid w:val="004427D1"/>
    <w:rsid w:val="00452F14"/>
    <w:rsid w:val="004567BD"/>
    <w:rsid w:val="00461147"/>
    <w:rsid w:val="00484C53"/>
    <w:rsid w:val="00485A3F"/>
    <w:rsid w:val="00487F77"/>
    <w:rsid w:val="00490056"/>
    <w:rsid w:val="00491DD7"/>
    <w:rsid w:val="004977A9"/>
    <w:rsid w:val="004A1926"/>
    <w:rsid w:val="004A382D"/>
    <w:rsid w:val="004A3F85"/>
    <w:rsid w:val="004A65B5"/>
    <w:rsid w:val="004B4D4D"/>
    <w:rsid w:val="004C11A7"/>
    <w:rsid w:val="004C5F3F"/>
    <w:rsid w:val="004D0484"/>
    <w:rsid w:val="004D6F74"/>
    <w:rsid w:val="004E3A10"/>
    <w:rsid w:val="004E58A5"/>
    <w:rsid w:val="004E6093"/>
    <w:rsid w:val="005145ED"/>
    <w:rsid w:val="00521683"/>
    <w:rsid w:val="005245A4"/>
    <w:rsid w:val="00533D1C"/>
    <w:rsid w:val="00535DC9"/>
    <w:rsid w:val="005376B7"/>
    <w:rsid w:val="00540298"/>
    <w:rsid w:val="00541F3F"/>
    <w:rsid w:val="00547DD7"/>
    <w:rsid w:val="00550252"/>
    <w:rsid w:val="00551A8D"/>
    <w:rsid w:val="005523A5"/>
    <w:rsid w:val="00553DEC"/>
    <w:rsid w:val="00554002"/>
    <w:rsid w:val="00572E35"/>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CE6"/>
    <w:rsid w:val="005F45A8"/>
    <w:rsid w:val="005F5D8E"/>
    <w:rsid w:val="00606E2B"/>
    <w:rsid w:val="00610C41"/>
    <w:rsid w:val="00612D79"/>
    <w:rsid w:val="0061390B"/>
    <w:rsid w:val="00615F78"/>
    <w:rsid w:val="006353D1"/>
    <w:rsid w:val="00637F19"/>
    <w:rsid w:val="00641752"/>
    <w:rsid w:val="00650F05"/>
    <w:rsid w:val="0065454E"/>
    <w:rsid w:val="00657B01"/>
    <w:rsid w:val="00661BB3"/>
    <w:rsid w:val="00666DE4"/>
    <w:rsid w:val="006811C5"/>
    <w:rsid w:val="006911F3"/>
    <w:rsid w:val="006A135D"/>
    <w:rsid w:val="006A2D10"/>
    <w:rsid w:val="006A5214"/>
    <w:rsid w:val="006A6067"/>
    <w:rsid w:val="006A7A79"/>
    <w:rsid w:val="006B4A5D"/>
    <w:rsid w:val="006D21ED"/>
    <w:rsid w:val="006D725E"/>
    <w:rsid w:val="006E3745"/>
    <w:rsid w:val="006F6553"/>
    <w:rsid w:val="007029E1"/>
    <w:rsid w:val="00710028"/>
    <w:rsid w:val="007103A5"/>
    <w:rsid w:val="0072164F"/>
    <w:rsid w:val="007253E7"/>
    <w:rsid w:val="0072736C"/>
    <w:rsid w:val="007315D8"/>
    <w:rsid w:val="00743CFD"/>
    <w:rsid w:val="007664C1"/>
    <w:rsid w:val="00772382"/>
    <w:rsid w:val="00785519"/>
    <w:rsid w:val="007866A5"/>
    <w:rsid w:val="0079299D"/>
    <w:rsid w:val="00792D31"/>
    <w:rsid w:val="00794D36"/>
    <w:rsid w:val="007952E9"/>
    <w:rsid w:val="007A410D"/>
    <w:rsid w:val="007A66FE"/>
    <w:rsid w:val="007B3290"/>
    <w:rsid w:val="007B4FCE"/>
    <w:rsid w:val="007C1DB9"/>
    <w:rsid w:val="007C2FD2"/>
    <w:rsid w:val="007C7B84"/>
    <w:rsid w:val="007D29EC"/>
    <w:rsid w:val="007D4BBD"/>
    <w:rsid w:val="007F09BE"/>
    <w:rsid w:val="007F1327"/>
    <w:rsid w:val="007F140C"/>
    <w:rsid w:val="007F186E"/>
    <w:rsid w:val="0080612D"/>
    <w:rsid w:val="00806354"/>
    <w:rsid w:val="0080692E"/>
    <w:rsid w:val="00806F4A"/>
    <w:rsid w:val="0080753A"/>
    <w:rsid w:val="008111C8"/>
    <w:rsid w:val="008149F4"/>
    <w:rsid w:val="00815011"/>
    <w:rsid w:val="00815817"/>
    <w:rsid w:val="00820D28"/>
    <w:rsid w:val="00822591"/>
    <w:rsid w:val="00827E8A"/>
    <w:rsid w:val="0083605E"/>
    <w:rsid w:val="00840F4E"/>
    <w:rsid w:val="008463FD"/>
    <w:rsid w:val="00853880"/>
    <w:rsid w:val="00856132"/>
    <w:rsid w:val="008649BB"/>
    <w:rsid w:val="00867CA5"/>
    <w:rsid w:val="00873ECE"/>
    <w:rsid w:val="008740D4"/>
    <w:rsid w:val="00874708"/>
    <w:rsid w:val="0087785E"/>
    <w:rsid w:val="00892203"/>
    <w:rsid w:val="0089393F"/>
    <w:rsid w:val="008A0893"/>
    <w:rsid w:val="008A11C6"/>
    <w:rsid w:val="008A1D22"/>
    <w:rsid w:val="008B13D2"/>
    <w:rsid w:val="008B3268"/>
    <w:rsid w:val="008B361D"/>
    <w:rsid w:val="008C1554"/>
    <w:rsid w:val="008C3F42"/>
    <w:rsid w:val="008E2B15"/>
    <w:rsid w:val="008E33F3"/>
    <w:rsid w:val="008E3B84"/>
    <w:rsid w:val="008F1360"/>
    <w:rsid w:val="008F229B"/>
    <w:rsid w:val="008F2A6E"/>
    <w:rsid w:val="00906E0C"/>
    <w:rsid w:val="00907943"/>
    <w:rsid w:val="00912194"/>
    <w:rsid w:val="009123AA"/>
    <w:rsid w:val="009127EC"/>
    <w:rsid w:val="00916E97"/>
    <w:rsid w:val="00920372"/>
    <w:rsid w:val="0092326A"/>
    <w:rsid w:val="009260D3"/>
    <w:rsid w:val="009316EC"/>
    <w:rsid w:val="009317CD"/>
    <w:rsid w:val="00934728"/>
    <w:rsid w:val="009644D9"/>
    <w:rsid w:val="0097131C"/>
    <w:rsid w:val="00972485"/>
    <w:rsid w:val="00973185"/>
    <w:rsid w:val="009870E4"/>
    <w:rsid w:val="009A12FA"/>
    <w:rsid w:val="009A564D"/>
    <w:rsid w:val="009B0D7B"/>
    <w:rsid w:val="009B3801"/>
    <w:rsid w:val="009B534D"/>
    <w:rsid w:val="009B591A"/>
    <w:rsid w:val="009C3E56"/>
    <w:rsid w:val="009C483C"/>
    <w:rsid w:val="009D2477"/>
    <w:rsid w:val="009D4A74"/>
    <w:rsid w:val="009D5253"/>
    <w:rsid w:val="009D5D79"/>
    <w:rsid w:val="009D64FE"/>
    <w:rsid w:val="009E0994"/>
    <w:rsid w:val="009E25E0"/>
    <w:rsid w:val="009E4452"/>
    <w:rsid w:val="009E7578"/>
    <w:rsid w:val="009F5C7B"/>
    <w:rsid w:val="00A031CE"/>
    <w:rsid w:val="00A04421"/>
    <w:rsid w:val="00A11A0D"/>
    <w:rsid w:val="00A22080"/>
    <w:rsid w:val="00A223D3"/>
    <w:rsid w:val="00A42079"/>
    <w:rsid w:val="00A531E8"/>
    <w:rsid w:val="00A573ED"/>
    <w:rsid w:val="00A60F08"/>
    <w:rsid w:val="00A63022"/>
    <w:rsid w:val="00A6692C"/>
    <w:rsid w:val="00A71A7E"/>
    <w:rsid w:val="00A776D7"/>
    <w:rsid w:val="00A91E48"/>
    <w:rsid w:val="00A96E37"/>
    <w:rsid w:val="00A97444"/>
    <w:rsid w:val="00AA186F"/>
    <w:rsid w:val="00AA29E5"/>
    <w:rsid w:val="00AB0678"/>
    <w:rsid w:val="00AB3750"/>
    <w:rsid w:val="00AB4BF2"/>
    <w:rsid w:val="00AC00CF"/>
    <w:rsid w:val="00AC52CB"/>
    <w:rsid w:val="00AC7794"/>
    <w:rsid w:val="00AC7ECD"/>
    <w:rsid w:val="00AD009F"/>
    <w:rsid w:val="00AE6128"/>
    <w:rsid w:val="00AF54C5"/>
    <w:rsid w:val="00AF56FD"/>
    <w:rsid w:val="00AF5EA0"/>
    <w:rsid w:val="00B066DA"/>
    <w:rsid w:val="00B072C0"/>
    <w:rsid w:val="00B10135"/>
    <w:rsid w:val="00B118A2"/>
    <w:rsid w:val="00B133D0"/>
    <w:rsid w:val="00B15418"/>
    <w:rsid w:val="00B17165"/>
    <w:rsid w:val="00B1737C"/>
    <w:rsid w:val="00B1758C"/>
    <w:rsid w:val="00B17639"/>
    <w:rsid w:val="00B23E58"/>
    <w:rsid w:val="00B443CE"/>
    <w:rsid w:val="00B4555A"/>
    <w:rsid w:val="00B53C56"/>
    <w:rsid w:val="00B60464"/>
    <w:rsid w:val="00B606EF"/>
    <w:rsid w:val="00B618F8"/>
    <w:rsid w:val="00B64133"/>
    <w:rsid w:val="00B72E2D"/>
    <w:rsid w:val="00B745CB"/>
    <w:rsid w:val="00B805BD"/>
    <w:rsid w:val="00B91D3D"/>
    <w:rsid w:val="00B94E7D"/>
    <w:rsid w:val="00B97F08"/>
    <w:rsid w:val="00BA4663"/>
    <w:rsid w:val="00BA696B"/>
    <w:rsid w:val="00BA7212"/>
    <w:rsid w:val="00BC5F45"/>
    <w:rsid w:val="00BC71D6"/>
    <w:rsid w:val="00BD4C85"/>
    <w:rsid w:val="00BE456E"/>
    <w:rsid w:val="00BF3137"/>
    <w:rsid w:val="00C02ECE"/>
    <w:rsid w:val="00C06AC7"/>
    <w:rsid w:val="00C13E0F"/>
    <w:rsid w:val="00C2031B"/>
    <w:rsid w:val="00C2080D"/>
    <w:rsid w:val="00C228D6"/>
    <w:rsid w:val="00C240C3"/>
    <w:rsid w:val="00C25562"/>
    <w:rsid w:val="00C265C5"/>
    <w:rsid w:val="00C43DDB"/>
    <w:rsid w:val="00C575E9"/>
    <w:rsid w:val="00C62202"/>
    <w:rsid w:val="00C6240E"/>
    <w:rsid w:val="00C647F2"/>
    <w:rsid w:val="00C66C6C"/>
    <w:rsid w:val="00C70FDD"/>
    <w:rsid w:val="00C80C0D"/>
    <w:rsid w:val="00C82E4D"/>
    <w:rsid w:val="00C91234"/>
    <w:rsid w:val="00C93E36"/>
    <w:rsid w:val="00C950F3"/>
    <w:rsid w:val="00CA1C01"/>
    <w:rsid w:val="00CB0962"/>
    <w:rsid w:val="00CB16F4"/>
    <w:rsid w:val="00CB1AC3"/>
    <w:rsid w:val="00CB1F18"/>
    <w:rsid w:val="00CB2FD2"/>
    <w:rsid w:val="00CB3015"/>
    <w:rsid w:val="00CB60E6"/>
    <w:rsid w:val="00CC03C4"/>
    <w:rsid w:val="00CC3E40"/>
    <w:rsid w:val="00CC3FFA"/>
    <w:rsid w:val="00CC6C03"/>
    <w:rsid w:val="00CD5884"/>
    <w:rsid w:val="00CD5DE8"/>
    <w:rsid w:val="00CD70A0"/>
    <w:rsid w:val="00CE7903"/>
    <w:rsid w:val="00CF6C71"/>
    <w:rsid w:val="00CF7A9A"/>
    <w:rsid w:val="00D00D60"/>
    <w:rsid w:val="00D017E5"/>
    <w:rsid w:val="00D01A19"/>
    <w:rsid w:val="00D04FF1"/>
    <w:rsid w:val="00D1367C"/>
    <w:rsid w:val="00D14B3E"/>
    <w:rsid w:val="00D1582A"/>
    <w:rsid w:val="00D17FB1"/>
    <w:rsid w:val="00D21BE4"/>
    <w:rsid w:val="00D309C4"/>
    <w:rsid w:val="00D32D2F"/>
    <w:rsid w:val="00D45E53"/>
    <w:rsid w:val="00D47039"/>
    <w:rsid w:val="00D55EAF"/>
    <w:rsid w:val="00D63655"/>
    <w:rsid w:val="00D75630"/>
    <w:rsid w:val="00D762B2"/>
    <w:rsid w:val="00D842AA"/>
    <w:rsid w:val="00D86D76"/>
    <w:rsid w:val="00D87130"/>
    <w:rsid w:val="00D93E0B"/>
    <w:rsid w:val="00DA7546"/>
    <w:rsid w:val="00DD145E"/>
    <w:rsid w:val="00DD334E"/>
    <w:rsid w:val="00DE02C4"/>
    <w:rsid w:val="00DF1796"/>
    <w:rsid w:val="00DF270D"/>
    <w:rsid w:val="00DF3137"/>
    <w:rsid w:val="00DF3B28"/>
    <w:rsid w:val="00DF56EC"/>
    <w:rsid w:val="00E020F2"/>
    <w:rsid w:val="00E12059"/>
    <w:rsid w:val="00E25D21"/>
    <w:rsid w:val="00E2618F"/>
    <w:rsid w:val="00E31716"/>
    <w:rsid w:val="00E32B95"/>
    <w:rsid w:val="00E34551"/>
    <w:rsid w:val="00E34EAB"/>
    <w:rsid w:val="00E373B2"/>
    <w:rsid w:val="00E40036"/>
    <w:rsid w:val="00E45000"/>
    <w:rsid w:val="00E451FD"/>
    <w:rsid w:val="00E4667F"/>
    <w:rsid w:val="00E50E93"/>
    <w:rsid w:val="00E556EC"/>
    <w:rsid w:val="00E55B22"/>
    <w:rsid w:val="00E60D44"/>
    <w:rsid w:val="00E63EF8"/>
    <w:rsid w:val="00E64502"/>
    <w:rsid w:val="00E7672C"/>
    <w:rsid w:val="00E771D2"/>
    <w:rsid w:val="00E80EDB"/>
    <w:rsid w:val="00E84794"/>
    <w:rsid w:val="00E847DF"/>
    <w:rsid w:val="00E90013"/>
    <w:rsid w:val="00E928BB"/>
    <w:rsid w:val="00E93488"/>
    <w:rsid w:val="00EA0CCD"/>
    <w:rsid w:val="00EA28CA"/>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31CCA"/>
    <w:rsid w:val="00F32BBA"/>
    <w:rsid w:val="00F43E0E"/>
    <w:rsid w:val="00F473F0"/>
    <w:rsid w:val="00F47540"/>
    <w:rsid w:val="00F50569"/>
    <w:rsid w:val="00F52969"/>
    <w:rsid w:val="00F622ED"/>
    <w:rsid w:val="00F65EEA"/>
    <w:rsid w:val="00F776D3"/>
    <w:rsid w:val="00F90537"/>
    <w:rsid w:val="00F91733"/>
    <w:rsid w:val="00F95209"/>
    <w:rsid w:val="00F964AD"/>
    <w:rsid w:val="00FB3956"/>
    <w:rsid w:val="00FC0F8B"/>
    <w:rsid w:val="00FD6B0E"/>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234BFA-7299-418B-825B-0CE178A31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3372</TotalTime>
  <Pages>9</Pages>
  <Words>1486</Words>
  <Characters>8472</Characters>
  <Application>Microsoft Office Word</Application>
  <DocSecurity>0</DocSecurity>
  <Lines>70</Lines>
  <Paragraphs>19</Paragraphs>
  <ScaleCrop>false</ScaleCrop>
  <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58</cp:revision>
  <cp:lastPrinted>2023-06-08T02:23:00Z</cp:lastPrinted>
  <dcterms:created xsi:type="dcterms:W3CDTF">2022-11-15T10:06:00Z</dcterms:created>
  <dcterms:modified xsi:type="dcterms:W3CDTF">2023-08-10T01:40:00Z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