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2B0F87"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2B0F87" w:rsidRPr="005F06E9">
            <w:rPr>
              <w:rStyle w:val="a9"/>
              <w:noProof/>
            </w:rPr>
            <w:fldChar w:fldCharType="begin"/>
          </w:r>
          <w:r w:rsidR="002B0F87" w:rsidRPr="005F06E9">
            <w:rPr>
              <w:rStyle w:val="a9"/>
              <w:noProof/>
            </w:rPr>
            <w:instrText xml:space="preserve"> </w:instrText>
          </w:r>
          <w:r w:rsidR="002B0F87">
            <w:rPr>
              <w:noProof/>
            </w:rPr>
            <w:instrText>HYPERLINK \l "_Toc141866731"</w:instrText>
          </w:r>
          <w:r w:rsidR="002B0F87" w:rsidRPr="005F06E9">
            <w:rPr>
              <w:rStyle w:val="a9"/>
              <w:noProof/>
            </w:rPr>
            <w:instrText xml:space="preserve"> </w:instrText>
          </w:r>
          <w:r w:rsidR="002B0F87" w:rsidRPr="005F06E9">
            <w:rPr>
              <w:rStyle w:val="a9"/>
              <w:noProof/>
            </w:rPr>
          </w:r>
          <w:r w:rsidR="002B0F87" w:rsidRPr="005F06E9">
            <w:rPr>
              <w:rStyle w:val="a9"/>
              <w:noProof/>
            </w:rPr>
            <w:fldChar w:fldCharType="separate"/>
          </w:r>
          <w:r w:rsidR="002B0F87" w:rsidRPr="005F06E9">
            <w:rPr>
              <w:rStyle w:val="a9"/>
              <w:rFonts w:ascii="Times New Roman" w:eastAsia="楷体" w:hAnsi="Times New Roman"/>
              <w:b/>
              <w:noProof/>
            </w:rPr>
            <w:t>[</w:t>
          </w:r>
          <w:r w:rsidR="002B0F87" w:rsidRPr="005F06E9">
            <w:rPr>
              <w:rStyle w:val="a9"/>
              <w:rFonts w:ascii="Times New Roman" w:eastAsia="楷体" w:hAnsi="Times New Roman"/>
              <w:b/>
              <w:noProof/>
            </w:rPr>
            <w:t>金融</w:t>
          </w:r>
          <w:r w:rsidR="002B0F87" w:rsidRPr="005F06E9">
            <w:rPr>
              <w:rStyle w:val="a9"/>
              <w:rFonts w:ascii="Times New Roman" w:eastAsia="楷体" w:hAnsi="Times New Roman"/>
              <w:b/>
              <w:noProof/>
            </w:rPr>
            <w:t>]</w:t>
          </w:r>
          <w:r w:rsidR="002B0F87" w:rsidRPr="005F06E9">
            <w:rPr>
              <w:rStyle w:val="a9"/>
              <w:noProof/>
            </w:rPr>
            <w:fldChar w:fldCharType="end"/>
          </w:r>
        </w:p>
        <w:p w:rsidR="002B0F87" w:rsidRDefault="002B0F87">
          <w:pPr>
            <w:pStyle w:val="23"/>
            <w:tabs>
              <w:tab w:val="right" w:leader="dot" w:pos="8296"/>
            </w:tabs>
            <w:rPr>
              <w:rFonts w:eastAsiaTheme="minorEastAsia"/>
              <w:noProof/>
              <w:szCs w:val="22"/>
            </w:rPr>
          </w:pPr>
          <w:hyperlink w:anchor="_Toc141866732" w:history="1">
            <w:r w:rsidRPr="005F06E9">
              <w:rPr>
                <w:rStyle w:val="a9"/>
                <w:rFonts w:ascii="Times New Roman" w:eastAsia="楷体" w:hAnsi="Times New Roman"/>
                <w:b/>
                <w:noProof/>
              </w:rPr>
              <w:t>股指：多单持有</w:t>
            </w:r>
          </w:hyperlink>
        </w:p>
        <w:p w:rsidR="002B0F87" w:rsidRDefault="002B0F87">
          <w:pPr>
            <w:pStyle w:val="11"/>
            <w:tabs>
              <w:tab w:val="right" w:leader="dot" w:pos="8296"/>
            </w:tabs>
            <w:rPr>
              <w:rFonts w:eastAsiaTheme="minorEastAsia"/>
              <w:noProof/>
              <w:szCs w:val="22"/>
            </w:rPr>
          </w:pPr>
          <w:hyperlink w:anchor="_Toc141866733" w:history="1">
            <w:r w:rsidRPr="005F06E9">
              <w:rPr>
                <w:rStyle w:val="a9"/>
                <w:rFonts w:ascii="Times New Roman" w:eastAsia="楷体" w:hAnsi="Times New Roman"/>
                <w:b/>
                <w:noProof/>
              </w:rPr>
              <w:t>[</w:t>
            </w:r>
            <w:r w:rsidRPr="005F06E9">
              <w:rPr>
                <w:rStyle w:val="a9"/>
                <w:rFonts w:ascii="Times New Roman" w:eastAsia="楷体" w:hAnsi="Times New Roman"/>
                <w:b/>
                <w:noProof/>
              </w:rPr>
              <w:t>贵金属</w:t>
            </w:r>
            <w:r w:rsidRPr="005F06E9">
              <w:rPr>
                <w:rStyle w:val="a9"/>
                <w:rFonts w:ascii="Times New Roman" w:eastAsia="楷体" w:hAnsi="Times New Roman"/>
                <w:b/>
                <w:noProof/>
              </w:rPr>
              <w:t>]</w:t>
            </w:r>
          </w:hyperlink>
        </w:p>
        <w:p w:rsidR="002B0F87" w:rsidRDefault="002B0F87">
          <w:pPr>
            <w:pStyle w:val="23"/>
            <w:tabs>
              <w:tab w:val="right" w:leader="dot" w:pos="8296"/>
            </w:tabs>
            <w:rPr>
              <w:rFonts w:eastAsiaTheme="minorEastAsia"/>
              <w:noProof/>
              <w:szCs w:val="22"/>
            </w:rPr>
          </w:pPr>
          <w:hyperlink w:anchor="_Toc141866734" w:history="1">
            <w:r w:rsidRPr="005F06E9">
              <w:rPr>
                <w:rStyle w:val="a9"/>
                <w:rFonts w:ascii="Times New Roman" w:eastAsia="楷体" w:hAnsi="Times New Roman"/>
                <w:b/>
                <w:noProof/>
              </w:rPr>
              <w:t>贵金属：美国</w:t>
            </w:r>
            <w:r w:rsidRPr="005F06E9">
              <w:rPr>
                <w:rStyle w:val="a9"/>
                <w:rFonts w:ascii="Times New Roman" w:eastAsia="楷体" w:hAnsi="Times New Roman"/>
                <w:b/>
                <w:noProof/>
              </w:rPr>
              <w:t>PCE</w:t>
            </w:r>
            <w:r w:rsidRPr="005F06E9">
              <w:rPr>
                <w:rStyle w:val="a9"/>
                <w:rFonts w:ascii="Times New Roman" w:eastAsia="楷体" w:hAnsi="Times New Roman"/>
                <w:b/>
                <w:noProof/>
              </w:rPr>
              <w:t>通胀下行，贵金属价格窄幅震荡</w:t>
            </w:r>
          </w:hyperlink>
        </w:p>
        <w:p w:rsidR="002B0F87" w:rsidRDefault="002B0F87">
          <w:pPr>
            <w:pStyle w:val="11"/>
            <w:tabs>
              <w:tab w:val="right" w:leader="dot" w:pos="8296"/>
            </w:tabs>
            <w:rPr>
              <w:rFonts w:eastAsiaTheme="minorEastAsia"/>
              <w:noProof/>
              <w:szCs w:val="22"/>
            </w:rPr>
          </w:pPr>
          <w:hyperlink w:anchor="_Toc141866735" w:history="1">
            <w:r w:rsidRPr="005F06E9">
              <w:rPr>
                <w:rStyle w:val="a9"/>
                <w:rFonts w:ascii="Times New Roman" w:eastAsia="楷体" w:hAnsi="Times New Roman"/>
                <w:b/>
                <w:noProof/>
              </w:rPr>
              <w:t>[</w:t>
            </w:r>
            <w:r w:rsidRPr="005F06E9">
              <w:rPr>
                <w:rStyle w:val="a9"/>
                <w:rFonts w:ascii="Times New Roman" w:eastAsia="楷体" w:hAnsi="Times New Roman"/>
                <w:b/>
                <w:noProof/>
              </w:rPr>
              <w:t>金属</w:t>
            </w:r>
            <w:r w:rsidRPr="005F06E9">
              <w:rPr>
                <w:rStyle w:val="a9"/>
                <w:rFonts w:ascii="Times New Roman" w:eastAsia="楷体" w:hAnsi="Times New Roman"/>
                <w:b/>
                <w:noProof/>
              </w:rPr>
              <w:t>]</w:t>
            </w:r>
          </w:hyperlink>
        </w:p>
        <w:p w:rsidR="002B0F87" w:rsidRDefault="002B0F87">
          <w:pPr>
            <w:pStyle w:val="23"/>
            <w:tabs>
              <w:tab w:val="right" w:leader="dot" w:pos="8296"/>
            </w:tabs>
            <w:rPr>
              <w:rFonts w:eastAsiaTheme="minorEastAsia"/>
              <w:noProof/>
              <w:szCs w:val="22"/>
            </w:rPr>
          </w:pPr>
          <w:hyperlink w:anchor="_Toc141866736" w:history="1">
            <w:r w:rsidRPr="005F06E9">
              <w:rPr>
                <w:rStyle w:val="a9"/>
                <w:rFonts w:ascii="楷体" w:eastAsia="楷体" w:hAnsi="楷体"/>
                <w:b/>
                <w:noProof/>
              </w:rPr>
              <w:t>碳酸锂：期价宽幅震荡，现货延续下跌</w:t>
            </w:r>
          </w:hyperlink>
        </w:p>
        <w:p w:rsidR="002B0F87" w:rsidRDefault="002B0F87">
          <w:pPr>
            <w:pStyle w:val="23"/>
            <w:tabs>
              <w:tab w:val="right" w:leader="dot" w:pos="8296"/>
            </w:tabs>
            <w:rPr>
              <w:rFonts w:eastAsiaTheme="minorEastAsia"/>
              <w:noProof/>
              <w:szCs w:val="22"/>
            </w:rPr>
          </w:pPr>
          <w:hyperlink w:anchor="_Toc141866737" w:history="1">
            <w:r w:rsidRPr="005F06E9">
              <w:rPr>
                <w:rStyle w:val="a9"/>
                <w:rFonts w:ascii="楷体" w:eastAsia="楷体" w:hAnsi="楷体"/>
                <w:b/>
                <w:noProof/>
              </w:rPr>
              <w:t>螺纹钢：短期窄幅震荡，等待驱动</w:t>
            </w:r>
          </w:hyperlink>
        </w:p>
        <w:p w:rsidR="002B0F87" w:rsidRDefault="002B0F87">
          <w:pPr>
            <w:pStyle w:val="23"/>
            <w:tabs>
              <w:tab w:val="right" w:leader="dot" w:pos="8296"/>
            </w:tabs>
            <w:rPr>
              <w:rFonts w:eastAsiaTheme="minorEastAsia"/>
              <w:noProof/>
              <w:szCs w:val="22"/>
            </w:rPr>
          </w:pPr>
          <w:hyperlink w:anchor="_Toc141866738" w:history="1">
            <w:r w:rsidRPr="005F06E9">
              <w:rPr>
                <w:rStyle w:val="a9"/>
                <w:rFonts w:ascii="楷体" w:eastAsia="楷体" w:hAnsi="楷体"/>
                <w:b/>
                <w:noProof/>
              </w:rPr>
              <w:t>焦炭：高位震荡，观望为主</w:t>
            </w:r>
          </w:hyperlink>
        </w:p>
        <w:p w:rsidR="002B0F87" w:rsidRDefault="002B0F87">
          <w:pPr>
            <w:pStyle w:val="23"/>
            <w:tabs>
              <w:tab w:val="right" w:leader="dot" w:pos="8296"/>
            </w:tabs>
            <w:rPr>
              <w:rFonts w:eastAsiaTheme="minorEastAsia"/>
              <w:noProof/>
              <w:szCs w:val="22"/>
            </w:rPr>
          </w:pPr>
          <w:hyperlink w:anchor="_Toc141866739" w:history="1">
            <w:r w:rsidRPr="005F06E9">
              <w:rPr>
                <w:rStyle w:val="a9"/>
                <w:rFonts w:ascii="楷体" w:eastAsia="楷体" w:hAnsi="楷体"/>
                <w:b/>
                <w:noProof/>
              </w:rPr>
              <w:t>焦煤：复产叠加运输问题，盘面基差修复</w:t>
            </w:r>
          </w:hyperlink>
        </w:p>
        <w:p w:rsidR="002B0F87" w:rsidRDefault="002B0F87">
          <w:pPr>
            <w:pStyle w:val="23"/>
            <w:tabs>
              <w:tab w:val="right" w:leader="dot" w:pos="8296"/>
            </w:tabs>
            <w:rPr>
              <w:rFonts w:eastAsiaTheme="minorEastAsia"/>
              <w:noProof/>
              <w:szCs w:val="22"/>
            </w:rPr>
          </w:pPr>
          <w:hyperlink w:anchor="_Toc141866740" w:history="1">
            <w:r w:rsidRPr="005F06E9">
              <w:rPr>
                <w:rStyle w:val="a9"/>
                <w:rFonts w:ascii="楷体" w:eastAsia="楷体" w:hAnsi="楷体"/>
                <w:b/>
                <w:noProof/>
              </w:rPr>
              <w:t>铜：震荡偏强运行</w:t>
            </w:r>
          </w:hyperlink>
        </w:p>
        <w:p w:rsidR="002B0F87" w:rsidRDefault="002B0F87">
          <w:pPr>
            <w:pStyle w:val="23"/>
            <w:tabs>
              <w:tab w:val="right" w:leader="dot" w:pos="8296"/>
            </w:tabs>
            <w:rPr>
              <w:rFonts w:eastAsiaTheme="minorEastAsia"/>
              <w:noProof/>
              <w:szCs w:val="22"/>
            </w:rPr>
          </w:pPr>
          <w:hyperlink w:anchor="_Toc141866741" w:history="1">
            <w:r w:rsidRPr="005F06E9">
              <w:rPr>
                <w:rStyle w:val="a9"/>
                <w:rFonts w:ascii="楷体" w:eastAsia="楷体" w:hAnsi="楷体"/>
                <w:b/>
                <w:noProof/>
              </w:rPr>
              <w:t>铝：铝价偏强震荡运行</w:t>
            </w:r>
          </w:hyperlink>
        </w:p>
        <w:p w:rsidR="002B0F87" w:rsidRDefault="002B0F87">
          <w:pPr>
            <w:pStyle w:val="23"/>
            <w:tabs>
              <w:tab w:val="right" w:leader="dot" w:pos="8296"/>
            </w:tabs>
            <w:rPr>
              <w:rFonts w:eastAsiaTheme="minorEastAsia"/>
              <w:noProof/>
              <w:szCs w:val="22"/>
            </w:rPr>
          </w:pPr>
          <w:hyperlink w:anchor="_Toc141866742" w:history="1">
            <w:r w:rsidRPr="005F06E9">
              <w:rPr>
                <w:rStyle w:val="a9"/>
                <w:rFonts w:ascii="楷体" w:eastAsia="楷体" w:hAnsi="楷体"/>
                <w:b/>
                <w:noProof/>
              </w:rPr>
              <w:t>锌：宏观延续回暖，基本面支撑不足</w:t>
            </w:r>
          </w:hyperlink>
        </w:p>
        <w:p w:rsidR="002B0F87" w:rsidRDefault="002B0F87">
          <w:pPr>
            <w:pStyle w:val="23"/>
            <w:tabs>
              <w:tab w:val="right" w:leader="dot" w:pos="8296"/>
            </w:tabs>
            <w:rPr>
              <w:rFonts w:eastAsiaTheme="minorEastAsia"/>
              <w:noProof/>
              <w:szCs w:val="22"/>
            </w:rPr>
          </w:pPr>
          <w:hyperlink w:anchor="_Toc141866743" w:history="1">
            <w:r w:rsidRPr="005F06E9">
              <w:rPr>
                <w:rStyle w:val="a9"/>
                <w:rFonts w:ascii="楷体" w:eastAsia="楷体" w:hAnsi="楷体"/>
                <w:b/>
                <w:noProof/>
              </w:rPr>
              <w:t>镍：低库存仍支撑价格维持区间震荡</w:t>
            </w:r>
          </w:hyperlink>
        </w:p>
        <w:p w:rsidR="002B0F87" w:rsidRDefault="002B0F87">
          <w:pPr>
            <w:pStyle w:val="23"/>
            <w:tabs>
              <w:tab w:val="right" w:leader="dot" w:pos="8296"/>
            </w:tabs>
            <w:rPr>
              <w:rFonts w:eastAsiaTheme="minorEastAsia"/>
              <w:noProof/>
              <w:szCs w:val="22"/>
            </w:rPr>
          </w:pPr>
          <w:hyperlink w:anchor="_Toc141866744" w:history="1">
            <w:r w:rsidRPr="005F06E9">
              <w:rPr>
                <w:rStyle w:val="a9"/>
                <w:rFonts w:ascii="楷体" w:eastAsia="楷体" w:hAnsi="楷体"/>
                <w:b/>
                <w:noProof/>
              </w:rPr>
              <w:t>铅：价格上行空间有限，价格高位震荡运行</w:t>
            </w:r>
          </w:hyperlink>
        </w:p>
        <w:p w:rsidR="002B0F87" w:rsidRDefault="002B0F87">
          <w:pPr>
            <w:pStyle w:val="23"/>
            <w:tabs>
              <w:tab w:val="right" w:leader="dot" w:pos="8296"/>
            </w:tabs>
            <w:rPr>
              <w:rFonts w:eastAsiaTheme="minorEastAsia"/>
              <w:noProof/>
              <w:szCs w:val="22"/>
            </w:rPr>
          </w:pPr>
          <w:hyperlink w:anchor="_Toc141866745" w:history="1">
            <w:r w:rsidRPr="005F06E9">
              <w:rPr>
                <w:rStyle w:val="a9"/>
                <w:rFonts w:ascii="楷体" w:eastAsia="楷体" w:hAnsi="楷体"/>
                <w:b/>
                <w:noProof/>
              </w:rPr>
              <w:t>不锈钢：宏观预期向好，短期不锈钢震荡重心上移</w:t>
            </w:r>
          </w:hyperlink>
        </w:p>
        <w:p w:rsidR="002B0F87" w:rsidRDefault="002B0F87">
          <w:pPr>
            <w:pStyle w:val="23"/>
            <w:tabs>
              <w:tab w:val="right" w:leader="dot" w:pos="8296"/>
            </w:tabs>
            <w:rPr>
              <w:rFonts w:eastAsiaTheme="minorEastAsia"/>
              <w:noProof/>
              <w:szCs w:val="22"/>
            </w:rPr>
          </w:pPr>
          <w:hyperlink w:anchor="_Toc141866746" w:history="1">
            <w:r w:rsidRPr="005F06E9">
              <w:rPr>
                <w:rStyle w:val="a9"/>
                <w:rFonts w:ascii="楷体" w:eastAsia="楷体" w:hAnsi="楷体"/>
                <w:b/>
                <w:noProof/>
              </w:rPr>
              <w:t>工业硅：供应扰动暂未解除，短期或仍有支撑</w:t>
            </w:r>
          </w:hyperlink>
        </w:p>
        <w:p w:rsidR="002B0F87" w:rsidRDefault="002B0F87">
          <w:pPr>
            <w:pStyle w:val="11"/>
            <w:tabs>
              <w:tab w:val="right" w:leader="dot" w:pos="8296"/>
            </w:tabs>
            <w:rPr>
              <w:rFonts w:eastAsiaTheme="minorEastAsia"/>
              <w:noProof/>
              <w:szCs w:val="22"/>
            </w:rPr>
          </w:pPr>
          <w:hyperlink w:anchor="_Toc141866747" w:history="1">
            <w:r w:rsidRPr="005F06E9">
              <w:rPr>
                <w:rStyle w:val="a9"/>
                <w:rFonts w:ascii="Times New Roman" w:eastAsia="楷体" w:hAnsi="Times New Roman"/>
                <w:b/>
                <w:noProof/>
              </w:rPr>
              <w:t>[</w:t>
            </w:r>
            <w:r w:rsidRPr="005F06E9">
              <w:rPr>
                <w:rStyle w:val="a9"/>
                <w:rFonts w:ascii="Times New Roman" w:eastAsia="楷体" w:hAnsi="Times New Roman"/>
                <w:b/>
                <w:noProof/>
              </w:rPr>
              <w:t>化工</w:t>
            </w:r>
            <w:r w:rsidRPr="005F06E9">
              <w:rPr>
                <w:rStyle w:val="a9"/>
                <w:rFonts w:ascii="Times New Roman" w:eastAsia="楷体" w:hAnsi="Times New Roman"/>
                <w:b/>
                <w:noProof/>
              </w:rPr>
              <w:t>]</w:t>
            </w:r>
          </w:hyperlink>
        </w:p>
        <w:p w:rsidR="002B0F87" w:rsidRDefault="002B0F87">
          <w:pPr>
            <w:pStyle w:val="23"/>
            <w:tabs>
              <w:tab w:val="right" w:leader="dot" w:pos="8296"/>
            </w:tabs>
            <w:rPr>
              <w:rFonts w:eastAsiaTheme="minorEastAsia"/>
              <w:noProof/>
              <w:szCs w:val="22"/>
            </w:rPr>
          </w:pPr>
          <w:hyperlink w:anchor="_Toc141866748" w:history="1">
            <w:r w:rsidRPr="005F06E9">
              <w:rPr>
                <w:rStyle w:val="a9"/>
                <w:rFonts w:ascii="Times New Roman" w:eastAsia="楷体" w:hAnsi="Times New Roman"/>
                <w:b/>
                <w:noProof/>
              </w:rPr>
              <w:t>天然橡胶</w:t>
            </w:r>
            <w:r w:rsidRPr="005F06E9">
              <w:rPr>
                <w:rStyle w:val="a9"/>
                <w:rFonts w:ascii="Times New Roman" w:eastAsia="楷体" w:hAnsi="Times New Roman"/>
                <w:b/>
                <w:noProof/>
              </w:rPr>
              <w:t>:</w:t>
            </w:r>
            <w:r w:rsidRPr="005F06E9">
              <w:rPr>
                <w:rStyle w:val="a9"/>
                <w:rFonts w:ascii="楷体" w:eastAsia="楷体" w:hAnsi="楷体"/>
                <w:b/>
                <w:noProof/>
              </w:rPr>
              <w:t xml:space="preserve"> 橡胶基本面维持弱势 短期价格震荡调整为主</w:t>
            </w:r>
          </w:hyperlink>
        </w:p>
        <w:p w:rsidR="002B0F87" w:rsidRDefault="002B0F87">
          <w:pPr>
            <w:pStyle w:val="23"/>
            <w:tabs>
              <w:tab w:val="right" w:leader="dot" w:pos="8296"/>
            </w:tabs>
            <w:rPr>
              <w:rFonts w:eastAsiaTheme="minorEastAsia"/>
              <w:noProof/>
              <w:szCs w:val="22"/>
            </w:rPr>
          </w:pPr>
          <w:hyperlink w:anchor="_Toc141866749" w:history="1">
            <w:r w:rsidRPr="005F06E9">
              <w:rPr>
                <w:rStyle w:val="a9"/>
                <w:rFonts w:ascii="楷体" w:eastAsia="楷体" w:hAnsi="楷体"/>
                <w:b/>
                <w:noProof/>
              </w:rPr>
              <w:t>PTA：成本驱动期价走势波动</w:t>
            </w:r>
          </w:hyperlink>
        </w:p>
        <w:p w:rsidR="002B0F87" w:rsidRDefault="002B0F87">
          <w:pPr>
            <w:pStyle w:val="23"/>
            <w:tabs>
              <w:tab w:val="right" w:leader="dot" w:pos="8296"/>
            </w:tabs>
            <w:rPr>
              <w:rFonts w:eastAsiaTheme="minorEastAsia"/>
              <w:noProof/>
              <w:szCs w:val="22"/>
            </w:rPr>
          </w:pPr>
          <w:hyperlink w:anchor="_Toc141866750" w:history="1">
            <w:r w:rsidRPr="005F06E9">
              <w:rPr>
                <w:rStyle w:val="a9"/>
                <w:rFonts w:ascii="楷体" w:eastAsia="楷体" w:hAnsi="楷体"/>
                <w:b/>
                <w:noProof/>
              </w:rPr>
              <w:t>PVC：高库存+弱复苏 驱动不足</w:t>
            </w:r>
          </w:hyperlink>
        </w:p>
        <w:p w:rsidR="002B0F87" w:rsidRDefault="002B0F87">
          <w:pPr>
            <w:pStyle w:val="23"/>
            <w:tabs>
              <w:tab w:val="right" w:leader="dot" w:pos="8296"/>
            </w:tabs>
            <w:rPr>
              <w:rFonts w:eastAsiaTheme="minorEastAsia"/>
              <w:noProof/>
              <w:szCs w:val="22"/>
            </w:rPr>
          </w:pPr>
          <w:hyperlink w:anchor="_Toc141866751" w:history="1">
            <w:r w:rsidRPr="005F06E9">
              <w:rPr>
                <w:rStyle w:val="a9"/>
                <w:rFonts w:ascii="楷体" w:eastAsia="楷体" w:hAnsi="楷体"/>
                <w:b/>
                <w:noProof/>
              </w:rPr>
              <w:t>聚烯烃：宏观与需求面稍有好转，聚烯烃进入偏强震荡阶段</w:t>
            </w:r>
          </w:hyperlink>
        </w:p>
        <w:p w:rsidR="002B0F87" w:rsidRDefault="002B0F87">
          <w:pPr>
            <w:pStyle w:val="23"/>
            <w:tabs>
              <w:tab w:val="right" w:leader="dot" w:pos="8296"/>
            </w:tabs>
            <w:rPr>
              <w:rFonts w:eastAsiaTheme="minorEastAsia"/>
              <w:noProof/>
              <w:szCs w:val="22"/>
            </w:rPr>
          </w:pPr>
          <w:hyperlink w:anchor="_Toc141866752" w:history="1">
            <w:r w:rsidRPr="005F06E9">
              <w:rPr>
                <w:rStyle w:val="a9"/>
                <w:rFonts w:ascii="楷体" w:eastAsia="楷体" w:hAnsi="楷体"/>
                <w:b/>
                <w:noProof/>
              </w:rPr>
              <w:t>MEG：计划检修增多 关注低多机会</w:t>
            </w:r>
          </w:hyperlink>
        </w:p>
        <w:p w:rsidR="002B0F87" w:rsidRDefault="002B0F87">
          <w:pPr>
            <w:pStyle w:val="23"/>
            <w:tabs>
              <w:tab w:val="right" w:leader="dot" w:pos="8296"/>
            </w:tabs>
            <w:rPr>
              <w:rFonts w:eastAsiaTheme="minorEastAsia"/>
              <w:noProof/>
              <w:szCs w:val="22"/>
            </w:rPr>
          </w:pPr>
          <w:hyperlink w:anchor="_Toc141866753" w:history="1">
            <w:r w:rsidRPr="005F06E9">
              <w:rPr>
                <w:rStyle w:val="a9"/>
                <w:rFonts w:ascii="楷体" w:eastAsia="楷体" w:hAnsi="楷体"/>
                <w:b/>
                <w:noProof/>
              </w:rPr>
              <w:t>玻璃：政策落地加速，建议观望</w:t>
            </w:r>
          </w:hyperlink>
        </w:p>
        <w:p w:rsidR="002B0F87" w:rsidRDefault="002B0F87">
          <w:pPr>
            <w:pStyle w:val="23"/>
            <w:tabs>
              <w:tab w:val="right" w:leader="dot" w:pos="8296"/>
            </w:tabs>
            <w:rPr>
              <w:rFonts w:eastAsiaTheme="minorEastAsia"/>
              <w:noProof/>
              <w:szCs w:val="22"/>
            </w:rPr>
          </w:pPr>
          <w:hyperlink w:anchor="_Toc141866754" w:history="1">
            <w:r w:rsidRPr="005F06E9">
              <w:rPr>
                <w:rStyle w:val="a9"/>
                <w:rFonts w:ascii="楷体" w:eastAsia="楷体" w:hAnsi="楷体"/>
                <w:b/>
                <w:noProof/>
              </w:rPr>
              <w:t>纯碱：现货紧张，震荡偏强</w:t>
            </w:r>
          </w:hyperlink>
        </w:p>
        <w:p w:rsidR="002B0F87" w:rsidRDefault="002B0F87">
          <w:pPr>
            <w:pStyle w:val="11"/>
            <w:tabs>
              <w:tab w:val="right" w:leader="dot" w:pos="8296"/>
            </w:tabs>
            <w:rPr>
              <w:rFonts w:eastAsiaTheme="minorEastAsia"/>
              <w:noProof/>
              <w:szCs w:val="22"/>
            </w:rPr>
          </w:pPr>
          <w:hyperlink w:anchor="_Toc141866755" w:history="1">
            <w:r w:rsidRPr="005F06E9">
              <w:rPr>
                <w:rStyle w:val="a9"/>
                <w:rFonts w:ascii="Times New Roman" w:eastAsia="楷体" w:hAnsi="Times New Roman"/>
                <w:b/>
                <w:noProof/>
              </w:rPr>
              <w:t>[</w:t>
            </w:r>
            <w:r w:rsidRPr="005F06E9">
              <w:rPr>
                <w:rStyle w:val="a9"/>
                <w:rFonts w:ascii="Times New Roman" w:eastAsia="楷体" w:hAnsi="Times New Roman"/>
                <w:b/>
                <w:noProof/>
              </w:rPr>
              <w:t>农产品</w:t>
            </w:r>
            <w:r w:rsidRPr="005F06E9">
              <w:rPr>
                <w:rStyle w:val="a9"/>
                <w:rFonts w:ascii="Times New Roman" w:eastAsia="楷体" w:hAnsi="Times New Roman"/>
                <w:b/>
                <w:noProof/>
              </w:rPr>
              <w:t>]</w:t>
            </w:r>
          </w:hyperlink>
        </w:p>
        <w:p w:rsidR="002B0F87" w:rsidRDefault="002B0F87">
          <w:pPr>
            <w:pStyle w:val="23"/>
            <w:tabs>
              <w:tab w:val="right" w:leader="dot" w:pos="8296"/>
            </w:tabs>
            <w:rPr>
              <w:rFonts w:eastAsiaTheme="minorEastAsia"/>
              <w:noProof/>
              <w:szCs w:val="22"/>
            </w:rPr>
          </w:pPr>
          <w:hyperlink w:anchor="_Toc141866756" w:history="1">
            <w:r w:rsidRPr="005F06E9">
              <w:rPr>
                <w:rStyle w:val="a9"/>
                <w:rFonts w:ascii="楷体" w:eastAsia="楷体" w:hAnsi="楷体"/>
                <w:b/>
                <w:noProof/>
              </w:rPr>
              <w:t>豆粕/菜粕：优良率不及预期，维持谨慎看多观点</w:t>
            </w:r>
          </w:hyperlink>
        </w:p>
        <w:p w:rsidR="002B0F87" w:rsidRDefault="002B0F87">
          <w:pPr>
            <w:pStyle w:val="23"/>
            <w:tabs>
              <w:tab w:val="right" w:leader="dot" w:pos="8296"/>
            </w:tabs>
            <w:rPr>
              <w:rFonts w:eastAsiaTheme="minorEastAsia"/>
              <w:noProof/>
              <w:szCs w:val="22"/>
            </w:rPr>
          </w:pPr>
          <w:hyperlink w:anchor="_Toc141866757" w:history="1">
            <w:r w:rsidRPr="005F06E9">
              <w:rPr>
                <w:rStyle w:val="a9"/>
                <w:rFonts w:ascii="楷体" w:eastAsia="楷体" w:hAnsi="楷体"/>
                <w:b/>
                <w:noProof/>
              </w:rPr>
              <w:t>油脂：上涨乏力，短期震荡整理</w:t>
            </w:r>
          </w:hyperlink>
        </w:p>
        <w:p w:rsidR="002B0F87" w:rsidRDefault="002B0F87">
          <w:pPr>
            <w:pStyle w:val="23"/>
            <w:tabs>
              <w:tab w:val="right" w:leader="dot" w:pos="8296"/>
            </w:tabs>
            <w:rPr>
              <w:rFonts w:eastAsiaTheme="minorEastAsia"/>
              <w:noProof/>
              <w:szCs w:val="22"/>
            </w:rPr>
          </w:pPr>
          <w:hyperlink w:anchor="_Toc141866758" w:history="1">
            <w:r w:rsidRPr="005F06E9">
              <w:rPr>
                <w:rStyle w:val="a9"/>
                <w:rFonts w:ascii="楷体" w:eastAsia="楷体" w:hAnsi="楷体"/>
                <w:b/>
                <w:bCs/>
                <w:noProof/>
              </w:rPr>
              <w:t>玉米与淀粉：</w:t>
            </w:r>
            <w:r w:rsidRPr="005F06E9">
              <w:rPr>
                <w:rStyle w:val="a9"/>
                <w:rFonts w:ascii="楷体" w:eastAsia="楷体" w:hAnsi="楷体"/>
                <w:b/>
                <w:noProof/>
              </w:rPr>
              <w:t>现货或带动期价继续震荡调整</w:t>
            </w:r>
          </w:hyperlink>
        </w:p>
        <w:p w:rsidR="002B0F87" w:rsidRDefault="002B0F87">
          <w:pPr>
            <w:pStyle w:val="23"/>
            <w:tabs>
              <w:tab w:val="right" w:leader="dot" w:pos="8296"/>
            </w:tabs>
            <w:rPr>
              <w:rFonts w:eastAsiaTheme="minorEastAsia"/>
              <w:noProof/>
              <w:szCs w:val="22"/>
            </w:rPr>
          </w:pPr>
          <w:hyperlink w:anchor="_Toc141866759" w:history="1">
            <w:r w:rsidRPr="005F06E9">
              <w:rPr>
                <w:rStyle w:val="a9"/>
                <w:rFonts w:ascii="楷体" w:eastAsia="楷体" w:hAnsi="楷体"/>
                <w:b/>
                <w:bCs/>
                <w:noProof/>
              </w:rPr>
              <w:t>畜禽养殖：鸡蛋期价近强远弱</w:t>
            </w:r>
          </w:hyperlink>
        </w:p>
        <w:p w:rsidR="002B0F87" w:rsidRDefault="002B0F87">
          <w:pPr>
            <w:pStyle w:val="23"/>
            <w:tabs>
              <w:tab w:val="right" w:leader="dot" w:pos="8296"/>
            </w:tabs>
            <w:rPr>
              <w:rFonts w:eastAsiaTheme="minorEastAsia"/>
              <w:noProof/>
              <w:szCs w:val="22"/>
            </w:rPr>
          </w:pPr>
          <w:hyperlink w:anchor="_Toc141866760" w:history="1">
            <w:r w:rsidRPr="005F06E9">
              <w:rPr>
                <w:rStyle w:val="a9"/>
                <w:rFonts w:ascii="楷体" w:eastAsia="楷体" w:hAnsi="楷体"/>
                <w:b/>
                <w:noProof/>
              </w:rPr>
              <w:t>郑棉：09看跌期权卖权持有，01多单持有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186673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1866732"/>
      <w:bookmarkEnd w:id="4"/>
      <w:r>
        <w:rPr>
          <w:rFonts w:ascii="Times New Roman" w:eastAsia="楷体" w:hAnsi="Times New Roman" w:hint="eastAsia"/>
          <w:b/>
          <w:color w:val="000000" w:themeColor="text1"/>
          <w:sz w:val="24"/>
          <w:szCs w:val="24"/>
        </w:rPr>
        <w:t>股指：</w:t>
      </w:r>
      <w:bookmarkEnd w:id="6"/>
      <w:bookmarkEnd w:id="7"/>
      <w:r w:rsidR="00E63EF8" w:rsidRPr="00E63EF8">
        <w:rPr>
          <w:rFonts w:ascii="Times New Roman" w:eastAsia="楷体" w:hAnsi="Times New Roman" w:hint="eastAsia"/>
          <w:b/>
          <w:color w:val="000000" w:themeColor="text1"/>
          <w:sz w:val="24"/>
          <w:szCs w:val="24"/>
        </w:rPr>
        <w:t>多单持有</w:t>
      </w:r>
      <w:bookmarkEnd w:id="8"/>
    </w:p>
    <w:p w:rsidR="003F56A5" w:rsidRDefault="00E63EF8" w:rsidP="00D14B3E">
      <w:pPr>
        <w:ind w:leftChars="300" w:left="630"/>
        <w:rPr>
          <w:rFonts w:ascii="Times New Roman" w:eastAsia="楷体" w:hAnsi="Times New Roman"/>
          <w:color w:val="000000" w:themeColor="text1"/>
          <w:sz w:val="24"/>
          <w:szCs w:val="24"/>
        </w:rPr>
      </w:pPr>
      <w:r w:rsidRPr="00E63EF8">
        <w:rPr>
          <w:rFonts w:ascii="Times New Roman" w:eastAsia="楷体" w:hAnsi="Times New Roman" w:hint="eastAsia"/>
          <w:color w:val="000000" w:themeColor="text1"/>
          <w:sz w:val="24"/>
          <w:szCs w:val="24"/>
        </w:rPr>
        <w:t>预计</w:t>
      </w:r>
      <w:r w:rsidRPr="00E63EF8">
        <w:rPr>
          <w:rFonts w:ascii="Times New Roman" w:eastAsia="楷体" w:hAnsi="Times New Roman" w:hint="eastAsia"/>
          <w:color w:val="000000" w:themeColor="text1"/>
          <w:sz w:val="24"/>
          <w:szCs w:val="24"/>
        </w:rPr>
        <w:t>8</w:t>
      </w:r>
      <w:r w:rsidRPr="00E63EF8">
        <w:rPr>
          <w:rFonts w:ascii="Times New Roman" w:eastAsia="楷体" w:hAnsi="Times New Roman" w:hint="eastAsia"/>
          <w:color w:val="000000" w:themeColor="text1"/>
          <w:sz w:val="24"/>
          <w:szCs w:val="24"/>
        </w:rPr>
        <w:t>月将迎来相关领域政策陆续落地，市场风险偏好有持续改善基础。国外方面，</w:t>
      </w:r>
      <w:r w:rsidRPr="00E63EF8">
        <w:rPr>
          <w:rFonts w:ascii="Times New Roman" w:eastAsia="楷体" w:hAnsi="Times New Roman" w:hint="eastAsia"/>
          <w:color w:val="000000" w:themeColor="text1"/>
          <w:sz w:val="24"/>
          <w:szCs w:val="24"/>
        </w:rPr>
        <w:t>7</w:t>
      </w:r>
      <w:r w:rsidRPr="00E63EF8">
        <w:rPr>
          <w:rFonts w:ascii="Times New Roman" w:eastAsia="楷体" w:hAnsi="Times New Roman" w:hint="eastAsia"/>
          <w:color w:val="000000" w:themeColor="text1"/>
          <w:sz w:val="24"/>
          <w:szCs w:val="24"/>
        </w:rPr>
        <w:t>月美联储加息后，美联储对</w:t>
      </w:r>
      <w:r w:rsidRPr="00E63EF8">
        <w:rPr>
          <w:rFonts w:ascii="Times New Roman" w:eastAsia="楷体" w:hAnsi="Times New Roman" w:hint="eastAsia"/>
          <w:color w:val="000000" w:themeColor="text1"/>
          <w:sz w:val="24"/>
          <w:szCs w:val="24"/>
        </w:rPr>
        <w:t>9</w:t>
      </w:r>
      <w:r w:rsidRPr="00E63EF8">
        <w:rPr>
          <w:rFonts w:ascii="Times New Roman" w:eastAsia="楷体" w:hAnsi="Times New Roman" w:hint="eastAsia"/>
          <w:color w:val="000000" w:themeColor="text1"/>
          <w:sz w:val="24"/>
          <w:szCs w:val="24"/>
        </w:rPr>
        <w:t>月加息节奏尚不明确，但加息进入尾声已是市场共识，整体对市场偏积极。目前仍处于政策发酵阶段、预计市场震荡中演绎逐步修复的行情特征仍在延续。操作上，建议前期多单持有，调整过程中可逢低介入</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186673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1866734"/>
      <w:r>
        <w:rPr>
          <w:rFonts w:ascii="Times New Roman" w:eastAsia="楷体" w:hAnsi="Times New Roman" w:hint="eastAsia"/>
          <w:b/>
          <w:color w:val="000000" w:themeColor="text1"/>
          <w:sz w:val="24"/>
          <w:szCs w:val="24"/>
        </w:rPr>
        <w:t>贵金属：</w:t>
      </w:r>
      <w:r w:rsidR="00024902" w:rsidRPr="00024902">
        <w:rPr>
          <w:rFonts w:ascii="Times New Roman" w:eastAsia="楷体" w:hAnsi="Times New Roman" w:hint="eastAsia"/>
          <w:b/>
          <w:color w:val="000000" w:themeColor="text1"/>
          <w:sz w:val="24"/>
          <w:szCs w:val="24"/>
        </w:rPr>
        <w:t>美国</w:t>
      </w:r>
      <w:r w:rsidR="00024902" w:rsidRPr="00024902">
        <w:rPr>
          <w:rFonts w:ascii="Times New Roman" w:eastAsia="楷体" w:hAnsi="Times New Roman" w:hint="eastAsia"/>
          <w:b/>
          <w:color w:val="000000" w:themeColor="text1"/>
          <w:sz w:val="24"/>
          <w:szCs w:val="24"/>
        </w:rPr>
        <w:t>PCE</w:t>
      </w:r>
      <w:r w:rsidR="00024902" w:rsidRPr="00024902">
        <w:rPr>
          <w:rFonts w:ascii="Times New Roman" w:eastAsia="楷体" w:hAnsi="Times New Roman" w:hint="eastAsia"/>
          <w:b/>
          <w:color w:val="000000" w:themeColor="text1"/>
          <w:sz w:val="24"/>
          <w:szCs w:val="24"/>
        </w:rPr>
        <w:t>通胀下行，贵金属价格窄幅震荡</w:t>
      </w:r>
      <w:bookmarkEnd w:id="10"/>
    </w:p>
    <w:p w:rsidR="003F56A5" w:rsidRDefault="00024902">
      <w:pPr>
        <w:ind w:leftChars="300" w:left="630"/>
        <w:rPr>
          <w:rFonts w:ascii="Times New Roman" w:eastAsia="楷体" w:hAnsi="Times New Roman"/>
          <w:sz w:val="24"/>
          <w:szCs w:val="24"/>
        </w:rPr>
      </w:pPr>
      <w:r w:rsidRPr="00024902">
        <w:rPr>
          <w:rFonts w:ascii="Times New Roman" w:eastAsia="楷体" w:hAnsi="Times New Roman" w:hint="eastAsia"/>
          <w:color w:val="000000" w:themeColor="text1"/>
          <w:sz w:val="24"/>
          <w:szCs w:val="24"/>
        </w:rPr>
        <w:t>季度数据及高频就业数据显示美国经济、就业相对维持韧性，美国</w:t>
      </w:r>
      <w:r w:rsidRPr="00024902">
        <w:rPr>
          <w:rFonts w:ascii="Times New Roman" w:eastAsia="楷体" w:hAnsi="Times New Roman" w:hint="eastAsia"/>
          <w:color w:val="000000" w:themeColor="text1"/>
          <w:sz w:val="24"/>
          <w:szCs w:val="24"/>
        </w:rPr>
        <w:t>PCE</w:t>
      </w:r>
      <w:r w:rsidRPr="00024902">
        <w:rPr>
          <w:rFonts w:ascii="Times New Roman" w:eastAsia="楷体" w:hAnsi="Times New Roman" w:hint="eastAsia"/>
          <w:color w:val="000000" w:themeColor="text1"/>
          <w:sz w:val="24"/>
          <w:szCs w:val="24"/>
        </w:rPr>
        <w:t>通胀进一步下行，贵金属价格继上周四短线回落后，上周尾盘窄幅震荡。美国</w:t>
      </w:r>
      <w:r w:rsidRPr="00024902">
        <w:rPr>
          <w:rFonts w:ascii="Times New Roman" w:eastAsia="楷体" w:hAnsi="Times New Roman" w:hint="eastAsia"/>
          <w:color w:val="000000" w:themeColor="text1"/>
          <w:sz w:val="24"/>
          <w:szCs w:val="24"/>
        </w:rPr>
        <w:t>6</w:t>
      </w:r>
      <w:r w:rsidRPr="00024902">
        <w:rPr>
          <w:rFonts w:ascii="Times New Roman" w:eastAsia="楷体" w:hAnsi="Times New Roman" w:hint="eastAsia"/>
          <w:color w:val="000000" w:themeColor="text1"/>
          <w:sz w:val="24"/>
          <w:szCs w:val="24"/>
        </w:rPr>
        <w:t>月</w:t>
      </w:r>
      <w:r w:rsidRPr="00024902">
        <w:rPr>
          <w:rFonts w:ascii="Times New Roman" w:eastAsia="楷体" w:hAnsi="Times New Roman" w:hint="eastAsia"/>
          <w:color w:val="000000" w:themeColor="text1"/>
          <w:sz w:val="24"/>
          <w:szCs w:val="24"/>
        </w:rPr>
        <w:t>PCE</w:t>
      </w:r>
      <w:r w:rsidRPr="00024902">
        <w:rPr>
          <w:rFonts w:ascii="Times New Roman" w:eastAsia="楷体" w:hAnsi="Times New Roman" w:hint="eastAsia"/>
          <w:color w:val="000000" w:themeColor="text1"/>
          <w:sz w:val="24"/>
          <w:szCs w:val="24"/>
        </w:rPr>
        <w:t>同比增</w:t>
      </w:r>
      <w:r w:rsidRPr="00024902">
        <w:rPr>
          <w:rFonts w:ascii="Times New Roman" w:eastAsia="楷体" w:hAnsi="Times New Roman" w:hint="eastAsia"/>
          <w:color w:val="000000" w:themeColor="text1"/>
          <w:sz w:val="24"/>
          <w:szCs w:val="24"/>
        </w:rPr>
        <w:t>3%</w:t>
      </w:r>
      <w:r w:rsidRPr="00024902">
        <w:rPr>
          <w:rFonts w:ascii="Times New Roman" w:eastAsia="楷体" w:hAnsi="Times New Roman" w:hint="eastAsia"/>
          <w:color w:val="000000" w:themeColor="text1"/>
          <w:sz w:val="24"/>
          <w:szCs w:val="24"/>
        </w:rPr>
        <w:t>、环比增</w:t>
      </w:r>
      <w:r w:rsidRPr="00024902">
        <w:rPr>
          <w:rFonts w:ascii="Times New Roman" w:eastAsia="楷体" w:hAnsi="Times New Roman" w:hint="eastAsia"/>
          <w:color w:val="000000" w:themeColor="text1"/>
          <w:sz w:val="24"/>
          <w:szCs w:val="24"/>
        </w:rPr>
        <w:t>0.2%</w:t>
      </w:r>
      <w:r w:rsidRPr="00024902">
        <w:rPr>
          <w:rFonts w:ascii="Times New Roman" w:eastAsia="楷体" w:hAnsi="Times New Roman" w:hint="eastAsia"/>
          <w:color w:val="000000" w:themeColor="text1"/>
          <w:sz w:val="24"/>
          <w:szCs w:val="24"/>
        </w:rPr>
        <w:t>；核心</w:t>
      </w:r>
      <w:r w:rsidRPr="00024902">
        <w:rPr>
          <w:rFonts w:ascii="Times New Roman" w:eastAsia="楷体" w:hAnsi="Times New Roman" w:hint="eastAsia"/>
          <w:color w:val="000000" w:themeColor="text1"/>
          <w:sz w:val="24"/>
          <w:szCs w:val="24"/>
        </w:rPr>
        <w:t>PCE</w:t>
      </w:r>
      <w:r w:rsidRPr="00024902">
        <w:rPr>
          <w:rFonts w:ascii="Times New Roman" w:eastAsia="楷体" w:hAnsi="Times New Roman" w:hint="eastAsia"/>
          <w:color w:val="000000" w:themeColor="text1"/>
          <w:sz w:val="24"/>
          <w:szCs w:val="24"/>
        </w:rPr>
        <w:t>同比增</w:t>
      </w:r>
      <w:r w:rsidRPr="00024902">
        <w:rPr>
          <w:rFonts w:ascii="Times New Roman" w:eastAsia="楷体" w:hAnsi="Times New Roman" w:hint="eastAsia"/>
          <w:color w:val="000000" w:themeColor="text1"/>
          <w:sz w:val="24"/>
          <w:szCs w:val="24"/>
        </w:rPr>
        <w:t>4.1%</w:t>
      </w:r>
      <w:r w:rsidRPr="00024902">
        <w:rPr>
          <w:rFonts w:ascii="Times New Roman" w:eastAsia="楷体" w:hAnsi="Times New Roman" w:hint="eastAsia"/>
          <w:color w:val="000000" w:themeColor="text1"/>
          <w:sz w:val="24"/>
          <w:szCs w:val="24"/>
        </w:rPr>
        <w:t>、环比增</w:t>
      </w:r>
      <w:r w:rsidRPr="00024902">
        <w:rPr>
          <w:rFonts w:ascii="Times New Roman" w:eastAsia="楷体" w:hAnsi="Times New Roman" w:hint="eastAsia"/>
          <w:color w:val="000000" w:themeColor="text1"/>
          <w:sz w:val="24"/>
          <w:szCs w:val="24"/>
        </w:rPr>
        <w:t>0.2%</w:t>
      </w:r>
      <w:r w:rsidRPr="00024902">
        <w:rPr>
          <w:rFonts w:ascii="Times New Roman" w:eastAsia="楷体" w:hAnsi="Times New Roman" w:hint="eastAsia"/>
          <w:color w:val="000000" w:themeColor="text1"/>
          <w:sz w:val="24"/>
          <w:szCs w:val="24"/>
        </w:rPr>
        <w:t>。市场预计本次加息为本轮紧缩周期最后一次加息，明年二季度后有望降息。</w:t>
      </w:r>
      <w:r w:rsidRPr="00024902">
        <w:rPr>
          <w:rFonts w:ascii="Times New Roman" w:eastAsia="楷体" w:hAnsi="Times New Roman" w:hint="eastAsia"/>
          <w:color w:val="000000" w:themeColor="text1"/>
          <w:sz w:val="24"/>
          <w:szCs w:val="24"/>
        </w:rPr>
        <w:t>7</w:t>
      </w:r>
      <w:r w:rsidRPr="00024902">
        <w:rPr>
          <w:rFonts w:ascii="Times New Roman" w:eastAsia="楷体" w:hAnsi="Times New Roman" w:hint="eastAsia"/>
          <w:color w:val="000000" w:themeColor="text1"/>
          <w:sz w:val="24"/>
          <w:szCs w:val="24"/>
        </w:rPr>
        <w:t>月</w:t>
      </w:r>
      <w:r w:rsidRPr="00024902">
        <w:rPr>
          <w:rFonts w:ascii="Times New Roman" w:eastAsia="楷体" w:hAnsi="Times New Roman" w:hint="eastAsia"/>
          <w:color w:val="000000" w:themeColor="text1"/>
          <w:sz w:val="24"/>
          <w:szCs w:val="24"/>
        </w:rPr>
        <w:t>28</w:t>
      </w:r>
      <w:r w:rsidRPr="00024902">
        <w:rPr>
          <w:rFonts w:ascii="Times New Roman" w:eastAsia="楷体" w:hAnsi="Times New Roman" w:hint="eastAsia"/>
          <w:color w:val="000000" w:themeColor="text1"/>
          <w:sz w:val="24"/>
          <w:szCs w:val="24"/>
        </w:rPr>
        <w:t>日，美国华伦三州银行因资不抵债而破产，由</w:t>
      </w:r>
      <w:r w:rsidRPr="00024902">
        <w:rPr>
          <w:rFonts w:ascii="Times New Roman" w:eastAsia="楷体" w:hAnsi="Times New Roman" w:hint="eastAsia"/>
          <w:color w:val="000000" w:themeColor="text1"/>
          <w:sz w:val="24"/>
          <w:szCs w:val="24"/>
        </w:rPr>
        <w:t>FDIC</w:t>
      </w:r>
      <w:r w:rsidRPr="00024902">
        <w:rPr>
          <w:rFonts w:ascii="Times New Roman" w:eastAsia="楷体" w:hAnsi="Times New Roman" w:hint="eastAsia"/>
          <w:color w:val="000000" w:themeColor="text1"/>
          <w:sz w:val="24"/>
          <w:szCs w:val="24"/>
        </w:rPr>
        <w:t>接管。银行业风险事件带来的避险情绪或支撑贵金属价格表现，后续继续关注美国经济基本面转弱迹象，中长线看多思路不变，建议沪金、沪银逢低试多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186673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1866736"/>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期价宽幅震荡，现货延续下跌</w:t>
      </w:r>
      <w:bookmarkEnd w:id="18"/>
    </w:p>
    <w:p w:rsidR="00F50569" w:rsidRDefault="007C1DB9" w:rsidP="00F50569">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锂辉石精矿及锂云母价格小幅下跌，碳酸锂供应维持增量而下游采购相对谨慎，现货价格延续下跌。上市初期碳酸锂期货价格波动剧烈，前期大幅下跌后超跌反弹，产业链各环节谨慎观望期价后续走势，对于现货锂价的看空情绪相对浓厚。品种基本面逻辑不变，随着新扩产能逐步释放，碳酸锂供需格局或朝向供给相对宽松转变，后续思路建议仍以逢高试空为主</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1866737"/>
      <w:r>
        <w:rPr>
          <w:rFonts w:ascii="楷体" w:eastAsia="楷体" w:hAnsi="楷体" w:hint="eastAsia"/>
          <w:b/>
          <w:color w:val="000000" w:themeColor="text1"/>
          <w:sz w:val="24"/>
          <w:szCs w:val="24"/>
        </w:rPr>
        <w:t>螺纹钢：</w:t>
      </w:r>
      <w:bookmarkEnd w:id="16"/>
      <w:bookmarkEnd w:id="17"/>
      <w:r w:rsidR="00E63EF8" w:rsidRPr="00E63EF8">
        <w:rPr>
          <w:rFonts w:ascii="楷体" w:eastAsia="楷体" w:hAnsi="楷体" w:hint="eastAsia"/>
          <w:b/>
          <w:color w:val="000000" w:themeColor="text1"/>
          <w:sz w:val="24"/>
          <w:szCs w:val="24"/>
        </w:rPr>
        <w:t>短期窄幅震荡，等待驱动</w:t>
      </w:r>
      <w:bookmarkEnd w:id="19"/>
    </w:p>
    <w:p w:rsidR="003F56A5" w:rsidRDefault="00E63EF8" w:rsidP="00201944">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供需格局逐步改善，旺季前或迎来中游小补库，现实需求或成为钢价上行主驱动。短期现实压力犹存，预期定价较为充分情况，而现实需求依旧偏弱，钢价窄幅震荡。短期或在（3820,3900）区间震荡运行，等待平控或现实需求中枢上升</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1866738"/>
      <w:r>
        <w:rPr>
          <w:rFonts w:ascii="楷体" w:eastAsia="楷体" w:hAnsi="楷体" w:hint="eastAsia"/>
          <w:b/>
          <w:color w:val="000000" w:themeColor="text1"/>
          <w:sz w:val="24"/>
          <w:szCs w:val="24"/>
        </w:rPr>
        <w:t>焦炭：</w:t>
      </w:r>
      <w:bookmarkEnd w:id="20"/>
      <w:bookmarkEnd w:id="21"/>
      <w:r w:rsidR="00E63EF8" w:rsidRPr="00E63EF8">
        <w:rPr>
          <w:rFonts w:ascii="楷体" w:eastAsia="楷体" w:hAnsi="楷体" w:hint="eastAsia"/>
          <w:b/>
          <w:color w:val="000000" w:themeColor="text1"/>
          <w:sz w:val="24"/>
          <w:szCs w:val="24"/>
        </w:rPr>
        <w:t>高位震荡，观望为主</w:t>
      </w:r>
      <w:bookmarkEnd w:id="22"/>
    </w:p>
    <w:p w:rsidR="003F56A5" w:rsidRDefault="00E63EF8" w:rsidP="00572E35">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第四轮提涨提出，唐山高炉环保限产结束，平控尚未立即执行，下游存在补库需求，叠加台风下运输存在部分问题，汽运费上涨。预计短期焦炭价格继续高位震荡，盘面升水较高下，观望为主。预计震荡区间（2300，2400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1866739"/>
      <w:r>
        <w:rPr>
          <w:rFonts w:ascii="楷体" w:eastAsia="楷体" w:hAnsi="楷体" w:hint="eastAsia"/>
          <w:b/>
          <w:color w:val="000000" w:themeColor="text1"/>
          <w:sz w:val="24"/>
          <w:szCs w:val="24"/>
        </w:rPr>
        <w:t>焦煤：</w:t>
      </w:r>
      <w:r w:rsidR="00E63EF8" w:rsidRPr="00E63EF8">
        <w:rPr>
          <w:rFonts w:ascii="楷体" w:eastAsia="楷体" w:hAnsi="楷体" w:hint="eastAsia"/>
          <w:b/>
          <w:sz w:val="24"/>
          <w:szCs w:val="24"/>
        </w:rPr>
        <w:t>复产叠加运输问题，盘面基差修复</w:t>
      </w:r>
      <w:bookmarkEnd w:id="23"/>
    </w:p>
    <w:p w:rsidR="003F56A5" w:rsidRDefault="00E63EF8">
      <w:pPr>
        <w:ind w:leftChars="300" w:left="630"/>
        <w:rPr>
          <w:rFonts w:ascii="楷体" w:eastAsia="楷体" w:hAnsi="楷体"/>
          <w:bCs/>
          <w:sz w:val="24"/>
          <w:szCs w:val="24"/>
        </w:rPr>
      </w:pPr>
      <w:r w:rsidRPr="00E63EF8">
        <w:rPr>
          <w:rFonts w:ascii="楷体" w:eastAsia="楷体" w:hAnsi="楷体" w:hint="eastAsia"/>
          <w:sz w:val="24"/>
          <w:szCs w:val="24"/>
        </w:rPr>
        <w:lastRenderedPageBreak/>
        <w:t>唐山高炉复产下，叠加短期运输问题扰动下，现货价格继续偏强运行，但平控趋势明确，现货反弹高度有限，盘面以基差修复为主，预计价格或在（1480,1580）区间偏强震荡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1866740"/>
      <w:r>
        <w:rPr>
          <w:rFonts w:ascii="楷体" w:eastAsia="楷体" w:hAnsi="楷体" w:hint="eastAsia"/>
          <w:b/>
          <w:color w:val="000000" w:themeColor="text1"/>
          <w:sz w:val="24"/>
          <w:szCs w:val="24"/>
        </w:rPr>
        <w:t>铜：</w:t>
      </w:r>
      <w:bookmarkEnd w:id="24"/>
      <w:bookmarkEnd w:id="25"/>
      <w:r w:rsidR="00E63EF8" w:rsidRPr="00E63EF8">
        <w:rPr>
          <w:rFonts w:ascii="楷体" w:eastAsia="楷体" w:hAnsi="楷体" w:hint="eastAsia"/>
          <w:b/>
          <w:color w:val="000000" w:themeColor="text1"/>
          <w:sz w:val="24"/>
          <w:szCs w:val="24"/>
        </w:rPr>
        <w:t>震荡偏强运行</w:t>
      </w:r>
      <w:bookmarkEnd w:id="26"/>
    </w:p>
    <w:p w:rsidR="00E63EF8" w:rsidRPr="00E63EF8" w:rsidRDefault="00E63EF8" w:rsidP="00E63EF8">
      <w:pPr>
        <w:ind w:leftChars="300" w:left="630"/>
        <w:rPr>
          <w:rFonts w:ascii="楷体" w:eastAsia="楷体" w:hAnsi="楷体" w:hint="eastAsia"/>
          <w:color w:val="000000" w:themeColor="text1"/>
          <w:sz w:val="24"/>
          <w:szCs w:val="24"/>
        </w:rPr>
      </w:pPr>
      <w:r w:rsidRPr="00E63EF8">
        <w:rPr>
          <w:rFonts w:ascii="楷体" w:eastAsia="楷体" w:hAnsi="楷体" w:hint="eastAsia"/>
          <w:color w:val="000000" w:themeColor="text1"/>
          <w:sz w:val="24"/>
          <w:szCs w:val="24"/>
        </w:rPr>
        <w:t>(1) 美国7月ISM制造业PMI 46.4，预期46.8，前值46，连续九个月萎缩，凸显制造业的需求疲软仍在持续。</w:t>
      </w:r>
    </w:p>
    <w:p w:rsidR="00E63EF8" w:rsidRPr="00E63EF8" w:rsidRDefault="00E63EF8" w:rsidP="00E63EF8">
      <w:pPr>
        <w:ind w:leftChars="300" w:left="630"/>
        <w:rPr>
          <w:rFonts w:ascii="楷体" w:eastAsia="楷体" w:hAnsi="楷体" w:hint="eastAsia"/>
          <w:color w:val="000000" w:themeColor="text1"/>
          <w:sz w:val="24"/>
          <w:szCs w:val="24"/>
        </w:rPr>
      </w:pPr>
      <w:r w:rsidRPr="00E63EF8">
        <w:rPr>
          <w:rFonts w:ascii="楷体" w:eastAsia="楷体" w:hAnsi="楷体" w:hint="eastAsia"/>
          <w:color w:val="000000" w:themeColor="text1"/>
          <w:sz w:val="24"/>
          <w:szCs w:val="24"/>
        </w:rPr>
        <w:t>(2)库存：8月1日，SHFE仓单库存13066吨，增326吨；LME仓单库存74175吨，增5825吨。</w:t>
      </w:r>
    </w:p>
    <w:p w:rsidR="00E63EF8" w:rsidRPr="00E63EF8" w:rsidRDefault="00E63EF8" w:rsidP="00E63EF8">
      <w:pPr>
        <w:ind w:leftChars="300" w:left="630"/>
        <w:rPr>
          <w:rFonts w:ascii="楷体" w:eastAsia="楷体" w:hAnsi="楷体" w:hint="eastAsia"/>
          <w:color w:val="000000" w:themeColor="text1"/>
          <w:sz w:val="24"/>
          <w:szCs w:val="24"/>
        </w:rPr>
      </w:pPr>
      <w:r w:rsidRPr="00E63EF8">
        <w:rPr>
          <w:rFonts w:ascii="楷体" w:eastAsia="楷体" w:hAnsi="楷体" w:hint="eastAsia"/>
          <w:color w:val="000000" w:themeColor="text1"/>
          <w:sz w:val="24"/>
          <w:szCs w:val="24"/>
        </w:rPr>
        <w:t>(2)精废价差：8月1日，Mysteel精废价差2354，扩大929。目前价差在合理价差1408之上。</w:t>
      </w:r>
    </w:p>
    <w:p w:rsidR="00127803" w:rsidRPr="00127803" w:rsidRDefault="00E63EF8" w:rsidP="00E63EF8">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综述：美国近期公布的二季度GDP，和消费就业数据均表现良好，美国经济软着陆预期增强；欧洲经济呈止跌企稳迹象，市场对全球经济衰退预期减弱；国内重要会议释放超预期信号增强市场信心，整体宏观氛围偏积极助力市场风险偏好回升，基本面来看，供需有宽松预期，但低库存仍提供支撑，预计铜价维持震荡偏强运行，关注71000-72000压力位</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1866741"/>
      <w:r>
        <w:rPr>
          <w:rFonts w:ascii="楷体" w:eastAsia="楷体" w:hAnsi="楷体" w:hint="eastAsia"/>
          <w:b/>
          <w:color w:val="000000" w:themeColor="text1"/>
          <w:sz w:val="24"/>
          <w:szCs w:val="24"/>
        </w:rPr>
        <w:t>铝：</w:t>
      </w:r>
      <w:bookmarkEnd w:id="27"/>
      <w:bookmarkEnd w:id="28"/>
      <w:r w:rsidR="00E63EF8" w:rsidRPr="00E63EF8">
        <w:rPr>
          <w:rFonts w:ascii="楷体" w:eastAsia="楷体" w:hAnsi="楷体" w:hint="eastAsia"/>
          <w:b/>
          <w:color w:val="000000" w:themeColor="text1"/>
          <w:sz w:val="24"/>
          <w:szCs w:val="24"/>
        </w:rPr>
        <w:t>铝价偏强震荡运行</w:t>
      </w:r>
      <w:bookmarkEnd w:id="29"/>
    </w:p>
    <w:p w:rsidR="003F56A5" w:rsidRDefault="00E63EF8" w:rsidP="00127803">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欧美经济表现偏弱但仍有韧性，国内持续释放消费政策利好，宏观情绪偏多，有色板块普涨。基本面上看，供应端有西南地区电解铝复产增量，需求端有政策利多刺激带来的订单改善，目前供应暂无明显过剩，需求表现仍有支撑，而政策面的需求改善仍待现实证伪，铝市价格偏强震荡运行，短期或上探万九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1866742"/>
      <w:r>
        <w:rPr>
          <w:rFonts w:ascii="楷体" w:eastAsia="楷体" w:hAnsi="楷体" w:hint="eastAsia"/>
          <w:b/>
          <w:color w:val="000000" w:themeColor="text1"/>
          <w:sz w:val="24"/>
          <w:szCs w:val="24"/>
        </w:rPr>
        <w:t>锌：</w:t>
      </w:r>
      <w:r w:rsidR="00E63EF8" w:rsidRPr="00E63EF8">
        <w:rPr>
          <w:rFonts w:ascii="楷体" w:eastAsia="楷体" w:hAnsi="楷体" w:hint="eastAsia"/>
          <w:b/>
          <w:color w:val="000000" w:themeColor="text1"/>
          <w:sz w:val="24"/>
          <w:szCs w:val="24"/>
        </w:rPr>
        <w:t>宏观延续回暖，基本面支撑不足</w:t>
      </w:r>
      <w:bookmarkEnd w:id="30"/>
    </w:p>
    <w:p w:rsidR="003F56A5" w:rsidRDefault="00E63EF8" w:rsidP="000B0648">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美国通胀走弱，强化联储加息进入尾声的预期，国内经济会议针对地产、地方债、资本运营等方面均有超预期乐观表述，市场交投情绪偏热。6月国内精炼锌产量走低但仍在季节性偏高位置，原料市场较为宽裕，产量环比回落程度不及预期，7、8月仍为需求淡季，国内冶炼企业多计划检修，精炼锌产出或边际缩量，但在冶炼利润修复的情况之下，产量收缩程度有限。整体来看，锌的基本面格局仍偏向供应过剩、需求弱修复，但受宏观情绪影响近期走势震荡偏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1866743"/>
      <w:r>
        <w:rPr>
          <w:rFonts w:ascii="楷体" w:eastAsia="楷体" w:hAnsi="楷体" w:hint="eastAsia"/>
          <w:b/>
          <w:color w:val="000000" w:themeColor="text1"/>
          <w:sz w:val="24"/>
          <w:szCs w:val="24"/>
        </w:rPr>
        <w:t>镍：</w:t>
      </w:r>
      <w:r w:rsidR="00D14B3E" w:rsidRPr="00D14B3E">
        <w:rPr>
          <w:rFonts w:ascii="楷体" w:eastAsia="楷体" w:hAnsi="楷体" w:hint="eastAsia"/>
          <w:b/>
          <w:color w:val="000000" w:themeColor="text1"/>
          <w:sz w:val="24"/>
          <w:szCs w:val="24"/>
        </w:rPr>
        <w:t>低库存仍支撑价格维持区间震荡</w:t>
      </w:r>
      <w:bookmarkEnd w:id="31"/>
    </w:p>
    <w:p w:rsidR="003F56A5" w:rsidRDefault="00D14B3E">
      <w:pPr>
        <w:ind w:leftChars="300" w:left="630"/>
        <w:rPr>
          <w:rFonts w:ascii="楷体" w:eastAsia="楷体" w:hAnsi="楷体"/>
          <w:color w:val="000000" w:themeColor="text1"/>
          <w:sz w:val="24"/>
          <w:szCs w:val="24"/>
        </w:rPr>
      </w:pPr>
      <w:r w:rsidRPr="00D14B3E">
        <w:rPr>
          <w:rFonts w:ascii="楷体" w:eastAsia="楷体" w:hAnsi="楷体" w:hint="eastAsia"/>
          <w:color w:val="000000" w:themeColor="text1"/>
          <w:sz w:val="24"/>
          <w:szCs w:val="24"/>
        </w:rPr>
        <w:t>近期镍价维持区间震荡，核心逻辑没变，供应过剩压制反弹空间，但低库存维持对价格仍有支撑，按当前08合约持仓量依旧存在挤仓风险。短期价格跟随宏观情绪波动，等待基本面矛盾积累。操作上，反弹过程逐步布局空单，上方安全边际可参考2309合约压力位17.5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1866744"/>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7C1DB9" w:rsidRPr="007C1DB9">
        <w:rPr>
          <w:rFonts w:ascii="楷体" w:eastAsia="楷体" w:hAnsi="楷体" w:hint="eastAsia"/>
          <w:b/>
          <w:color w:val="000000" w:themeColor="text1"/>
          <w:sz w:val="24"/>
          <w:szCs w:val="24"/>
        </w:rPr>
        <w:t>价格上行空间有限，价格高位震荡运行</w:t>
      </w:r>
      <w:bookmarkEnd w:id="32"/>
    </w:p>
    <w:p w:rsidR="008B13D2" w:rsidRPr="008B13D2" w:rsidRDefault="007C1DB9" w:rsidP="008B13D2">
      <w:pPr>
        <w:ind w:leftChars="300" w:left="630"/>
        <w:rPr>
          <w:rFonts w:ascii="楷体" w:eastAsia="楷体" w:hAnsi="楷体"/>
          <w:color w:val="000000" w:themeColor="text1"/>
          <w:sz w:val="24"/>
          <w:szCs w:val="24"/>
        </w:rPr>
      </w:pPr>
      <w:r w:rsidRPr="007C1DB9">
        <w:rPr>
          <w:rFonts w:ascii="楷体" w:eastAsia="楷体" w:hAnsi="楷体" w:hint="eastAsia"/>
          <w:color w:val="000000" w:themeColor="text1"/>
          <w:sz w:val="24"/>
          <w:szCs w:val="24"/>
        </w:rPr>
        <w:t>废电瓶高位盘整为主，原料供应偏紧，高成本为铅价提供一定支撑；原生铅企业检修影响降低，铅锭供应阶段性恢复；再生铅利润边际好转，再生铅企业开工率回升；市场流通货源仍较紧，沪铅及伦铅库存均回升；下游蓄电池企业开工企稳，市场存在三季度消费传统旺季预期。中期铅供应预</w:t>
      </w:r>
      <w:r w:rsidRPr="007C1DB9">
        <w:rPr>
          <w:rFonts w:ascii="楷体" w:eastAsia="楷体" w:hAnsi="楷体" w:hint="eastAsia"/>
          <w:color w:val="000000" w:themeColor="text1"/>
          <w:sz w:val="24"/>
          <w:szCs w:val="24"/>
        </w:rPr>
        <w:lastRenderedPageBreak/>
        <w:t>计偏宽松，铅价上行动力或有限</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1866745"/>
      <w:r>
        <w:rPr>
          <w:rFonts w:ascii="楷体" w:eastAsia="楷体" w:hAnsi="楷体" w:hint="eastAsia"/>
          <w:b/>
          <w:color w:val="000000" w:themeColor="text1"/>
          <w:sz w:val="24"/>
          <w:szCs w:val="24"/>
        </w:rPr>
        <w:t>不锈钢：</w:t>
      </w:r>
      <w:r w:rsidR="00E63EF8" w:rsidRPr="00E63EF8">
        <w:rPr>
          <w:rFonts w:ascii="楷体" w:eastAsia="楷体" w:hAnsi="楷体" w:hint="eastAsia"/>
          <w:b/>
          <w:color w:val="000000" w:themeColor="text1"/>
          <w:sz w:val="24"/>
          <w:szCs w:val="24"/>
        </w:rPr>
        <w:t>宏观预期向好，短期不锈钢震荡重心上移</w:t>
      </w:r>
      <w:bookmarkEnd w:id="33"/>
    </w:p>
    <w:p w:rsidR="003F56A5" w:rsidRDefault="00E63EF8">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镍铁收储落地，体量不及市场预期，镍铁价格快速上涨后回落至1100/镍点下方，且需求淡季供应压力仍存，不锈钢价格反弹后回调压力加大，但国内重要会议释放超预期信号增强市场信心，整体宏观氛围偏积极，对价格仍存支撑。短期价格无明显趋势性行情，震荡区间较前期上移，参考14900-15500元/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1866746"/>
      <w:r>
        <w:rPr>
          <w:rFonts w:ascii="楷体" w:eastAsia="楷体" w:hAnsi="楷体" w:hint="eastAsia"/>
          <w:b/>
          <w:color w:val="000000" w:themeColor="text1"/>
          <w:sz w:val="24"/>
          <w:szCs w:val="24"/>
        </w:rPr>
        <w:t>工业硅：</w:t>
      </w:r>
      <w:r w:rsidR="00E63EF8" w:rsidRPr="00E63EF8">
        <w:rPr>
          <w:rFonts w:ascii="楷体" w:eastAsia="楷体" w:hAnsi="楷体" w:hint="eastAsia"/>
          <w:b/>
          <w:sz w:val="24"/>
          <w:szCs w:val="24"/>
        </w:rPr>
        <w:t>供应扰动暂未解除，短期或仍有支撑</w:t>
      </w:r>
      <w:bookmarkEnd w:id="34"/>
    </w:p>
    <w:p w:rsidR="003F56A5" w:rsidRDefault="00E63EF8" w:rsidP="00827E8A">
      <w:pPr>
        <w:ind w:leftChars="300" w:left="630"/>
        <w:rPr>
          <w:rFonts w:ascii="楷体" w:eastAsia="楷体" w:hAnsi="楷体"/>
          <w:sz w:val="24"/>
          <w:szCs w:val="24"/>
        </w:rPr>
      </w:pPr>
      <w:r w:rsidRPr="00E63EF8">
        <w:rPr>
          <w:rFonts w:ascii="楷体" w:eastAsia="楷体" w:hAnsi="楷体" w:hint="eastAsia"/>
          <w:sz w:val="24"/>
          <w:szCs w:val="24"/>
        </w:rPr>
        <w:t>8月1日，Si2309主力合约呈震荡走势，收盘价13745元/吨，较上一收盘价涨跌幅＋0.15%。由于主产区局部地区存在扰动因素，使得盘面整体呈偏强走势。近期，云南德宏州盈江县受强降雨影响引发洪涝， 导致周边硅厂出现停产；另外，受大运会影响四川雅安、乐山周边硅厂现已停炉。综合而言，供应扰动因素暂未解除，短期对市场或仍有支撑，但要注意扰动因素持续时间或有限，叠加库存高位，将压制大幅反弹空间</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186674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186674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E63EF8" w:rsidRPr="00E63EF8">
        <w:rPr>
          <w:rFonts w:ascii="楷体" w:eastAsia="楷体" w:hAnsi="楷体" w:hint="eastAsia"/>
          <w:b/>
          <w:sz w:val="24"/>
          <w:szCs w:val="24"/>
        </w:rPr>
        <w:t>橡胶基本面维持弱势 短期价格震荡调整为主</w:t>
      </w:r>
      <w:bookmarkEnd w:id="37"/>
    </w:p>
    <w:p w:rsidR="003F56A5" w:rsidRDefault="00E63EF8">
      <w:pPr>
        <w:ind w:leftChars="300" w:left="630"/>
        <w:rPr>
          <w:rFonts w:ascii="楷体" w:eastAsia="楷体" w:hAnsi="楷体"/>
          <w:sz w:val="24"/>
          <w:szCs w:val="24"/>
        </w:rPr>
      </w:pPr>
      <w:r w:rsidRPr="00E63EF8">
        <w:rPr>
          <w:rFonts w:ascii="楷体" w:eastAsia="楷体" w:hAnsi="楷体" w:hint="eastAsia"/>
          <w:sz w:val="24"/>
          <w:szCs w:val="24"/>
        </w:rPr>
        <w:t>点评：橡胶震荡下跌，随着交割月临近主力移仓加速。当前橡胶供需基本面维持偏弱。供给端，国内外产区进入新胶增量阶段，供应压力逐渐增加；中游库存反复变动，绝对值仍处高位，尽管进口量环比出现一定下滑，但去化难度加大。需求端来看，下游轮胎企业开工率处于高位，但内销市场出货偏慢，导致全钢胎成品库存小幅提升，因此短期开工率继续提升的空间有限。消息层面，据市场传闻国储或先进行老胶抛储，数量和单价暂时未知。短期随着轮储信息初步明朗，前期市场的炒作情绪或逐步降温。而在橡胶基本面依旧弱势的情况下，同时近端09合约高价差矛盾没有解决下，整体盘面依旧维持偏弱表现。但当前胶价已接近成本线，下调空间不足，若无明显利好指引，仍较维持低位震荡。操作上，短期建议观望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186674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63EF8" w:rsidRPr="00E63EF8">
        <w:rPr>
          <w:rFonts w:ascii="楷体" w:eastAsia="楷体" w:hAnsi="楷体" w:hint="eastAsia"/>
          <w:b/>
          <w:color w:val="000000" w:themeColor="text1"/>
          <w:sz w:val="24"/>
          <w:szCs w:val="24"/>
        </w:rPr>
        <w:t>成本驱动期价走势波动</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E63EF8" w:rsidP="002C73FE">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原油方面，7月减产利好叠加汽油需求处于季节性峰值阶段，API原油库存去化短期盘面支撑较强。关注本周OPEC+部长级会议沙特是否延长自愿减产。PTA供给方面，嘉兴石化，能投装置重启，独山能源检修，个别装置负荷小幅波动，PTA负荷提升至79.3%（+1%）。需求方面，本周有检修装置开启，此外部分装置负荷调整，聚酯负荷再度回升。截至7.27初步核算国内大陆地区聚酯负荷在93.5%附近，江浙终端开工率变化不大。市场对9-10月份旺季有预期，低库存下预计7月聚酯不会轻易减停产。展望后市，海外出行旺季下PXN难压缩，聚酯因库存低位高开工维持需求韧性尚可。近期PTA装置加工费压缩至200元/吨附近，港口台风等因素影响及低工费下或有计划外减停，PTA供应存收缩预期。成本端PX偏强及聚酯高开工提振，PTA短期走势仍震荡偏强。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1866750"/>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1866751"/>
      <w:r>
        <w:rPr>
          <w:rFonts w:ascii="楷体" w:eastAsia="楷体" w:hAnsi="楷体" w:hint="eastAsia"/>
          <w:b/>
          <w:color w:val="000000" w:themeColor="text1"/>
          <w:sz w:val="24"/>
          <w:szCs w:val="24"/>
        </w:rPr>
        <w:t>聚烯烃：</w:t>
      </w:r>
      <w:r w:rsidR="00E63EF8" w:rsidRPr="00E63EF8">
        <w:rPr>
          <w:rFonts w:ascii="楷体" w:eastAsia="楷体" w:hAnsi="楷体" w:hint="eastAsia"/>
          <w:b/>
          <w:color w:val="000000" w:themeColor="text1"/>
          <w:sz w:val="24"/>
          <w:szCs w:val="24"/>
        </w:rPr>
        <w:t>宏观与需求面稍有好转，聚烯烃进入偏强震荡阶段</w:t>
      </w:r>
      <w:bookmarkEnd w:id="40"/>
    </w:p>
    <w:p w:rsidR="003F56A5" w:rsidRDefault="00E63EF8">
      <w:pPr>
        <w:ind w:leftChars="300" w:left="630"/>
        <w:rPr>
          <w:rFonts w:ascii="楷体" w:eastAsia="楷体" w:hAnsi="楷体"/>
          <w:bCs/>
          <w:sz w:val="24"/>
          <w:szCs w:val="24"/>
        </w:rPr>
      </w:pPr>
      <w:r w:rsidRPr="00E63EF8">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元汇率增强，原油期货交易商获利回吐，欧美原油期货小幅下跌。美国经济数据疲弱也打压石油市场气氛，欧美原油期货小幅收低。需求方面，PE下游方面，农膜整体需求平平，工厂生产清淡。棚膜工厂多停机检修；PP下游方面，BOPP市场成交刚需有量，整体量较上一交易日增加，BOPP企业未交付订单多数在一周以内，个别可至八月上旬。综合来看，PE方面，月初阶段市场积极出货，市场价格走强。虽然大庆石化等装置陆续恢复重启，但短期市场供应增量有限。预计短期聚乙烯现货价格延续震荡趋势。PP方面，目前成本与宏观对于价格尚有支撑，今日PP或延续偏强运行态势，重点关注需求端恢复情况</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1866752"/>
      <w:r>
        <w:rPr>
          <w:rFonts w:ascii="楷体" w:eastAsia="楷体" w:hAnsi="楷体" w:hint="eastAsia"/>
          <w:b/>
          <w:color w:val="000000" w:themeColor="text1"/>
          <w:sz w:val="24"/>
          <w:szCs w:val="24"/>
        </w:rPr>
        <w:t>MEG：</w:t>
      </w:r>
      <w:r w:rsidR="00E63EF8" w:rsidRPr="00E63EF8">
        <w:rPr>
          <w:rFonts w:ascii="楷体" w:eastAsia="楷体" w:hAnsi="楷体" w:hint="eastAsia"/>
          <w:b/>
          <w:color w:val="000000" w:themeColor="text1"/>
          <w:sz w:val="24"/>
          <w:szCs w:val="24"/>
        </w:rPr>
        <w:t>计划检修增多 关注低多机会</w:t>
      </w:r>
      <w:bookmarkEnd w:id="41"/>
    </w:p>
    <w:p w:rsidR="003F56A5" w:rsidRDefault="00E63EF8" w:rsidP="00115EEA">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供需情况，7.31华东主港地区MEG港口库存约108.1万吨附近，环比上期增加3.2万吨。截至7月27日，中国大陆地区乙二醇整体开工负荷在60.53%（-3.17%），卫星石化其中一线将落实检修，整体开工将适度下降。煤化工方面，煤制乙二醇开工负荷在62.87%（+0.11%）。8月通辽金煤、神华榆林以及建元装置有检修计划，浙石化降负及恒力石化减产计划，预估检修损失量在9.5万吨左右，8月份供应压力缓解。截至7.27，初步核算国内大陆地区聚酯负荷在93.5%附近。终端开工变化不大，江浙加弹综合开工率77%（+0%），江浙织机综合开工率68%（-1%），江浙印染综合开工率72%（+0%）。进出口方面，6-7月乙二醇月均进口量在60万吨附近，外盘货源陆续到港港口罐容偏紧，短期供应压力仍偏大。但四季度外盘装置检修增多，远洋供应预期收缩，乙二醇面临近弱远强的格局。展望后市，8月多套检修装置有检修或者转产计划供应压力缓解及需求端刚性支撑稳固，三季度乙二醇供需呈现紧平衡为主，关注01合约短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1866753"/>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63EF8" w:rsidRPr="00E63EF8">
        <w:rPr>
          <w:rFonts w:ascii="楷体" w:eastAsia="楷体" w:hAnsi="楷体" w:hint="eastAsia"/>
          <w:b/>
          <w:color w:val="000000" w:themeColor="text1"/>
          <w:sz w:val="24"/>
          <w:szCs w:val="24"/>
        </w:rPr>
        <w:t>政策落地加速，建议观望</w:t>
      </w:r>
      <w:bookmarkEnd w:id="42"/>
    </w:p>
    <w:p w:rsidR="00A71A7E" w:rsidRDefault="00E63EF8" w:rsidP="001F79C6">
      <w:pPr>
        <w:ind w:leftChars="300" w:left="630"/>
        <w:rPr>
          <w:rFonts w:ascii="楷体" w:eastAsia="楷体" w:hAnsi="楷体"/>
          <w:color w:val="000000" w:themeColor="text1"/>
          <w:sz w:val="24"/>
          <w:szCs w:val="24"/>
        </w:rPr>
      </w:pPr>
      <w:r w:rsidRPr="00E63EF8">
        <w:rPr>
          <w:rFonts w:ascii="楷体" w:eastAsia="楷体" w:hAnsi="楷体" w:hint="eastAsia"/>
          <w:color w:val="000000" w:themeColor="text1"/>
          <w:sz w:val="24"/>
          <w:szCs w:val="24"/>
        </w:rPr>
        <w:t>隆众资讯8月1日报道：今日浮法玻璃现货价格1914，较上一交易日+18。当前宏观政策利好频出，加上旺季有预期，盘面情绪偏强。供给端，毕节明钧一线600吨今日复产点火，需求端，近期受汛期和雨季影响，运力不畅，沙河地区停止提货，其它地区产销尚可，较周末小幅回升。政策利好+旺季预期下，原片厂开始配合以涨促销，而中间商和加工厂经过前面一轮小幅补库后，观望情绪渐浓。盘面日内大幅上涨，短期现货提涨后，情绪偏强。重点关注雨季后补库需求是否证伪以及宏观情绪是否配合。策略上，盘面已突破近期1600-1800震荡区间上沿，但持仓减量，上冲动能减弱，谨慎追高</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1866754"/>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63EF8" w:rsidRPr="00E63EF8">
        <w:rPr>
          <w:rFonts w:ascii="楷体" w:eastAsia="楷体" w:hAnsi="楷体" w:hint="eastAsia"/>
          <w:b/>
          <w:color w:val="000000" w:themeColor="text1"/>
          <w:sz w:val="24"/>
          <w:szCs w:val="24"/>
        </w:rPr>
        <w:t>现货紧张，震荡偏强</w:t>
      </w:r>
      <w:bookmarkEnd w:id="43"/>
    </w:p>
    <w:p w:rsidR="00A71A7E" w:rsidRDefault="00E63EF8" w:rsidP="00A71A7E">
      <w:pPr>
        <w:ind w:leftChars="300" w:left="630"/>
        <w:rPr>
          <w:rFonts w:ascii="楷体" w:eastAsia="楷体" w:hAnsi="楷体"/>
          <w:bCs/>
          <w:sz w:val="24"/>
          <w:szCs w:val="24"/>
        </w:rPr>
      </w:pPr>
      <w:r w:rsidRPr="00E63EF8">
        <w:rPr>
          <w:rFonts w:ascii="楷体" w:eastAsia="楷体" w:hAnsi="楷体" w:hint="eastAsia"/>
          <w:color w:val="000000" w:themeColor="text1"/>
          <w:sz w:val="24"/>
          <w:szCs w:val="24"/>
        </w:rPr>
        <w:t>隆众资讯8月1日报道：西南地区轻碱+50，送达价2200元/吨，企业产销良好。四川和邦减量运行，供应端小幅缩减，周内预计继续去库，库存有望再创新低，现货价格小幅上涨。下游企业需求稳定，刚需补库。短期来看，库存偏紧情况下，价格难跌。盘面09震荡偏强，远月合约小幅补涨。考虑到09合约持仓量大+资金炒作，尾部风险较大，到8月中以后主力向10月移仓。建议可以配合低多10月或者等待远月01合约高空机会</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186675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1866756"/>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63EF8" w:rsidRPr="00E63EF8">
        <w:rPr>
          <w:rFonts w:ascii="楷体" w:eastAsia="楷体" w:hAnsi="楷体" w:hint="eastAsia"/>
          <w:b/>
          <w:sz w:val="24"/>
          <w:szCs w:val="24"/>
        </w:rPr>
        <w:t>优良率不及预期，维持谨慎看多观点</w:t>
      </w:r>
      <w:bookmarkEnd w:id="45"/>
    </w:p>
    <w:p w:rsidR="003F56A5" w:rsidRDefault="00E63EF8">
      <w:pPr>
        <w:ind w:leftChars="300" w:left="630"/>
        <w:rPr>
          <w:rFonts w:ascii="楷体" w:eastAsia="楷体" w:hAnsi="楷体"/>
          <w:sz w:val="24"/>
          <w:szCs w:val="24"/>
        </w:rPr>
      </w:pPr>
      <w:r w:rsidRPr="00E63EF8">
        <w:rPr>
          <w:rFonts w:ascii="楷体" w:eastAsia="楷体" w:hAnsi="楷体" w:hint="eastAsia"/>
          <w:sz w:val="24"/>
          <w:szCs w:val="24"/>
        </w:rPr>
        <w:t>国际方面，因预计8月初降雨增加，天气有利于作物生长，美豆回调整理，但优良率不及预期仍构成支撑。在美豆种植面积大幅减少的背景下，7-8月生长期天气仍十分关键，虽7月美农报告仍维持52单产预期，但在天气影响下，市场认为数据过于乐观后续仍有下调风险。虽美豆前两周干旱范围收窄，但7月下旬仍存在降雨减少的情况，种植情况担忧仍存，截至7月31日当周，美国大豆优良率不及预期为52%，前一周为54%，上年同期为59%。国内市场，随着当前大豆到港量增加，油厂已基本恢复开机压榨，开机及压榨水平恢复至高位，但豆粕库存仍偏低，支撑现货报价坚挺，当前主流油厂豆粕现货报价小幅上调至4380-4460元/吨。大豆4-6月到港量较大，6月进口到港1027万吨，环比减14.5%，但对北美新作买船进度偏慢，预计7月后进口到港将逐步下滑。下游养殖利润表现仍不佳，且在杂粕替代下养殖企业等对豆粕饲用需求增量有限，但终端企业库存偏低，补库及提货需求表现较好。菜粕当前供给相对偏紧，随着6月份后菜籽到港减少，油厂压榨也在逐步下滑。而需求方面，当前为水产养殖旺季，替代需求方面，随着近期菜粕价格的上涨，替代优势减弱，但整体供需表现紧张，底部仍有支撑。策略方面，短期建议谨慎看多，建议回调企稳仍偏多参与为主，或参与9-1正套</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1866757"/>
      <w:r>
        <w:rPr>
          <w:rFonts w:ascii="楷体" w:eastAsia="楷体" w:hAnsi="楷体" w:hint="eastAsia"/>
          <w:b/>
          <w:color w:val="000000" w:themeColor="text1"/>
          <w:sz w:val="24"/>
          <w:szCs w:val="24"/>
        </w:rPr>
        <w:t>油脂：</w:t>
      </w:r>
      <w:r w:rsidR="00E63EF8" w:rsidRPr="00E63EF8">
        <w:rPr>
          <w:rFonts w:ascii="楷体" w:eastAsia="楷体" w:hAnsi="楷体" w:hint="eastAsia"/>
          <w:b/>
          <w:sz w:val="24"/>
          <w:szCs w:val="24"/>
        </w:rPr>
        <w:t>上涨乏力，短期震荡整理</w:t>
      </w:r>
      <w:bookmarkEnd w:id="46"/>
    </w:p>
    <w:p w:rsidR="003F56A5" w:rsidRDefault="00E63EF8" w:rsidP="00792D31">
      <w:pPr>
        <w:ind w:leftChars="300" w:left="630"/>
        <w:rPr>
          <w:rFonts w:ascii="楷体" w:eastAsia="楷体" w:hAnsi="楷体"/>
          <w:sz w:val="24"/>
          <w:szCs w:val="24"/>
        </w:rPr>
      </w:pPr>
      <w:r w:rsidRPr="00E63EF8">
        <w:rPr>
          <w:rFonts w:ascii="楷体" w:eastAsia="楷体" w:hAnsi="楷体" w:hint="eastAsia"/>
          <w:sz w:val="24"/>
          <w:szCs w:val="24"/>
        </w:rPr>
        <w:t>国际市场，印尼8月1日开始将全国范围内实施B35生柴掺混计划，但近</w:t>
      </w:r>
      <w:r w:rsidRPr="00E63EF8">
        <w:rPr>
          <w:rFonts w:ascii="楷体" w:eastAsia="楷体" w:hAnsi="楷体" w:hint="eastAsia"/>
          <w:sz w:val="24"/>
          <w:szCs w:val="24"/>
        </w:rPr>
        <w:lastRenderedPageBreak/>
        <w:t>日天气炒作有所降温，油脂震荡整理。但三大油脂基本面仍存在一定差异，8月份后下游双节备货或将逐步启动，对油脂构成支撑。棕榈油，印尼棕榈油5月份在供给增量大于需求下，库存持续回升，供给压力显现。但7-8月份出口税费上调，出口竞争减弱，提振马棕出口需求。据ITS公布数据显示，预计马来西亚1-31日棕榈油出口量为1238438吨，上月同期为1085920吨，环比增加14.05%。虽全球厄尔尼诺现象升温，但中期无法改变产地棕榈油累库的趋势，但产量修复进度或受天气影响，仍需持续关注。国内棕榈油在6-7月份进口增加以及需求疲软下，库存持续回升，也限制当前价格反弹空间。因前期产地报价下滑，国内进口利润有所修复，6-7月船期买船增加，最新商业库存为70.35万吨，7-8月供应预计仍较充裕。需求端，当前主要为刚需提货，关注下游备货情况。豆油延续累库趋势。随着4-7月进口大豆到港增加，油厂陆续恢复开机，当前整体开机及压榨水平稳定，在刚需补库下延续累库。需求端，8月份后下游将陆续开始为双节备货且高校等将陆续开学，需求端或能有所提振。菜油在进口菜籽减少下，供应压力减轻。当前主产地菜籽在生长期，供应处于青黄不接的阶段，全球菜籽新作产量不确定性仍存。随着后续进口加籽到港量的减少，菜籽开机及压榨水平也有所降低，6月菜籽进口环比下滑38.5%，菜油进口21万吨。需求方面，与替代油脂价差拉大，需求清淡，当前库存已逐步回落，需求修复仍待继续关注。对于油脂维持回调后轻仓低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1866758"/>
      <w:r>
        <w:rPr>
          <w:rFonts w:ascii="楷体" w:eastAsia="楷体" w:hAnsi="楷体" w:hint="eastAsia"/>
          <w:b/>
          <w:bCs/>
          <w:color w:val="000000" w:themeColor="text1"/>
        </w:rPr>
        <w:t>玉米与淀粉：</w:t>
      </w:r>
      <w:r w:rsidR="00E63EF8" w:rsidRPr="00E63EF8">
        <w:rPr>
          <w:rFonts w:ascii="楷体" w:eastAsia="楷体" w:hAnsi="楷体" w:hint="eastAsia"/>
          <w:b/>
        </w:rPr>
        <w:t>现货或带动期价继续震荡调整</w:t>
      </w:r>
      <w:bookmarkEnd w:id="47"/>
    </w:p>
    <w:p w:rsidR="00E63EF8" w:rsidRPr="00E63EF8" w:rsidRDefault="00E63EF8" w:rsidP="00E63EF8">
      <w:pPr>
        <w:pStyle w:val="paragraph"/>
        <w:spacing w:before="60" w:after="60"/>
        <w:ind w:leftChars="300" w:left="630"/>
        <w:rPr>
          <w:rFonts w:ascii="楷体" w:eastAsia="楷体" w:hAnsi="楷体" w:hint="eastAsia"/>
        </w:rPr>
      </w:pPr>
      <w:r w:rsidRPr="00E63EF8">
        <w:rPr>
          <w:rFonts w:ascii="楷体" w:eastAsia="楷体" w:hAnsi="楷体" w:hint="eastAsia"/>
        </w:rPr>
        <w:t>对于玉米而言，近期期现货回落主要源于市场对小麦饲用替代增量和陈化水稻抛储的担忧，而华北-东北和产销区玉米价差持续走扩之后，东北玉米贸易商心态松动，出货意愿增强。但在我们看来，随着陈化水稻抛储政策的落地，期价下方空间或有限，因市场消息称抛储底价上调100元，这意味着当前期价存在一定的安全边际。后期等待三个方面的上涨驱动，其一是新作产区天气炒作，其二是小麦现货上涨，其三是市场再度进入被动库存。分合约来看，旧作合约更多依赖被动补库存，否则在陈化水稻抛储的背景下，旧作合约上涨空间受限；新作合约则值得重点留意，因目前近月贴水现货，而远月贴水近月，或已经在很大程度上反映利空预期，而上述三个方面的驱动均有可能体现在新作合约上。综上所述，我们维持谨慎看多观点，建议激进投资者可以基于安全边际轻仓入场，激进投资者等待驱动出现或技术破位之后再行入场。</w:t>
      </w:r>
    </w:p>
    <w:p w:rsidR="003F56A5" w:rsidRDefault="00E63EF8" w:rsidP="00E63EF8">
      <w:pPr>
        <w:pStyle w:val="paragraph"/>
        <w:spacing w:before="60" w:beforeAutospacing="0" w:after="60" w:afterAutospacing="0"/>
        <w:ind w:leftChars="300" w:left="630"/>
        <w:rPr>
          <w:rFonts w:ascii="楷体" w:eastAsia="楷体" w:hAnsi="楷体"/>
        </w:rPr>
      </w:pPr>
      <w:r w:rsidRPr="00E63EF8">
        <w:rPr>
          <w:rFonts w:ascii="楷体" w:eastAsia="楷体" w:hAnsi="楷体" w:hint="eastAsia"/>
        </w:rPr>
        <w:t>对于淀粉而言，近期淀粉-玉米价差波动幅度不大，主要源于市场多空交织，利空因素有二，其一是副产品价格，受蛋白粕带动淀粉副产品价格大幅反弹，淀粉期现货生产利润改善，有望带动行业开机率回升；其二是需求端的季节性因素，在旺季备货之后或步入一段时间的需求低迷期。而利多因素同样源于两个方面，其一是原料成本端的担忧；其二是现货带来的基差支撑。在这种情况下，我们建议淀粉-玉米价差离场后观望为宜，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1866759"/>
      <w:r>
        <w:rPr>
          <w:rFonts w:ascii="楷体" w:eastAsia="楷体" w:hAnsi="楷体" w:hint="eastAsia"/>
          <w:b/>
          <w:bCs/>
          <w:color w:val="000000" w:themeColor="text1"/>
        </w:rPr>
        <w:t>畜禽养殖：</w:t>
      </w:r>
      <w:r w:rsidR="00E63EF8" w:rsidRPr="00E63EF8">
        <w:rPr>
          <w:rFonts w:ascii="楷体" w:eastAsia="楷体" w:hAnsi="楷体" w:hint="eastAsia"/>
          <w:b/>
          <w:bCs/>
          <w:color w:val="000000" w:themeColor="text1"/>
        </w:rPr>
        <w:t>鸡蛋期价近强远弱</w:t>
      </w:r>
      <w:bookmarkEnd w:id="48"/>
    </w:p>
    <w:p w:rsidR="00E63EF8" w:rsidRPr="00E63EF8" w:rsidRDefault="00E63EF8" w:rsidP="00E63EF8">
      <w:pPr>
        <w:pStyle w:val="paragraph"/>
        <w:spacing w:before="60" w:after="60"/>
        <w:ind w:leftChars="300" w:left="630"/>
        <w:rPr>
          <w:rFonts w:ascii="楷体" w:eastAsia="楷体" w:hAnsi="楷体" w:hint="eastAsia"/>
        </w:rPr>
      </w:pPr>
      <w:r w:rsidRPr="00E63EF8">
        <w:rPr>
          <w:rFonts w:ascii="楷体" w:eastAsia="楷体" w:hAnsi="楷体" w:hint="eastAsia"/>
        </w:rPr>
        <w:lastRenderedPageBreak/>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值得重点关注的因素有二，其一是生猪养殖成本线，其二是二次育肥。综上说书，维持谨慎看多观点，建议持有前期多单/择机入场做多。</w:t>
      </w:r>
    </w:p>
    <w:p w:rsidR="003F56A5" w:rsidRDefault="00E63EF8" w:rsidP="00E63EF8">
      <w:pPr>
        <w:pStyle w:val="paragraph"/>
        <w:spacing w:before="60" w:beforeAutospacing="0" w:after="60" w:afterAutospacing="0"/>
        <w:ind w:leftChars="300" w:left="630"/>
        <w:rPr>
          <w:rFonts w:ascii="楷体" w:eastAsia="楷体" w:hAnsi="楷体"/>
        </w:rPr>
      </w:pPr>
      <w:r w:rsidRPr="00E63EF8">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综合来看，我们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1866760"/>
      <w:r>
        <w:rPr>
          <w:rFonts w:ascii="楷体" w:eastAsia="楷体" w:hAnsi="楷体" w:hint="eastAsia"/>
          <w:b/>
          <w:sz w:val="24"/>
          <w:szCs w:val="24"/>
        </w:rPr>
        <w:t>郑棉：</w:t>
      </w:r>
      <w:r w:rsidR="00E63EF8" w:rsidRPr="00E63EF8">
        <w:rPr>
          <w:rFonts w:ascii="楷体" w:eastAsia="楷体" w:hAnsi="楷体" w:hint="eastAsia"/>
          <w:b/>
          <w:sz w:val="24"/>
          <w:szCs w:val="24"/>
        </w:rPr>
        <w:t>09看跌期权卖权持有，01多单持有</w:t>
      </w:r>
      <w:bookmarkEnd w:id="49"/>
    </w:p>
    <w:p w:rsidR="003F56A5" w:rsidRDefault="00E63EF8" w:rsidP="007B3290">
      <w:pPr>
        <w:ind w:leftChars="300" w:left="630"/>
        <w:rPr>
          <w:rFonts w:ascii="楷体" w:eastAsia="楷体" w:hAnsi="楷体"/>
          <w:sz w:val="24"/>
          <w:szCs w:val="24"/>
        </w:rPr>
      </w:pPr>
      <w:r w:rsidRPr="00E63EF8">
        <w:rPr>
          <w:rFonts w:ascii="楷体" w:eastAsia="楷体" w:hAnsi="楷体" w:hint="eastAsia"/>
          <w:sz w:val="24"/>
          <w:szCs w:val="24"/>
        </w:rPr>
        <w:t>抛储连续两日皆是100%成交，交易氛围维持火热。但市场此前对抛储的高成交率已有预期，火热成交情况符合预判。加价幅度较大，给予郑棉较强支撑。但突破1.75关口不易，预计本日震荡整理，多单持有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E7B" w:rsidRDefault="00170E7B">
      <w:r>
        <w:separator/>
      </w:r>
    </w:p>
  </w:endnote>
  <w:endnote w:type="continuationSeparator" w:id="0">
    <w:p w:rsidR="00170E7B" w:rsidRDefault="0017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DD08AD2" wp14:editId="246A952C">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B0F87">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2B0F87">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E7B" w:rsidRDefault="00170E7B">
      <w:r>
        <w:separator/>
      </w:r>
    </w:p>
  </w:footnote>
  <w:footnote w:type="continuationSeparator" w:id="0">
    <w:p w:rsidR="00170E7B" w:rsidRDefault="00170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48F76A7" wp14:editId="4EC7B0A5">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7E98EA1" wp14:editId="4611819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E63EF8">
      <w:rPr>
        <w:rFonts w:ascii="Times New Roman" w:eastAsia="楷体" w:hAnsi="Times New Roman" w:hint="eastAsia"/>
        <w:b/>
        <w:bCs/>
        <w:noProof/>
        <w:color w:val="833C0B"/>
        <w:sz w:val="21"/>
      </w:rPr>
      <w:t>2023</w:t>
    </w:r>
    <w:r w:rsidR="00E63EF8">
      <w:rPr>
        <w:rFonts w:ascii="Times New Roman" w:eastAsia="楷体" w:hAnsi="Times New Roman" w:hint="eastAsia"/>
        <w:b/>
        <w:bCs/>
        <w:noProof/>
        <w:color w:val="833C0B"/>
        <w:sz w:val="21"/>
      </w:rPr>
      <w:t>年</w:t>
    </w:r>
    <w:r w:rsidR="00E63EF8">
      <w:rPr>
        <w:rFonts w:ascii="Times New Roman" w:eastAsia="楷体" w:hAnsi="Times New Roman" w:hint="eastAsia"/>
        <w:b/>
        <w:bCs/>
        <w:noProof/>
        <w:color w:val="833C0B"/>
        <w:sz w:val="21"/>
      </w:rPr>
      <w:t>8</w:t>
    </w:r>
    <w:r w:rsidR="00E63EF8">
      <w:rPr>
        <w:rFonts w:ascii="Times New Roman" w:eastAsia="楷体" w:hAnsi="Times New Roman" w:hint="eastAsia"/>
        <w:b/>
        <w:bCs/>
        <w:noProof/>
        <w:color w:val="833C0B"/>
        <w:sz w:val="21"/>
      </w:rPr>
      <w:t>月</w:t>
    </w:r>
    <w:r w:rsidR="00E63EF8">
      <w:rPr>
        <w:rFonts w:ascii="Times New Roman" w:eastAsia="楷体" w:hAnsi="Times New Roman" w:hint="eastAsia"/>
        <w:b/>
        <w:bCs/>
        <w:noProof/>
        <w:color w:val="833C0B"/>
        <w:sz w:val="21"/>
      </w:rPr>
      <w:t>2</w:t>
    </w:r>
    <w:r w:rsidR="00E63EF8">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D7D0A"/>
    <w:rsid w:val="001F5438"/>
    <w:rsid w:val="001F79C6"/>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23FF"/>
    <w:rsid w:val="00357545"/>
    <w:rsid w:val="00370D25"/>
    <w:rsid w:val="00371ED6"/>
    <w:rsid w:val="00374836"/>
    <w:rsid w:val="00375F0B"/>
    <w:rsid w:val="00376AF1"/>
    <w:rsid w:val="00380E38"/>
    <w:rsid w:val="0038626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1926"/>
    <w:rsid w:val="004A382D"/>
    <w:rsid w:val="004A3F85"/>
    <w:rsid w:val="004A65B5"/>
    <w:rsid w:val="004B4D4D"/>
    <w:rsid w:val="004C11A7"/>
    <w:rsid w:val="004C5F3F"/>
    <w:rsid w:val="004D0484"/>
    <w:rsid w:val="004D6F74"/>
    <w:rsid w:val="004E3A10"/>
    <w:rsid w:val="004E58A5"/>
    <w:rsid w:val="004E6093"/>
    <w:rsid w:val="005145ED"/>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5214"/>
    <w:rsid w:val="006A6067"/>
    <w:rsid w:val="006A7A79"/>
    <w:rsid w:val="006B4A5D"/>
    <w:rsid w:val="006D21ED"/>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1DB9"/>
    <w:rsid w:val="007C2FD2"/>
    <w:rsid w:val="007C7B84"/>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23AA"/>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18A2"/>
    <w:rsid w:val="00B133D0"/>
    <w:rsid w:val="00B15418"/>
    <w:rsid w:val="00B17165"/>
    <w:rsid w:val="00B1737C"/>
    <w:rsid w:val="00B1758C"/>
    <w:rsid w:val="00B17639"/>
    <w:rsid w:val="00B23E58"/>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47F2"/>
    <w:rsid w:val="00C66C6C"/>
    <w:rsid w:val="00C70FDD"/>
    <w:rsid w:val="00C80C0D"/>
    <w:rsid w:val="00C82E4D"/>
    <w:rsid w:val="00C91234"/>
    <w:rsid w:val="00C93E36"/>
    <w:rsid w:val="00CA1C01"/>
    <w:rsid w:val="00CB0962"/>
    <w:rsid w:val="00CB1AC3"/>
    <w:rsid w:val="00CB1F18"/>
    <w:rsid w:val="00CB2FD2"/>
    <w:rsid w:val="00CB3015"/>
    <w:rsid w:val="00CB60E6"/>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622ED"/>
    <w:rsid w:val="00F65EEA"/>
    <w:rsid w:val="00F776D3"/>
    <w:rsid w:val="00F90537"/>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F2C89"/>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2DC80-3FA1-46A1-A549-8A9FE4ED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3281</TotalTime>
  <Pages>9</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52</cp:revision>
  <cp:lastPrinted>2023-06-08T02:23:00Z</cp:lastPrinted>
  <dcterms:created xsi:type="dcterms:W3CDTF">2022-11-15T10:06:00Z</dcterms:created>
  <dcterms:modified xsi:type="dcterms:W3CDTF">2023-08-02T03:04:00Z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