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32BB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F32BBA" w:rsidRPr="00FA1032">
            <w:rPr>
              <w:rStyle w:val="a9"/>
              <w:noProof/>
            </w:rPr>
            <w:fldChar w:fldCharType="begin"/>
          </w:r>
          <w:r w:rsidR="00F32BBA" w:rsidRPr="00FA1032">
            <w:rPr>
              <w:rStyle w:val="a9"/>
              <w:noProof/>
            </w:rPr>
            <w:instrText xml:space="preserve"> </w:instrText>
          </w:r>
          <w:r w:rsidR="00F32BBA">
            <w:rPr>
              <w:noProof/>
            </w:rPr>
            <w:instrText>HYPERLINK \l "_Toc141692264"</w:instrText>
          </w:r>
          <w:r w:rsidR="00F32BBA" w:rsidRPr="00FA1032">
            <w:rPr>
              <w:rStyle w:val="a9"/>
              <w:noProof/>
            </w:rPr>
            <w:instrText xml:space="preserve"> </w:instrText>
          </w:r>
          <w:r w:rsidR="00F32BBA" w:rsidRPr="00FA1032">
            <w:rPr>
              <w:rStyle w:val="a9"/>
              <w:noProof/>
            </w:rPr>
          </w:r>
          <w:r w:rsidR="00F32BBA" w:rsidRPr="00FA1032">
            <w:rPr>
              <w:rStyle w:val="a9"/>
              <w:noProof/>
            </w:rPr>
            <w:fldChar w:fldCharType="separate"/>
          </w:r>
          <w:r w:rsidR="00F32BBA" w:rsidRPr="00FA1032">
            <w:rPr>
              <w:rStyle w:val="a9"/>
              <w:rFonts w:ascii="Times New Roman" w:eastAsia="楷体" w:hAnsi="Times New Roman"/>
              <w:b/>
              <w:noProof/>
            </w:rPr>
            <w:t>[</w:t>
          </w:r>
          <w:r w:rsidR="00F32BBA" w:rsidRPr="00FA1032">
            <w:rPr>
              <w:rStyle w:val="a9"/>
              <w:rFonts w:ascii="Times New Roman" w:eastAsia="楷体" w:hAnsi="Times New Roman"/>
              <w:b/>
              <w:noProof/>
            </w:rPr>
            <w:t>金融</w:t>
          </w:r>
          <w:r w:rsidR="00F32BBA" w:rsidRPr="00FA1032">
            <w:rPr>
              <w:rStyle w:val="a9"/>
              <w:rFonts w:ascii="Times New Roman" w:eastAsia="楷体" w:hAnsi="Times New Roman"/>
              <w:b/>
              <w:noProof/>
            </w:rPr>
            <w:t>]</w:t>
          </w:r>
          <w:r w:rsidR="00F32BBA" w:rsidRPr="00FA1032">
            <w:rPr>
              <w:rStyle w:val="a9"/>
              <w:noProof/>
            </w:rPr>
            <w:fldChar w:fldCharType="end"/>
          </w:r>
        </w:p>
        <w:p w:rsidR="00F32BBA" w:rsidRDefault="00F32BBA">
          <w:pPr>
            <w:pStyle w:val="23"/>
            <w:tabs>
              <w:tab w:val="right" w:leader="dot" w:pos="8296"/>
            </w:tabs>
            <w:rPr>
              <w:rFonts w:eastAsiaTheme="minorEastAsia"/>
              <w:noProof/>
              <w:szCs w:val="22"/>
            </w:rPr>
          </w:pPr>
          <w:hyperlink w:anchor="_Toc141692265" w:history="1">
            <w:r w:rsidRPr="00FA1032">
              <w:rPr>
                <w:rStyle w:val="a9"/>
                <w:rFonts w:ascii="Times New Roman" w:eastAsia="楷体" w:hAnsi="Times New Roman"/>
                <w:b/>
                <w:noProof/>
              </w:rPr>
              <w:t>股指：多单持有</w:t>
            </w:r>
          </w:hyperlink>
        </w:p>
        <w:p w:rsidR="00F32BBA" w:rsidRDefault="00F32BBA">
          <w:pPr>
            <w:pStyle w:val="11"/>
            <w:tabs>
              <w:tab w:val="right" w:leader="dot" w:pos="8296"/>
            </w:tabs>
            <w:rPr>
              <w:rFonts w:eastAsiaTheme="minorEastAsia"/>
              <w:noProof/>
              <w:szCs w:val="22"/>
            </w:rPr>
          </w:pPr>
          <w:hyperlink w:anchor="_Toc141692266" w:history="1">
            <w:r w:rsidRPr="00FA1032">
              <w:rPr>
                <w:rStyle w:val="a9"/>
                <w:rFonts w:ascii="Times New Roman" w:eastAsia="楷体" w:hAnsi="Times New Roman"/>
                <w:b/>
                <w:noProof/>
              </w:rPr>
              <w:t>[</w:t>
            </w:r>
            <w:r w:rsidRPr="00FA1032">
              <w:rPr>
                <w:rStyle w:val="a9"/>
                <w:rFonts w:ascii="Times New Roman" w:eastAsia="楷体" w:hAnsi="Times New Roman"/>
                <w:b/>
                <w:noProof/>
              </w:rPr>
              <w:t>贵金属</w:t>
            </w:r>
            <w:r w:rsidRPr="00FA1032">
              <w:rPr>
                <w:rStyle w:val="a9"/>
                <w:rFonts w:ascii="Times New Roman" w:eastAsia="楷体" w:hAnsi="Times New Roman"/>
                <w:b/>
                <w:noProof/>
              </w:rPr>
              <w:t>]</w:t>
            </w:r>
          </w:hyperlink>
        </w:p>
        <w:p w:rsidR="00F32BBA" w:rsidRDefault="00F32BBA">
          <w:pPr>
            <w:pStyle w:val="23"/>
            <w:tabs>
              <w:tab w:val="right" w:leader="dot" w:pos="8296"/>
            </w:tabs>
            <w:rPr>
              <w:rFonts w:eastAsiaTheme="minorEastAsia"/>
              <w:noProof/>
              <w:szCs w:val="22"/>
            </w:rPr>
          </w:pPr>
          <w:hyperlink w:anchor="_Toc141692267" w:history="1">
            <w:r w:rsidRPr="00FA1032">
              <w:rPr>
                <w:rStyle w:val="a9"/>
                <w:rFonts w:ascii="Times New Roman" w:eastAsia="楷体" w:hAnsi="Times New Roman"/>
                <w:b/>
                <w:noProof/>
              </w:rPr>
              <w:t>贵金属：美国</w:t>
            </w:r>
            <w:r w:rsidRPr="00FA1032">
              <w:rPr>
                <w:rStyle w:val="a9"/>
                <w:rFonts w:ascii="Times New Roman" w:eastAsia="楷体" w:hAnsi="Times New Roman"/>
                <w:b/>
                <w:noProof/>
              </w:rPr>
              <w:t>PCE</w:t>
            </w:r>
            <w:r w:rsidRPr="00FA1032">
              <w:rPr>
                <w:rStyle w:val="a9"/>
                <w:rFonts w:ascii="Times New Roman" w:eastAsia="楷体" w:hAnsi="Times New Roman"/>
                <w:b/>
                <w:noProof/>
              </w:rPr>
              <w:t>通胀下行，贵金属价格窄幅震荡</w:t>
            </w:r>
          </w:hyperlink>
        </w:p>
        <w:p w:rsidR="00F32BBA" w:rsidRDefault="00F32BBA">
          <w:pPr>
            <w:pStyle w:val="11"/>
            <w:tabs>
              <w:tab w:val="right" w:leader="dot" w:pos="8296"/>
            </w:tabs>
            <w:rPr>
              <w:rFonts w:eastAsiaTheme="minorEastAsia"/>
              <w:noProof/>
              <w:szCs w:val="22"/>
            </w:rPr>
          </w:pPr>
          <w:hyperlink w:anchor="_Toc141692268" w:history="1">
            <w:r w:rsidRPr="00FA1032">
              <w:rPr>
                <w:rStyle w:val="a9"/>
                <w:rFonts w:ascii="Times New Roman" w:eastAsia="楷体" w:hAnsi="Times New Roman"/>
                <w:b/>
                <w:noProof/>
              </w:rPr>
              <w:t>[</w:t>
            </w:r>
            <w:r w:rsidRPr="00FA1032">
              <w:rPr>
                <w:rStyle w:val="a9"/>
                <w:rFonts w:ascii="Times New Roman" w:eastAsia="楷体" w:hAnsi="Times New Roman"/>
                <w:b/>
                <w:noProof/>
              </w:rPr>
              <w:t>金属</w:t>
            </w:r>
            <w:r w:rsidRPr="00FA1032">
              <w:rPr>
                <w:rStyle w:val="a9"/>
                <w:rFonts w:ascii="Times New Roman" w:eastAsia="楷体" w:hAnsi="Times New Roman"/>
                <w:b/>
                <w:noProof/>
              </w:rPr>
              <w:t>]</w:t>
            </w:r>
          </w:hyperlink>
        </w:p>
        <w:p w:rsidR="00F32BBA" w:rsidRDefault="00F32BBA">
          <w:pPr>
            <w:pStyle w:val="23"/>
            <w:tabs>
              <w:tab w:val="right" w:leader="dot" w:pos="8296"/>
            </w:tabs>
            <w:rPr>
              <w:rFonts w:eastAsiaTheme="minorEastAsia"/>
              <w:noProof/>
              <w:szCs w:val="22"/>
            </w:rPr>
          </w:pPr>
          <w:hyperlink w:anchor="_Toc141692269" w:history="1">
            <w:r w:rsidRPr="00FA1032">
              <w:rPr>
                <w:rStyle w:val="a9"/>
                <w:rFonts w:ascii="楷体" w:eastAsia="楷体" w:hAnsi="楷体"/>
                <w:b/>
                <w:noProof/>
              </w:rPr>
              <w:t>碳酸锂：期价宽幅震荡，现货延续下跌</w:t>
            </w:r>
          </w:hyperlink>
        </w:p>
        <w:p w:rsidR="00F32BBA" w:rsidRDefault="00F32BBA">
          <w:pPr>
            <w:pStyle w:val="23"/>
            <w:tabs>
              <w:tab w:val="right" w:leader="dot" w:pos="8296"/>
            </w:tabs>
            <w:rPr>
              <w:rFonts w:eastAsiaTheme="minorEastAsia"/>
              <w:noProof/>
              <w:szCs w:val="22"/>
            </w:rPr>
          </w:pPr>
          <w:hyperlink w:anchor="_Toc141692270" w:history="1">
            <w:r w:rsidRPr="00FA1032">
              <w:rPr>
                <w:rStyle w:val="a9"/>
                <w:rFonts w:ascii="楷体" w:eastAsia="楷体" w:hAnsi="楷体"/>
                <w:b/>
                <w:noProof/>
              </w:rPr>
              <w:t>螺纹钢：预期兑现较为充分，观察现货情况</w:t>
            </w:r>
          </w:hyperlink>
        </w:p>
        <w:p w:rsidR="00F32BBA" w:rsidRDefault="00F32BBA">
          <w:pPr>
            <w:pStyle w:val="23"/>
            <w:tabs>
              <w:tab w:val="right" w:leader="dot" w:pos="8296"/>
            </w:tabs>
            <w:rPr>
              <w:rFonts w:eastAsiaTheme="minorEastAsia"/>
              <w:noProof/>
              <w:szCs w:val="22"/>
            </w:rPr>
          </w:pPr>
          <w:hyperlink w:anchor="_Toc141692271" w:history="1">
            <w:r w:rsidRPr="00FA1032">
              <w:rPr>
                <w:rStyle w:val="a9"/>
                <w:rFonts w:ascii="楷体" w:eastAsia="楷体" w:hAnsi="楷体"/>
                <w:b/>
                <w:noProof/>
              </w:rPr>
              <w:t>焦炭：预期转变，盘面下跌修复升水，等待观察现货情况</w:t>
            </w:r>
          </w:hyperlink>
        </w:p>
        <w:p w:rsidR="00F32BBA" w:rsidRDefault="00F32BBA">
          <w:pPr>
            <w:pStyle w:val="23"/>
            <w:tabs>
              <w:tab w:val="right" w:leader="dot" w:pos="8296"/>
            </w:tabs>
            <w:rPr>
              <w:rFonts w:eastAsiaTheme="minorEastAsia"/>
              <w:noProof/>
              <w:szCs w:val="22"/>
            </w:rPr>
          </w:pPr>
          <w:hyperlink w:anchor="_Toc141692272" w:history="1">
            <w:r w:rsidRPr="00FA1032">
              <w:rPr>
                <w:rStyle w:val="a9"/>
                <w:rFonts w:ascii="楷体" w:eastAsia="楷体" w:hAnsi="楷体"/>
                <w:b/>
                <w:noProof/>
              </w:rPr>
              <w:t>焦煤：煤矿复产下，投机性库存或需兑现利润，盘面领跌</w:t>
            </w:r>
          </w:hyperlink>
        </w:p>
        <w:p w:rsidR="00F32BBA" w:rsidRDefault="00F32BBA">
          <w:pPr>
            <w:pStyle w:val="23"/>
            <w:tabs>
              <w:tab w:val="right" w:leader="dot" w:pos="8296"/>
            </w:tabs>
            <w:rPr>
              <w:rFonts w:eastAsiaTheme="minorEastAsia"/>
              <w:noProof/>
              <w:szCs w:val="22"/>
            </w:rPr>
          </w:pPr>
          <w:hyperlink w:anchor="_Toc141692273" w:history="1">
            <w:r w:rsidRPr="00FA1032">
              <w:rPr>
                <w:rStyle w:val="a9"/>
                <w:rFonts w:ascii="楷体" w:eastAsia="楷体" w:hAnsi="楷体"/>
                <w:b/>
                <w:noProof/>
              </w:rPr>
              <w:t>铜：维持区间震荡偏强运行</w:t>
            </w:r>
          </w:hyperlink>
        </w:p>
        <w:p w:rsidR="00F32BBA" w:rsidRDefault="00F32BBA">
          <w:pPr>
            <w:pStyle w:val="23"/>
            <w:tabs>
              <w:tab w:val="right" w:leader="dot" w:pos="8296"/>
            </w:tabs>
            <w:rPr>
              <w:rFonts w:eastAsiaTheme="minorEastAsia"/>
              <w:noProof/>
              <w:szCs w:val="22"/>
            </w:rPr>
          </w:pPr>
          <w:hyperlink w:anchor="_Toc141692274" w:history="1">
            <w:r w:rsidRPr="00FA1032">
              <w:rPr>
                <w:rStyle w:val="a9"/>
                <w:rFonts w:ascii="楷体" w:eastAsia="楷体" w:hAnsi="楷体"/>
                <w:b/>
                <w:noProof/>
              </w:rPr>
              <w:t>铝：宏观情绪影响盘面走势，铝价高位震荡运行</w:t>
            </w:r>
          </w:hyperlink>
        </w:p>
        <w:p w:rsidR="00F32BBA" w:rsidRDefault="00F32BBA">
          <w:pPr>
            <w:pStyle w:val="23"/>
            <w:tabs>
              <w:tab w:val="right" w:leader="dot" w:pos="8296"/>
            </w:tabs>
            <w:rPr>
              <w:rFonts w:eastAsiaTheme="minorEastAsia"/>
              <w:noProof/>
              <w:szCs w:val="22"/>
            </w:rPr>
          </w:pPr>
          <w:hyperlink w:anchor="_Toc141692275" w:history="1">
            <w:r w:rsidRPr="00FA1032">
              <w:rPr>
                <w:rStyle w:val="a9"/>
                <w:rFonts w:ascii="楷体" w:eastAsia="楷体" w:hAnsi="楷体"/>
                <w:b/>
                <w:noProof/>
              </w:rPr>
              <w:t>锌：锌价偏强震荡</w:t>
            </w:r>
          </w:hyperlink>
        </w:p>
        <w:p w:rsidR="00F32BBA" w:rsidRDefault="00F32BBA">
          <w:pPr>
            <w:pStyle w:val="23"/>
            <w:tabs>
              <w:tab w:val="right" w:leader="dot" w:pos="8296"/>
            </w:tabs>
            <w:rPr>
              <w:rFonts w:eastAsiaTheme="minorEastAsia"/>
              <w:noProof/>
              <w:szCs w:val="22"/>
            </w:rPr>
          </w:pPr>
          <w:hyperlink w:anchor="_Toc141692276" w:history="1">
            <w:r w:rsidRPr="00FA1032">
              <w:rPr>
                <w:rStyle w:val="a9"/>
                <w:rFonts w:ascii="楷体" w:eastAsia="楷体" w:hAnsi="楷体"/>
                <w:b/>
                <w:noProof/>
              </w:rPr>
              <w:t>镍：低库存仍支撑价格维持区间震荡</w:t>
            </w:r>
          </w:hyperlink>
        </w:p>
        <w:p w:rsidR="00F32BBA" w:rsidRDefault="00F32BBA">
          <w:pPr>
            <w:pStyle w:val="23"/>
            <w:tabs>
              <w:tab w:val="right" w:leader="dot" w:pos="8296"/>
            </w:tabs>
            <w:rPr>
              <w:rFonts w:eastAsiaTheme="minorEastAsia"/>
              <w:noProof/>
              <w:szCs w:val="22"/>
            </w:rPr>
          </w:pPr>
          <w:hyperlink w:anchor="_Toc141692277" w:history="1">
            <w:r w:rsidRPr="00FA1032">
              <w:rPr>
                <w:rStyle w:val="a9"/>
                <w:rFonts w:ascii="楷体" w:eastAsia="楷体" w:hAnsi="楷体"/>
                <w:b/>
                <w:noProof/>
              </w:rPr>
              <w:t>铅：价格上行空间有限，价格高位震荡运行</w:t>
            </w:r>
          </w:hyperlink>
        </w:p>
        <w:p w:rsidR="00F32BBA" w:rsidRDefault="00F32BBA">
          <w:pPr>
            <w:pStyle w:val="23"/>
            <w:tabs>
              <w:tab w:val="right" w:leader="dot" w:pos="8296"/>
            </w:tabs>
            <w:rPr>
              <w:rFonts w:eastAsiaTheme="minorEastAsia"/>
              <w:noProof/>
              <w:szCs w:val="22"/>
            </w:rPr>
          </w:pPr>
          <w:hyperlink w:anchor="_Toc141692278" w:history="1">
            <w:r w:rsidRPr="00FA1032">
              <w:rPr>
                <w:rStyle w:val="a9"/>
                <w:rFonts w:ascii="楷体" w:eastAsia="楷体" w:hAnsi="楷体"/>
                <w:b/>
                <w:noProof/>
              </w:rPr>
              <w:t>不锈钢：宏观预期向好，短期不锈钢震荡重心上移</w:t>
            </w:r>
          </w:hyperlink>
        </w:p>
        <w:p w:rsidR="00F32BBA" w:rsidRDefault="00F32BBA">
          <w:pPr>
            <w:pStyle w:val="23"/>
            <w:tabs>
              <w:tab w:val="right" w:leader="dot" w:pos="8296"/>
            </w:tabs>
            <w:rPr>
              <w:rFonts w:eastAsiaTheme="minorEastAsia"/>
              <w:noProof/>
              <w:szCs w:val="22"/>
            </w:rPr>
          </w:pPr>
          <w:hyperlink w:anchor="_Toc141692279" w:history="1">
            <w:r w:rsidRPr="00FA1032">
              <w:rPr>
                <w:rStyle w:val="a9"/>
                <w:rFonts w:ascii="楷体" w:eastAsia="楷体" w:hAnsi="楷体"/>
                <w:b/>
                <w:noProof/>
              </w:rPr>
              <w:t>工业硅：供应存在扰动，预计市场震荡偏强</w:t>
            </w:r>
          </w:hyperlink>
        </w:p>
        <w:p w:rsidR="00F32BBA" w:rsidRDefault="00F32BBA">
          <w:pPr>
            <w:pStyle w:val="11"/>
            <w:tabs>
              <w:tab w:val="right" w:leader="dot" w:pos="8296"/>
            </w:tabs>
            <w:rPr>
              <w:rFonts w:eastAsiaTheme="minorEastAsia"/>
              <w:noProof/>
              <w:szCs w:val="22"/>
            </w:rPr>
          </w:pPr>
          <w:hyperlink w:anchor="_Toc141692280" w:history="1">
            <w:r w:rsidRPr="00FA1032">
              <w:rPr>
                <w:rStyle w:val="a9"/>
                <w:rFonts w:ascii="Times New Roman" w:eastAsia="楷体" w:hAnsi="Times New Roman"/>
                <w:b/>
                <w:noProof/>
              </w:rPr>
              <w:t>[</w:t>
            </w:r>
            <w:r w:rsidRPr="00FA1032">
              <w:rPr>
                <w:rStyle w:val="a9"/>
                <w:rFonts w:ascii="Times New Roman" w:eastAsia="楷体" w:hAnsi="Times New Roman"/>
                <w:b/>
                <w:noProof/>
              </w:rPr>
              <w:t>化工</w:t>
            </w:r>
            <w:r w:rsidRPr="00FA1032">
              <w:rPr>
                <w:rStyle w:val="a9"/>
                <w:rFonts w:ascii="Times New Roman" w:eastAsia="楷体" w:hAnsi="Times New Roman"/>
                <w:b/>
                <w:noProof/>
              </w:rPr>
              <w:t>]</w:t>
            </w:r>
          </w:hyperlink>
        </w:p>
        <w:p w:rsidR="00F32BBA" w:rsidRDefault="00F32BBA">
          <w:pPr>
            <w:pStyle w:val="23"/>
            <w:tabs>
              <w:tab w:val="right" w:leader="dot" w:pos="8296"/>
            </w:tabs>
            <w:rPr>
              <w:rFonts w:eastAsiaTheme="minorEastAsia"/>
              <w:noProof/>
              <w:szCs w:val="22"/>
            </w:rPr>
          </w:pPr>
          <w:hyperlink w:anchor="_Toc141692281" w:history="1">
            <w:r w:rsidRPr="00FA1032">
              <w:rPr>
                <w:rStyle w:val="a9"/>
                <w:rFonts w:ascii="Times New Roman" w:eastAsia="楷体" w:hAnsi="Times New Roman"/>
                <w:b/>
                <w:noProof/>
              </w:rPr>
              <w:t>天然橡胶</w:t>
            </w:r>
            <w:r w:rsidRPr="00FA1032">
              <w:rPr>
                <w:rStyle w:val="a9"/>
                <w:rFonts w:ascii="Times New Roman" w:eastAsia="楷体" w:hAnsi="Times New Roman"/>
                <w:b/>
                <w:noProof/>
              </w:rPr>
              <w:t>:</w:t>
            </w:r>
            <w:r w:rsidRPr="00FA1032">
              <w:rPr>
                <w:rStyle w:val="a9"/>
                <w:rFonts w:ascii="楷体" w:eastAsia="楷体" w:hAnsi="楷体"/>
                <w:b/>
                <w:noProof/>
              </w:rPr>
              <w:t xml:space="preserve"> 橡胶基本面维持弱势 短期绝对价格行情高度受限</w:t>
            </w:r>
          </w:hyperlink>
        </w:p>
        <w:p w:rsidR="00F32BBA" w:rsidRDefault="00F32BBA">
          <w:pPr>
            <w:pStyle w:val="23"/>
            <w:tabs>
              <w:tab w:val="right" w:leader="dot" w:pos="8296"/>
            </w:tabs>
            <w:rPr>
              <w:rFonts w:eastAsiaTheme="minorEastAsia"/>
              <w:noProof/>
              <w:szCs w:val="22"/>
            </w:rPr>
          </w:pPr>
          <w:hyperlink w:anchor="_Toc141692282" w:history="1">
            <w:r w:rsidRPr="00FA1032">
              <w:rPr>
                <w:rStyle w:val="a9"/>
                <w:rFonts w:ascii="楷体" w:eastAsia="楷体" w:hAnsi="楷体"/>
                <w:b/>
                <w:noProof/>
              </w:rPr>
              <w:t>PTA：成本偏强供需去库  短期走势仍偏强</w:t>
            </w:r>
          </w:hyperlink>
        </w:p>
        <w:p w:rsidR="00F32BBA" w:rsidRDefault="00F32BBA">
          <w:pPr>
            <w:pStyle w:val="23"/>
            <w:tabs>
              <w:tab w:val="right" w:leader="dot" w:pos="8296"/>
            </w:tabs>
            <w:rPr>
              <w:rFonts w:eastAsiaTheme="minorEastAsia"/>
              <w:noProof/>
              <w:szCs w:val="22"/>
            </w:rPr>
          </w:pPr>
          <w:hyperlink w:anchor="_Toc141692283" w:history="1">
            <w:r w:rsidRPr="00FA1032">
              <w:rPr>
                <w:rStyle w:val="a9"/>
                <w:rFonts w:ascii="楷体" w:eastAsia="楷体" w:hAnsi="楷体"/>
                <w:b/>
                <w:noProof/>
              </w:rPr>
              <w:t>PVC：高库存+弱复苏 驱动不足</w:t>
            </w:r>
          </w:hyperlink>
        </w:p>
        <w:p w:rsidR="00F32BBA" w:rsidRDefault="00F32BBA">
          <w:pPr>
            <w:pStyle w:val="23"/>
            <w:tabs>
              <w:tab w:val="right" w:leader="dot" w:pos="8296"/>
            </w:tabs>
            <w:rPr>
              <w:rFonts w:eastAsiaTheme="minorEastAsia"/>
              <w:noProof/>
              <w:szCs w:val="22"/>
            </w:rPr>
          </w:pPr>
          <w:hyperlink w:anchor="_Toc141692284" w:history="1">
            <w:r w:rsidRPr="00FA1032">
              <w:rPr>
                <w:rStyle w:val="a9"/>
                <w:rFonts w:ascii="楷体" w:eastAsia="楷体" w:hAnsi="楷体"/>
                <w:b/>
                <w:noProof/>
              </w:rPr>
              <w:t>聚烯烃：需求面稍有好转，聚烯烃进入震荡整理阶段</w:t>
            </w:r>
          </w:hyperlink>
        </w:p>
        <w:p w:rsidR="00F32BBA" w:rsidRDefault="00F32BBA">
          <w:pPr>
            <w:pStyle w:val="23"/>
            <w:tabs>
              <w:tab w:val="right" w:leader="dot" w:pos="8296"/>
            </w:tabs>
            <w:rPr>
              <w:rFonts w:eastAsiaTheme="minorEastAsia"/>
              <w:noProof/>
              <w:szCs w:val="22"/>
            </w:rPr>
          </w:pPr>
          <w:hyperlink w:anchor="_Toc141692285" w:history="1">
            <w:r w:rsidRPr="00FA1032">
              <w:rPr>
                <w:rStyle w:val="a9"/>
                <w:rFonts w:ascii="楷体" w:eastAsia="楷体" w:hAnsi="楷体"/>
                <w:b/>
                <w:noProof/>
              </w:rPr>
              <w:t>MEG：成本端提振 短期仍有支撑</w:t>
            </w:r>
          </w:hyperlink>
        </w:p>
        <w:p w:rsidR="00F32BBA" w:rsidRDefault="00F32BBA">
          <w:pPr>
            <w:pStyle w:val="23"/>
            <w:tabs>
              <w:tab w:val="right" w:leader="dot" w:pos="8296"/>
            </w:tabs>
            <w:rPr>
              <w:rFonts w:eastAsiaTheme="minorEastAsia"/>
              <w:noProof/>
              <w:szCs w:val="22"/>
            </w:rPr>
          </w:pPr>
          <w:hyperlink w:anchor="_Toc141692286" w:history="1">
            <w:r w:rsidRPr="00FA1032">
              <w:rPr>
                <w:rStyle w:val="a9"/>
                <w:rFonts w:ascii="楷体" w:eastAsia="楷体" w:hAnsi="楷体"/>
                <w:b/>
                <w:noProof/>
              </w:rPr>
              <w:t>玻璃：产销下滑，震荡整理</w:t>
            </w:r>
          </w:hyperlink>
        </w:p>
        <w:p w:rsidR="00F32BBA" w:rsidRDefault="00F32BBA">
          <w:pPr>
            <w:pStyle w:val="23"/>
            <w:tabs>
              <w:tab w:val="right" w:leader="dot" w:pos="8296"/>
            </w:tabs>
            <w:rPr>
              <w:rFonts w:eastAsiaTheme="minorEastAsia"/>
              <w:noProof/>
              <w:szCs w:val="22"/>
            </w:rPr>
          </w:pPr>
          <w:hyperlink w:anchor="_Toc141692287" w:history="1">
            <w:r w:rsidRPr="00FA1032">
              <w:rPr>
                <w:rStyle w:val="a9"/>
                <w:rFonts w:ascii="楷体" w:eastAsia="楷体" w:hAnsi="楷体"/>
                <w:b/>
                <w:noProof/>
              </w:rPr>
              <w:t>纯碱：日内振幅加大，多空在9-10月有分歧</w:t>
            </w:r>
          </w:hyperlink>
        </w:p>
        <w:p w:rsidR="00F32BBA" w:rsidRDefault="00F32BBA">
          <w:pPr>
            <w:pStyle w:val="11"/>
            <w:tabs>
              <w:tab w:val="right" w:leader="dot" w:pos="8296"/>
            </w:tabs>
            <w:rPr>
              <w:rFonts w:eastAsiaTheme="minorEastAsia"/>
              <w:noProof/>
              <w:szCs w:val="22"/>
            </w:rPr>
          </w:pPr>
          <w:hyperlink w:anchor="_Toc141692288" w:history="1">
            <w:r w:rsidRPr="00FA1032">
              <w:rPr>
                <w:rStyle w:val="a9"/>
                <w:rFonts w:ascii="Times New Roman" w:eastAsia="楷体" w:hAnsi="Times New Roman"/>
                <w:b/>
                <w:noProof/>
              </w:rPr>
              <w:t>[</w:t>
            </w:r>
            <w:r w:rsidRPr="00FA1032">
              <w:rPr>
                <w:rStyle w:val="a9"/>
                <w:rFonts w:ascii="Times New Roman" w:eastAsia="楷体" w:hAnsi="Times New Roman"/>
                <w:b/>
                <w:noProof/>
              </w:rPr>
              <w:t>农产品</w:t>
            </w:r>
            <w:r w:rsidRPr="00FA1032">
              <w:rPr>
                <w:rStyle w:val="a9"/>
                <w:rFonts w:ascii="Times New Roman" w:eastAsia="楷体" w:hAnsi="Times New Roman"/>
                <w:b/>
                <w:noProof/>
              </w:rPr>
              <w:t>]</w:t>
            </w:r>
          </w:hyperlink>
        </w:p>
        <w:p w:rsidR="00F32BBA" w:rsidRDefault="00F32BBA">
          <w:pPr>
            <w:pStyle w:val="23"/>
            <w:tabs>
              <w:tab w:val="right" w:leader="dot" w:pos="8296"/>
            </w:tabs>
            <w:rPr>
              <w:rFonts w:eastAsiaTheme="minorEastAsia"/>
              <w:noProof/>
              <w:szCs w:val="22"/>
            </w:rPr>
          </w:pPr>
          <w:hyperlink w:anchor="_Toc141692289" w:history="1">
            <w:r w:rsidRPr="00FA1032">
              <w:rPr>
                <w:rStyle w:val="a9"/>
                <w:rFonts w:ascii="楷体" w:eastAsia="楷体" w:hAnsi="楷体"/>
                <w:b/>
                <w:noProof/>
              </w:rPr>
              <w:t>豆粕/菜粕：维持谨慎看多观点</w:t>
            </w:r>
          </w:hyperlink>
        </w:p>
        <w:p w:rsidR="00F32BBA" w:rsidRDefault="00F32BBA">
          <w:pPr>
            <w:pStyle w:val="23"/>
            <w:tabs>
              <w:tab w:val="right" w:leader="dot" w:pos="8296"/>
            </w:tabs>
            <w:rPr>
              <w:rFonts w:eastAsiaTheme="minorEastAsia"/>
              <w:noProof/>
              <w:szCs w:val="22"/>
            </w:rPr>
          </w:pPr>
          <w:hyperlink w:anchor="_Toc141692290" w:history="1">
            <w:r w:rsidRPr="00FA1032">
              <w:rPr>
                <w:rStyle w:val="a9"/>
                <w:rFonts w:ascii="楷体" w:eastAsia="楷体" w:hAnsi="楷体"/>
                <w:b/>
                <w:noProof/>
              </w:rPr>
              <w:t>油脂：维持宽幅震荡</w:t>
            </w:r>
          </w:hyperlink>
        </w:p>
        <w:p w:rsidR="00F32BBA" w:rsidRDefault="00F32BBA">
          <w:pPr>
            <w:pStyle w:val="23"/>
            <w:tabs>
              <w:tab w:val="right" w:leader="dot" w:pos="8296"/>
            </w:tabs>
            <w:rPr>
              <w:rFonts w:eastAsiaTheme="minorEastAsia"/>
              <w:noProof/>
              <w:szCs w:val="22"/>
            </w:rPr>
          </w:pPr>
          <w:hyperlink w:anchor="_Toc141692291" w:history="1">
            <w:r w:rsidRPr="00FA1032">
              <w:rPr>
                <w:rStyle w:val="a9"/>
                <w:rFonts w:ascii="楷体" w:eastAsia="楷体" w:hAnsi="楷体"/>
                <w:b/>
                <w:bCs/>
                <w:noProof/>
              </w:rPr>
              <w:t>玉米与淀粉：</w:t>
            </w:r>
            <w:r w:rsidRPr="00FA1032">
              <w:rPr>
                <w:rStyle w:val="a9"/>
                <w:rFonts w:ascii="楷体" w:eastAsia="楷体" w:hAnsi="楷体"/>
                <w:b/>
                <w:noProof/>
              </w:rPr>
              <w:t>7月期价持续回落调整</w:t>
            </w:r>
          </w:hyperlink>
        </w:p>
        <w:p w:rsidR="00F32BBA" w:rsidRDefault="00F32BBA">
          <w:pPr>
            <w:pStyle w:val="23"/>
            <w:tabs>
              <w:tab w:val="right" w:leader="dot" w:pos="8296"/>
            </w:tabs>
            <w:rPr>
              <w:rFonts w:eastAsiaTheme="minorEastAsia"/>
              <w:noProof/>
              <w:szCs w:val="22"/>
            </w:rPr>
          </w:pPr>
          <w:hyperlink w:anchor="_Toc141692292" w:history="1">
            <w:r w:rsidRPr="00FA1032">
              <w:rPr>
                <w:rStyle w:val="a9"/>
                <w:rFonts w:ascii="楷体" w:eastAsia="楷体" w:hAnsi="楷体"/>
                <w:b/>
                <w:bCs/>
                <w:noProof/>
              </w:rPr>
              <w:t>畜禽养殖：周末生猪现货继续上涨</w:t>
            </w:r>
          </w:hyperlink>
        </w:p>
        <w:p w:rsidR="00F32BBA" w:rsidRDefault="00F32BBA">
          <w:pPr>
            <w:pStyle w:val="23"/>
            <w:tabs>
              <w:tab w:val="right" w:leader="dot" w:pos="8296"/>
            </w:tabs>
            <w:rPr>
              <w:rFonts w:eastAsiaTheme="minorEastAsia"/>
              <w:noProof/>
              <w:szCs w:val="22"/>
            </w:rPr>
          </w:pPr>
          <w:hyperlink w:anchor="_Toc141692293" w:history="1">
            <w:r w:rsidRPr="00FA1032">
              <w:rPr>
                <w:rStyle w:val="a9"/>
                <w:rFonts w:ascii="楷体" w:eastAsia="楷体" w:hAnsi="楷体"/>
                <w:b/>
                <w:noProof/>
              </w:rPr>
              <w:t>郑棉：09看跌期权卖权持有，01多单持有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16922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1692265"/>
      <w:bookmarkEnd w:id="4"/>
      <w:r>
        <w:rPr>
          <w:rFonts w:ascii="Times New Roman" w:eastAsia="楷体" w:hAnsi="Times New Roman" w:hint="eastAsia"/>
          <w:b/>
          <w:color w:val="000000" w:themeColor="text1"/>
          <w:sz w:val="24"/>
          <w:szCs w:val="24"/>
        </w:rPr>
        <w:t>股指：</w:t>
      </w:r>
      <w:bookmarkEnd w:id="6"/>
      <w:bookmarkEnd w:id="7"/>
      <w:r w:rsidR="003C32DB" w:rsidRPr="003C32DB">
        <w:rPr>
          <w:rFonts w:ascii="Times New Roman" w:eastAsia="楷体" w:hAnsi="Times New Roman" w:hint="eastAsia"/>
          <w:b/>
          <w:color w:val="000000" w:themeColor="text1"/>
          <w:sz w:val="24"/>
          <w:szCs w:val="24"/>
        </w:rPr>
        <w:t>多单持有</w:t>
      </w:r>
      <w:bookmarkEnd w:id="8"/>
    </w:p>
    <w:p w:rsidR="003F56A5" w:rsidRDefault="003C32DB" w:rsidP="00D14B3E">
      <w:pPr>
        <w:ind w:leftChars="300" w:left="630"/>
        <w:rPr>
          <w:rFonts w:ascii="Times New Roman" w:eastAsia="楷体" w:hAnsi="Times New Roman"/>
          <w:color w:val="000000" w:themeColor="text1"/>
          <w:sz w:val="24"/>
          <w:szCs w:val="24"/>
        </w:rPr>
      </w:pPr>
      <w:r w:rsidRPr="003C32DB">
        <w:rPr>
          <w:rFonts w:ascii="Times New Roman" w:eastAsia="楷体" w:hAnsi="Times New Roman" w:hint="eastAsia"/>
          <w:color w:val="000000" w:themeColor="text1"/>
          <w:sz w:val="24"/>
          <w:szCs w:val="24"/>
        </w:rPr>
        <w:t>会议改善市场风险偏好，人民币汇率企稳回升，价值板块拉涨带动赚钱效应回升，市场或进入做多窗口期。风格层面，市场反弹第一阶段，交易阻力最小，机构持仓较低、</w:t>
      </w:r>
      <w:r w:rsidRPr="003C32DB">
        <w:rPr>
          <w:rFonts w:ascii="Times New Roman" w:eastAsia="楷体" w:hAnsi="Times New Roman" w:hint="eastAsia"/>
          <w:color w:val="000000" w:themeColor="text1"/>
          <w:sz w:val="24"/>
          <w:szCs w:val="24"/>
        </w:rPr>
        <w:t xml:space="preserve"> </w:t>
      </w:r>
      <w:r w:rsidRPr="003C32DB">
        <w:rPr>
          <w:rFonts w:ascii="Times New Roman" w:eastAsia="楷体" w:hAnsi="Times New Roman" w:hint="eastAsia"/>
          <w:color w:val="000000" w:themeColor="text1"/>
          <w:sz w:val="24"/>
          <w:szCs w:val="24"/>
        </w:rPr>
        <w:t>估值较低的方向受益，即低估价值搭台，指数脉冲式反弹，关注</w:t>
      </w:r>
      <w:r w:rsidRPr="003C32DB">
        <w:rPr>
          <w:rFonts w:ascii="Times New Roman" w:eastAsia="楷体" w:hAnsi="Times New Roman" w:hint="eastAsia"/>
          <w:color w:val="000000" w:themeColor="text1"/>
          <w:sz w:val="24"/>
          <w:szCs w:val="24"/>
        </w:rPr>
        <w:t xml:space="preserve"> IF</w:t>
      </w:r>
      <w:r w:rsidRPr="003C32DB">
        <w:rPr>
          <w:rFonts w:ascii="Times New Roman" w:eastAsia="楷体" w:hAnsi="Times New Roman" w:hint="eastAsia"/>
          <w:color w:val="000000" w:themeColor="text1"/>
          <w:sz w:val="24"/>
          <w:szCs w:val="24"/>
        </w:rPr>
        <w:t>、</w:t>
      </w:r>
      <w:r w:rsidRPr="003C32DB">
        <w:rPr>
          <w:rFonts w:ascii="Times New Roman" w:eastAsia="楷体" w:hAnsi="Times New Roman" w:hint="eastAsia"/>
          <w:color w:val="000000" w:themeColor="text1"/>
          <w:sz w:val="24"/>
          <w:szCs w:val="24"/>
        </w:rPr>
        <w:t xml:space="preserve">IH </w:t>
      </w:r>
      <w:r w:rsidRPr="003C32DB">
        <w:rPr>
          <w:rFonts w:ascii="Times New Roman" w:eastAsia="楷体" w:hAnsi="Times New Roman" w:hint="eastAsia"/>
          <w:color w:val="000000" w:themeColor="text1"/>
          <w:sz w:val="24"/>
          <w:szCs w:val="24"/>
        </w:rPr>
        <w:t>的</w:t>
      </w:r>
      <w:r w:rsidRPr="003C32DB">
        <w:rPr>
          <w:rFonts w:ascii="Times New Roman" w:eastAsia="楷体" w:hAnsi="Times New Roman" w:hint="eastAsia"/>
          <w:color w:val="000000" w:themeColor="text1"/>
          <w:sz w:val="24"/>
          <w:szCs w:val="24"/>
        </w:rPr>
        <w:t xml:space="preserve"> </w:t>
      </w:r>
      <w:r w:rsidRPr="003C32DB">
        <w:rPr>
          <w:rFonts w:ascii="Times New Roman" w:eastAsia="楷体" w:hAnsi="Times New Roman" w:hint="eastAsia"/>
          <w:color w:val="000000" w:themeColor="text1"/>
          <w:sz w:val="24"/>
          <w:szCs w:val="24"/>
        </w:rPr>
        <w:t>做多机会。中期进入第二阶段，考虑到经济的</w:t>
      </w:r>
      <w:r w:rsidRPr="003C32DB">
        <w:rPr>
          <w:rFonts w:ascii="Times New Roman" w:eastAsia="楷体" w:hAnsi="Times New Roman" w:hint="eastAsia"/>
          <w:color w:val="000000" w:themeColor="text1"/>
          <w:sz w:val="24"/>
          <w:szCs w:val="24"/>
        </w:rPr>
        <w:t xml:space="preserve"> U </w:t>
      </w:r>
      <w:r w:rsidRPr="003C32DB">
        <w:rPr>
          <w:rFonts w:ascii="Times New Roman" w:eastAsia="楷体" w:hAnsi="Times New Roman" w:hint="eastAsia"/>
          <w:color w:val="000000" w:themeColor="text1"/>
          <w:sz w:val="24"/>
          <w:szCs w:val="24"/>
        </w:rPr>
        <w:t>型修复，后续市场风格或</w:t>
      </w:r>
      <w:r w:rsidRPr="003C32DB">
        <w:rPr>
          <w:rFonts w:ascii="Times New Roman" w:eastAsia="楷体" w:hAnsi="Times New Roman" w:hint="eastAsia"/>
          <w:color w:val="000000" w:themeColor="text1"/>
          <w:sz w:val="24"/>
          <w:szCs w:val="24"/>
        </w:rPr>
        <w:t xml:space="preserve"> </w:t>
      </w:r>
      <w:r w:rsidRPr="003C32DB">
        <w:rPr>
          <w:rFonts w:ascii="Times New Roman" w:eastAsia="楷体" w:hAnsi="Times New Roman" w:hint="eastAsia"/>
          <w:color w:val="000000" w:themeColor="text1"/>
          <w:sz w:val="24"/>
          <w:szCs w:val="24"/>
        </w:rPr>
        <w:t>仍在成长空间和新逻辑催化，转向结构行情，则关注</w:t>
      </w:r>
      <w:r w:rsidRPr="003C32DB">
        <w:rPr>
          <w:rFonts w:ascii="Times New Roman" w:eastAsia="楷体" w:hAnsi="Times New Roman" w:hint="eastAsia"/>
          <w:color w:val="000000" w:themeColor="text1"/>
          <w:sz w:val="24"/>
          <w:szCs w:val="24"/>
        </w:rPr>
        <w:t xml:space="preserve"> IC</w:t>
      </w:r>
      <w:r w:rsidRPr="003C32DB">
        <w:rPr>
          <w:rFonts w:ascii="Times New Roman" w:eastAsia="楷体" w:hAnsi="Times New Roman" w:hint="eastAsia"/>
          <w:color w:val="000000" w:themeColor="text1"/>
          <w:sz w:val="24"/>
          <w:szCs w:val="24"/>
        </w:rPr>
        <w:t>、</w:t>
      </w:r>
      <w:r w:rsidRPr="003C32DB">
        <w:rPr>
          <w:rFonts w:ascii="Times New Roman" w:eastAsia="楷体" w:hAnsi="Times New Roman" w:hint="eastAsia"/>
          <w:color w:val="000000" w:themeColor="text1"/>
          <w:sz w:val="24"/>
          <w:szCs w:val="24"/>
        </w:rPr>
        <w:t xml:space="preserve">IM </w:t>
      </w:r>
      <w:r w:rsidRPr="003C32DB">
        <w:rPr>
          <w:rFonts w:ascii="Times New Roman" w:eastAsia="楷体" w:hAnsi="Times New Roman" w:hint="eastAsia"/>
          <w:color w:val="000000" w:themeColor="text1"/>
          <w:sz w:val="24"/>
          <w:szCs w:val="24"/>
        </w:rPr>
        <w:t>的做多机会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16922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1692267"/>
      <w:r>
        <w:rPr>
          <w:rFonts w:ascii="Times New Roman" w:eastAsia="楷体" w:hAnsi="Times New Roman" w:hint="eastAsia"/>
          <w:b/>
          <w:color w:val="000000" w:themeColor="text1"/>
          <w:sz w:val="24"/>
          <w:szCs w:val="24"/>
        </w:rPr>
        <w:t>贵金属：</w:t>
      </w:r>
      <w:r w:rsidR="00024902" w:rsidRPr="00024902">
        <w:rPr>
          <w:rFonts w:ascii="Times New Roman" w:eastAsia="楷体" w:hAnsi="Times New Roman" w:hint="eastAsia"/>
          <w:b/>
          <w:color w:val="000000" w:themeColor="text1"/>
          <w:sz w:val="24"/>
          <w:szCs w:val="24"/>
        </w:rPr>
        <w:t>美国</w:t>
      </w:r>
      <w:r w:rsidR="00024902" w:rsidRPr="00024902">
        <w:rPr>
          <w:rFonts w:ascii="Times New Roman" w:eastAsia="楷体" w:hAnsi="Times New Roman" w:hint="eastAsia"/>
          <w:b/>
          <w:color w:val="000000" w:themeColor="text1"/>
          <w:sz w:val="24"/>
          <w:szCs w:val="24"/>
        </w:rPr>
        <w:t>PCE</w:t>
      </w:r>
      <w:r w:rsidR="00024902" w:rsidRPr="00024902">
        <w:rPr>
          <w:rFonts w:ascii="Times New Roman" w:eastAsia="楷体" w:hAnsi="Times New Roman" w:hint="eastAsia"/>
          <w:b/>
          <w:color w:val="000000" w:themeColor="text1"/>
          <w:sz w:val="24"/>
          <w:szCs w:val="24"/>
        </w:rPr>
        <w:t>通胀下行，贵金属价格窄幅震荡</w:t>
      </w:r>
      <w:bookmarkEnd w:id="10"/>
    </w:p>
    <w:p w:rsidR="003F56A5" w:rsidRDefault="00024902">
      <w:pPr>
        <w:ind w:leftChars="300" w:left="630"/>
        <w:rPr>
          <w:rFonts w:ascii="Times New Roman" w:eastAsia="楷体" w:hAnsi="Times New Roman"/>
          <w:sz w:val="24"/>
          <w:szCs w:val="24"/>
        </w:rPr>
      </w:pPr>
      <w:r w:rsidRPr="00024902">
        <w:rPr>
          <w:rFonts w:ascii="Times New Roman" w:eastAsia="楷体" w:hAnsi="Times New Roman" w:hint="eastAsia"/>
          <w:color w:val="000000" w:themeColor="text1"/>
          <w:sz w:val="24"/>
          <w:szCs w:val="24"/>
        </w:rPr>
        <w:t>季度数据及高频就业数据显示美国经济、就业相对维持韧性，美国</w:t>
      </w:r>
      <w:r w:rsidRPr="00024902">
        <w:rPr>
          <w:rFonts w:ascii="Times New Roman" w:eastAsia="楷体" w:hAnsi="Times New Roman" w:hint="eastAsia"/>
          <w:color w:val="000000" w:themeColor="text1"/>
          <w:sz w:val="24"/>
          <w:szCs w:val="24"/>
        </w:rPr>
        <w:t>PCE</w:t>
      </w:r>
      <w:r w:rsidRPr="00024902">
        <w:rPr>
          <w:rFonts w:ascii="Times New Roman" w:eastAsia="楷体" w:hAnsi="Times New Roman" w:hint="eastAsia"/>
          <w:color w:val="000000" w:themeColor="text1"/>
          <w:sz w:val="24"/>
          <w:szCs w:val="24"/>
        </w:rPr>
        <w:t>通胀进一步下行，贵金属价格继上周四短线回落后，上周尾盘窄幅震荡。美国</w:t>
      </w:r>
      <w:r w:rsidRPr="00024902">
        <w:rPr>
          <w:rFonts w:ascii="Times New Roman" w:eastAsia="楷体" w:hAnsi="Times New Roman" w:hint="eastAsia"/>
          <w:color w:val="000000" w:themeColor="text1"/>
          <w:sz w:val="24"/>
          <w:szCs w:val="24"/>
        </w:rPr>
        <w:t>6</w:t>
      </w:r>
      <w:r w:rsidRPr="00024902">
        <w:rPr>
          <w:rFonts w:ascii="Times New Roman" w:eastAsia="楷体" w:hAnsi="Times New Roman" w:hint="eastAsia"/>
          <w:color w:val="000000" w:themeColor="text1"/>
          <w:sz w:val="24"/>
          <w:szCs w:val="24"/>
        </w:rPr>
        <w:t>月</w:t>
      </w:r>
      <w:r w:rsidRPr="00024902">
        <w:rPr>
          <w:rFonts w:ascii="Times New Roman" w:eastAsia="楷体" w:hAnsi="Times New Roman" w:hint="eastAsia"/>
          <w:color w:val="000000" w:themeColor="text1"/>
          <w:sz w:val="24"/>
          <w:szCs w:val="24"/>
        </w:rPr>
        <w:t>PCE</w:t>
      </w:r>
      <w:r w:rsidRPr="00024902">
        <w:rPr>
          <w:rFonts w:ascii="Times New Roman" w:eastAsia="楷体" w:hAnsi="Times New Roman" w:hint="eastAsia"/>
          <w:color w:val="000000" w:themeColor="text1"/>
          <w:sz w:val="24"/>
          <w:szCs w:val="24"/>
        </w:rPr>
        <w:t>同比增</w:t>
      </w:r>
      <w:r w:rsidRPr="00024902">
        <w:rPr>
          <w:rFonts w:ascii="Times New Roman" w:eastAsia="楷体" w:hAnsi="Times New Roman" w:hint="eastAsia"/>
          <w:color w:val="000000" w:themeColor="text1"/>
          <w:sz w:val="24"/>
          <w:szCs w:val="24"/>
        </w:rPr>
        <w:t>3%</w:t>
      </w:r>
      <w:r w:rsidRPr="00024902">
        <w:rPr>
          <w:rFonts w:ascii="Times New Roman" w:eastAsia="楷体" w:hAnsi="Times New Roman" w:hint="eastAsia"/>
          <w:color w:val="000000" w:themeColor="text1"/>
          <w:sz w:val="24"/>
          <w:szCs w:val="24"/>
        </w:rPr>
        <w:t>、环比增</w:t>
      </w:r>
      <w:r w:rsidRPr="00024902">
        <w:rPr>
          <w:rFonts w:ascii="Times New Roman" w:eastAsia="楷体" w:hAnsi="Times New Roman" w:hint="eastAsia"/>
          <w:color w:val="000000" w:themeColor="text1"/>
          <w:sz w:val="24"/>
          <w:szCs w:val="24"/>
        </w:rPr>
        <w:t>0.2%</w:t>
      </w:r>
      <w:r w:rsidRPr="00024902">
        <w:rPr>
          <w:rFonts w:ascii="Times New Roman" w:eastAsia="楷体" w:hAnsi="Times New Roman" w:hint="eastAsia"/>
          <w:color w:val="000000" w:themeColor="text1"/>
          <w:sz w:val="24"/>
          <w:szCs w:val="24"/>
        </w:rPr>
        <w:t>；核心</w:t>
      </w:r>
      <w:r w:rsidRPr="00024902">
        <w:rPr>
          <w:rFonts w:ascii="Times New Roman" w:eastAsia="楷体" w:hAnsi="Times New Roman" w:hint="eastAsia"/>
          <w:color w:val="000000" w:themeColor="text1"/>
          <w:sz w:val="24"/>
          <w:szCs w:val="24"/>
        </w:rPr>
        <w:t>PCE</w:t>
      </w:r>
      <w:r w:rsidRPr="00024902">
        <w:rPr>
          <w:rFonts w:ascii="Times New Roman" w:eastAsia="楷体" w:hAnsi="Times New Roman" w:hint="eastAsia"/>
          <w:color w:val="000000" w:themeColor="text1"/>
          <w:sz w:val="24"/>
          <w:szCs w:val="24"/>
        </w:rPr>
        <w:t>同比增</w:t>
      </w:r>
      <w:r w:rsidRPr="00024902">
        <w:rPr>
          <w:rFonts w:ascii="Times New Roman" w:eastAsia="楷体" w:hAnsi="Times New Roman" w:hint="eastAsia"/>
          <w:color w:val="000000" w:themeColor="text1"/>
          <w:sz w:val="24"/>
          <w:szCs w:val="24"/>
        </w:rPr>
        <w:t>4.1%</w:t>
      </w:r>
      <w:r w:rsidRPr="00024902">
        <w:rPr>
          <w:rFonts w:ascii="Times New Roman" w:eastAsia="楷体" w:hAnsi="Times New Roman" w:hint="eastAsia"/>
          <w:color w:val="000000" w:themeColor="text1"/>
          <w:sz w:val="24"/>
          <w:szCs w:val="24"/>
        </w:rPr>
        <w:t>、环比增</w:t>
      </w:r>
      <w:r w:rsidRPr="00024902">
        <w:rPr>
          <w:rFonts w:ascii="Times New Roman" w:eastAsia="楷体" w:hAnsi="Times New Roman" w:hint="eastAsia"/>
          <w:color w:val="000000" w:themeColor="text1"/>
          <w:sz w:val="24"/>
          <w:szCs w:val="24"/>
        </w:rPr>
        <w:t>0.2%</w:t>
      </w:r>
      <w:r w:rsidRPr="00024902">
        <w:rPr>
          <w:rFonts w:ascii="Times New Roman" w:eastAsia="楷体" w:hAnsi="Times New Roman" w:hint="eastAsia"/>
          <w:color w:val="000000" w:themeColor="text1"/>
          <w:sz w:val="24"/>
          <w:szCs w:val="24"/>
        </w:rPr>
        <w:t>。市场预计本次加息为本轮紧缩周期最后一次加息，明年二季度后有望降息。</w:t>
      </w:r>
      <w:r w:rsidRPr="00024902">
        <w:rPr>
          <w:rFonts w:ascii="Times New Roman" w:eastAsia="楷体" w:hAnsi="Times New Roman" w:hint="eastAsia"/>
          <w:color w:val="000000" w:themeColor="text1"/>
          <w:sz w:val="24"/>
          <w:szCs w:val="24"/>
        </w:rPr>
        <w:t>7</w:t>
      </w:r>
      <w:r w:rsidRPr="00024902">
        <w:rPr>
          <w:rFonts w:ascii="Times New Roman" w:eastAsia="楷体" w:hAnsi="Times New Roman" w:hint="eastAsia"/>
          <w:color w:val="000000" w:themeColor="text1"/>
          <w:sz w:val="24"/>
          <w:szCs w:val="24"/>
        </w:rPr>
        <w:t>月</w:t>
      </w:r>
      <w:r w:rsidRPr="00024902">
        <w:rPr>
          <w:rFonts w:ascii="Times New Roman" w:eastAsia="楷体" w:hAnsi="Times New Roman" w:hint="eastAsia"/>
          <w:color w:val="000000" w:themeColor="text1"/>
          <w:sz w:val="24"/>
          <w:szCs w:val="24"/>
        </w:rPr>
        <w:t>28</w:t>
      </w:r>
      <w:r w:rsidRPr="00024902">
        <w:rPr>
          <w:rFonts w:ascii="Times New Roman" w:eastAsia="楷体" w:hAnsi="Times New Roman" w:hint="eastAsia"/>
          <w:color w:val="000000" w:themeColor="text1"/>
          <w:sz w:val="24"/>
          <w:szCs w:val="24"/>
        </w:rPr>
        <w:t>日，美国华伦三州银行因资不抵债而破产，由</w:t>
      </w:r>
      <w:r w:rsidRPr="00024902">
        <w:rPr>
          <w:rFonts w:ascii="Times New Roman" w:eastAsia="楷体" w:hAnsi="Times New Roman" w:hint="eastAsia"/>
          <w:color w:val="000000" w:themeColor="text1"/>
          <w:sz w:val="24"/>
          <w:szCs w:val="24"/>
        </w:rPr>
        <w:t>FDIC</w:t>
      </w:r>
      <w:r w:rsidRPr="00024902">
        <w:rPr>
          <w:rFonts w:ascii="Times New Roman" w:eastAsia="楷体" w:hAnsi="Times New Roman" w:hint="eastAsia"/>
          <w:color w:val="000000" w:themeColor="text1"/>
          <w:sz w:val="24"/>
          <w:szCs w:val="24"/>
        </w:rPr>
        <w:t>接管。银行业风险事件带来的避险情绪或支撑贵金属价格表现，后续继续关注美国经济基本面转弱迹象，中长线看多思路不变，建议沪金、沪银逢低试多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16922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1692269"/>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期价宽幅震荡，现货延续下跌</w:t>
      </w:r>
      <w:bookmarkEnd w:id="18"/>
    </w:p>
    <w:p w:rsidR="00F50569" w:rsidRDefault="007C1DB9" w:rsidP="00F50569">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锂辉石精矿及锂云母价格小幅下跌，碳酸锂供应维持增量而下游采购相对谨慎，现货价格延续下跌。上市初期碳酸锂期货价格波动剧烈，前期大幅下跌后超跌反弹，产业链各环节谨慎观望期价后续走势，对于现货锂价的看空情绪相对浓厚。品种基本面逻辑不变，随着新扩产能逐步释放，碳酸锂供需格局或朝向供给相对宽松转变，后续思路建议仍以逢高试空为主</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1692270"/>
      <w:r>
        <w:rPr>
          <w:rFonts w:ascii="楷体" w:eastAsia="楷体" w:hAnsi="楷体" w:hint="eastAsia"/>
          <w:b/>
          <w:color w:val="000000" w:themeColor="text1"/>
          <w:sz w:val="24"/>
          <w:szCs w:val="24"/>
        </w:rPr>
        <w:t>螺纹钢：</w:t>
      </w:r>
      <w:bookmarkEnd w:id="16"/>
      <w:bookmarkEnd w:id="17"/>
      <w:r w:rsidR="00024902" w:rsidRPr="00024902">
        <w:rPr>
          <w:rFonts w:ascii="楷体" w:eastAsia="楷体" w:hAnsi="楷体" w:hint="eastAsia"/>
          <w:b/>
          <w:color w:val="000000" w:themeColor="text1"/>
          <w:sz w:val="24"/>
          <w:szCs w:val="24"/>
        </w:rPr>
        <w:t>预期兑现较为充分，观察现货情况</w:t>
      </w:r>
      <w:bookmarkEnd w:id="19"/>
    </w:p>
    <w:p w:rsidR="003F56A5" w:rsidRDefault="00024902" w:rsidP="00201944">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供需格局逐步改善，旺季前或迎来中游小补库，现实需求或成为钢价上行主驱动。短期现实压力犹存，预期定价较为充分情况，盘面升水现货较多，需求启动前或有回调压力，预计8月钢价运行区间（3750,4000）。短期或在（3800,3900）区间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1692271"/>
      <w:r>
        <w:rPr>
          <w:rFonts w:ascii="楷体" w:eastAsia="楷体" w:hAnsi="楷体" w:hint="eastAsia"/>
          <w:b/>
          <w:color w:val="000000" w:themeColor="text1"/>
          <w:sz w:val="24"/>
          <w:szCs w:val="24"/>
        </w:rPr>
        <w:t>焦炭：</w:t>
      </w:r>
      <w:bookmarkEnd w:id="20"/>
      <w:bookmarkEnd w:id="21"/>
      <w:r w:rsidR="00024902" w:rsidRPr="00024902">
        <w:rPr>
          <w:rFonts w:ascii="楷体" w:eastAsia="楷体" w:hAnsi="楷体" w:hint="eastAsia"/>
          <w:b/>
          <w:color w:val="000000" w:themeColor="text1"/>
          <w:sz w:val="24"/>
          <w:szCs w:val="24"/>
        </w:rPr>
        <w:t>预期转变，盘面下跌修复升水，等待观察现货情况</w:t>
      </w:r>
      <w:bookmarkEnd w:id="22"/>
    </w:p>
    <w:p w:rsidR="003F56A5" w:rsidRDefault="00024902" w:rsidP="00572E35">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煤矿复产及粗钢平控下，现货提涨三轮后继续上涨驱动不足，盘面领跌修复升水，焦炭期现回归，预计短期焦炭价格高位偏强震荡，可背靠前高逢高短空，预计震荡区间（2200，2300）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1692272"/>
      <w:r>
        <w:rPr>
          <w:rFonts w:ascii="楷体" w:eastAsia="楷体" w:hAnsi="楷体" w:hint="eastAsia"/>
          <w:b/>
          <w:color w:val="000000" w:themeColor="text1"/>
          <w:sz w:val="24"/>
          <w:szCs w:val="24"/>
        </w:rPr>
        <w:lastRenderedPageBreak/>
        <w:t>焦煤：</w:t>
      </w:r>
      <w:r w:rsidR="00024902" w:rsidRPr="00024902">
        <w:rPr>
          <w:rFonts w:ascii="楷体" w:eastAsia="楷体" w:hAnsi="楷体" w:hint="eastAsia"/>
          <w:b/>
          <w:sz w:val="24"/>
          <w:szCs w:val="24"/>
        </w:rPr>
        <w:t>煤矿复产下，投机性库存或需兑现利润，盘面领跌</w:t>
      </w:r>
      <w:bookmarkEnd w:id="23"/>
    </w:p>
    <w:p w:rsidR="003F56A5" w:rsidRDefault="00024902">
      <w:pPr>
        <w:ind w:leftChars="300" w:left="630"/>
        <w:rPr>
          <w:rFonts w:ascii="楷体" w:eastAsia="楷体" w:hAnsi="楷体"/>
          <w:bCs/>
          <w:sz w:val="24"/>
          <w:szCs w:val="24"/>
        </w:rPr>
      </w:pPr>
      <w:r w:rsidRPr="00024902">
        <w:rPr>
          <w:rFonts w:ascii="楷体" w:eastAsia="楷体" w:hAnsi="楷体" w:hint="eastAsia"/>
          <w:sz w:val="24"/>
          <w:szCs w:val="24"/>
        </w:rPr>
        <w:t>当前短期或持续去库，现货价格偏稳运行，平控及复产下，预期走弱，前期投机性库存或兑现利润，预计价格或在（1380,1500）区间偏强震荡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1692273"/>
      <w:r>
        <w:rPr>
          <w:rFonts w:ascii="楷体" w:eastAsia="楷体" w:hAnsi="楷体" w:hint="eastAsia"/>
          <w:b/>
          <w:color w:val="000000" w:themeColor="text1"/>
          <w:sz w:val="24"/>
          <w:szCs w:val="24"/>
        </w:rPr>
        <w:t>铜：</w:t>
      </w:r>
      <w:bookmarkEnd w:id="24"/>
      <w:bookmarkEnd w:id="25"/>
      <w:r w:rsidR="00024902" w:rsidRPr="00024902">
        <w:rPr>
          <w:rFonts w:ascii="楷体" w:eastAsia="楷体" w:hAnsi="楷体" w:hint="eastAsia"/>
          <w:b/>
          <w:color w:val="000000" w:themeColor="text1"/>
          <w:sz w:val="24"/>
          <w:szCs w:val="24"/>
        </w:rPr>
        <w:t>维持区间震荡偏强运行</w:t>
      </w:r>
      <w:bookmarkEnd w:id="26"/>
    </w:p>
    <w:p w:rsidR="00024902" w:rsidRPr="00024902" w:rsidRDefault="00024902" w:rsidP="00024902">
      <w:pPr>
        <w:ind w:leftChars="300" w:left="630"/>
        <w:rPr>
          <w:rFonts w:ascii="楷体" w:eastAsia="楷体" w:hAnsi="楷体" w:hint="eastAsia"/>
          <w:color w:val="000000" w:themeColor="text1"/>
          <w:sz w:val="24"/>
          <w:szCs w:val="24"/>
        </w:rPr>
      </w:pPr>
      <w:r w:rsidRPr="00024902">
        <w:rPr>
          <w:rFonts w:ascii="楷体" w:eastAsia="楷体" w:hAnsi="楷体" w:hint="eastAsia"/>
          <w:color w:val="000000" w:themeColor="text1"/>
          <w:sz w:val="24"/>
          <w:szCs w:val="24"/>
        </w:rPr>
        <w:t>(1)库存：7月28日，SHFE周库存61290吨，较上周五减16608吨；LME仓单库存64425吨，较上周五增4525吨。</w:t>
      </w:r>
    </w:p>
    <w:p w:rsidR="00024902" w:rsidRPr="00024902" w:rsidRDefault="00024902" w:rsidP="00024902">
      <w:pPr>
        <w:ind w:leftChars="300" w:left="630"/>
        <w:rPr>
          <w:rFonts w:ascii="楷体" w:eastAsia="楷体" w:hAnsi="楷体" w:hint="eastAsia"/>
          <w:color w:val="000000" w:themeColor="text1"/>
          <w:sz w:val="24"/>
          <w:szCs w:val="24"/>
        </w:rPr>
      </w:pPr>
      <w:r w:rsidRPr="00024902">
        <w:rPr>
          <w:rFonts w:ascii="楷体" w:eastAsia="楷体" w:hAnsi="楷体" w:hint="eastAsia"/>
          <w:color w:val="000000" w:themeColor="text1"/>
          <w:sz w:val="24"/>
          <w:szCs w:val="24"/>
        </w:rPr>
        <w:t>(2)精废价差：7月28日，Mysteel精废价差1424，收窄358。目前价差在合理价差1388之上。</w:t>
      </w:r>
    </w:p>
    <w:p w:rsidR="00024902" w:rsidRPr="00024902" w:rsidRDefault="00024902" w:rsidP="00024902">
      <w:pPr>
        <w:ind w:leftChars="300" w:left="630"/>
        <w:rPr>
          <w:rFonts w:ascii="楷体" w:eastAsia="楷体" w:hAnsi="楷体"/>
          <w:color w:val="000000" w:themeColor="text1"/>
          <w:sz w:val="24"/>
          <w:szCs w:val="24"/>
        </w:rPr>
      </w:pPr>
    </w:p>
    <w:p w:rsidR="00127803" w:rsidRPr="00127803" w:rsidRDefault="00024902" w:rsidP="00024902">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综述：美国近期公布的二季度GDP，和消费就业数据均表现良好，美国经济软着陆预期增强，国内重要会议释放超预期信号增强市场信心，整体宏观氛围偏积极，基本面来看，供需有宽松预期，但低库存仍提供支撑，预计铜价维持区间震荡偏强运行，参考68000-71000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1692274"/>
      <w:r>
        <w:rPr>
          <w:rFonts w:ascii="楷体" w:eastAsia="楷体" w:hAnsi="楷体" w:hint="eastAsia"/>
          <w:b/>
          <w:color w:val="000000" w:themeColor="text1"/>
          <w:sz w:val="24"/>
          <w:szCs w:val="24"/>
        </w:rPr>
        <w:t>铝：</w:t>
      </w:r>
      <w:bookmarkEnd w:id="27"/>
      <w:bookmarkEnd w:id="28"/>
      <w:r w:rsidR="00024902" w:rsidRPr="00024902">
        <w:rPr>
          <w:rFonts w:ascii="楷体" w:eastAsia="楷体" w:hAnsi="楷体" w:hint="eastAsia"/>
          <w:b/>
          <w:color w:val="000000" w:themeColor="text1"/>
          <w:sz w:val="24"/>
          <w:szCs w:val="24"/>
        </w:rPr>
        <w:t>宏观情绪影响盘面走势，铝价高位震荡运行</w:t>
      </w:r>
      <w:bookmarkEnd w:id="29"/>
    </w:p>
    <w:p w:rsidR="003F56A5" w:rsidRDefault="00024902" w:rsidP="00127803">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宏观情绪偏多，市场整体交投情绪走暖，近期铝市价格走向多受宏观情绪主导，基本面上看，供应端有西南地区电解铝复产增量，需求端有政策利多刺激带来的订单改善，目前供应暂无明显过剩，需求表现仍有支撑，而政策面的需求改善仍待现实证伪，铝市价格维持震荡运行，震荡区间在17000-19000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1692275"/>
      <w:r>
        <w:rPr>
          <w:rFonts w:ascii="楷体" w:eastAsia="楷体" w:hAnsi="楷体" w:hint="eastAsia"/>
          <w:b/>
          <w:color w:val="000000" w:themeColor="text1"/>
          <w:sz w:val="24"/>
          <w:szCs w:val="24"/>
        </w:rPr>
        <w:t>锌：</w:t>
      </w:r>
      <w:r w:rsidR="00024902" w:rsidRPr="00024902">
        <w:rPr>
          <w:rFonts w:ascii="楷体" w:eastAsia="楷体" w:hAnsi="楷体" w:hint="eastAsia"/>
          <w:b/>
          <w:color w:val="000000" w:themeColor="text1"/>
          <w:sz w:val="24"/>
          <w:szCs w:val="24"/>
        </w:rPr>
        <w:t>锌价偏强震荡</w:t>
      </w:r>
      <w:bookmarkEnd w:id="30"/>
    </w:p>
    <w:p w:rsidR="003F56A5" w:rsidRDefault="00024902" w:rsidP="000B0648">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美国通胀走弱，强化联储加息进入尾声的预期，国内经济会议针对地产、地方债、资本运营等方面均有超预期乐观表述，市场交投情绪偏热。6月国内精炼锌产量走低但仍在季节性偏高位置，原料市场较为宽裕，产量环比回落程度不及预期，7、8月仍为需求淡季，国内冶炼企业多计划检修，精炼锌产出或边际缩量，但在冶炼利润修复的情况之下，产量收缩程度有限。整体来看，锌的基本面格局仍偏向供应过剩、需求弱修复，但受宏观情绪影响近期走势震荡偏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1692276"/>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169227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价格上行空间有限，价格高位震荡运行</w:t>
      </w:r>
      <w:bookmarkEnd w:id="32"/>
    </w:p>
    <w:p w:rsidR="008B13D2" w:rsidRPr="008B13D2" w:rsidRDefault="007C1DB9" w:rsidP="008B13D2">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废电瓶高位盘整为主，原料供应偏紧，高成本为铅价提供一定支撑；原生铅企业检修影响降低，铅锭供应阶段性恢复；再生铅利润边际好转，再生铅企业开工率回升；市场流通货源仍较紧，沪铅及伦铅库存均回升；下游蓄电池企业开工企稳，市场存在三季度消费传统旺季预期。中期铅供应预计偏宽松，铅价上行动力或有限</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1692278"/>
      <w:r>
        <w:rPr>
          <w:rFonts w:ascii="楷体" w:eastAsia="楷体" w:hAnsi="楷体" w:hint="eastAsia"/>
          <w:b/>
          <w:color w:val="000000" w:themeColor="text1"/>
          <w:sz w:val="24"/>
          <w:szCs w:val="24"/>
        </w:rPr>
        <w:lastRenderedPageBreak/>
        <w:t>不锈钢：</w:t>
      </w:r>
      <w:r w:rsidR="00024902" w:rsidRPr="00024902">
        <w:rPr>
          <w:rFonts w:ascii="楷体" w:eastAsia="楷体" w:hAnsi="楷体" w:hint="eastAsia"/>
          <w:b/>
          <w:color w:val="000000" w:themeColor="text1"/>
          <w:sz w:val="24"/>
          <w:szCs w:val="24"/>
        </w:rPr>
        <w:t>宏观预期向好，短期不锈钢震荡重心上移</w:t>
      </w:r>
      <w:bookmarkEnd w:id="33"/>
    </w:p>
    <w:p w:rsidR="003F56A5" w:rsidRDefault="00024902">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镍铁收储落地，体量不及市场预期，镍铁价格快速上涨后回落至1100/镍点下方，且需求淡季供应压力仍存，不锈钢价格反弹后回调压力加大，但国内重要会议释放超预期信号增强市场信心，整体宏观氛围偏积极，对价格仍存支撑。短期价格无明显趋势性行情，震荡区间较前期上移，参考14900-15500元/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1692279"/>
      <w:r>
        <w:rPr>
          <w:rFonts w:ascii="楷体" w:eastAsia="楷体" w:hAnsi="楷体" w:hint="eastAsia"/>
          <w:b/>
          <w:color w:val="000000" w:themeColor="text1"/>
          <w:sz w:val="24"/>
          <w:szCs w:val="24"/>
        </w:rPr>
        <w:t>工业硅：</w:t>
      </w:r>
      <w:r w:rsidR="00024902" w:rsidRPr="00024902">
        <w:rPr>
          <w:rFonts w:ascii="楷体" w:eastAsia="楷体" w:hAnsi="楷体" w:hint="eastAsia"/>
          <w:b/>
          <w:sz w:val="24"/>
          <w:szCs w:val="24"/>
        </w:rPr>
        <w:t>供应存在扰动，预计市场震荡偏强</w:t>
      </w:r>
      <w:bookmarkEnd w:id="34"/>
    </w:p>
    <w:p w:rsidR="003F56A5" w:rsidRDefault="00024902" w:rsidP="00827E8A">
      <w:pPr>
        <w:ind w:leftChars="300" w:left="630"/>
        <w:rPr>
          <w:rFonts w:ascii="楷体" w:eastAsia="楷体" w:hAnsi="楷体"/>
          <w:sz w:val="24"/>
          <w:szCs w:val="24"/>
        </w:rPr>
      </w:pPr>
      <w:r w:rsidRPr="00024902">
        <w:rPr>
          <w:rFonts w:ascii="楷体" w:eastAsia="楷体" w:hAnsi="楷体" w:hint="eastAsia"/>
          <w:sz w:val="24"/>
          <w:szCs w:val="24"/>
        </w:rPr>
        <w:t>7月28日，Si2309主力合约呈“V”字型走势，收盘价13610元/吨，较上一收盘价涨跌幅＋0.29%。西南地区进入丰水期，供应整体维持增加，但云南、四川存在明显分化，局部地区均存在扰动因素。云南方面，已处于历史开炉高峰，但德宏州盈江县受强降雨影响引发洪涝， 导致周边硅厂出现停产；四川方面， 复产进度不及预期，受大运会影响雅安、乐山周边硅厂现已停炉。整体来看， 主产区供应存在局部扰动，短期供应量有所减少，对市场仍有支撑，但扰动因素持续时间或有限，叠加库存高位，对市场大幅反弹存在压制作用，预计盘面将震荡偏强运行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16922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169228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24902" w:rsidRPr="00024902">
        <w:rPr>
          <w:rFonts w:ascii="楷体" w:eastAsia="楷体" w:hAnsi="楷体" w:hint="eastAsia"/>
          <w:b/>
          <w:sz w:val="24"/>
          <w:szCs w:val="24"/>
        </w:rPr>
        <w:t>橡胶基本面维持弱势 短期绝对价格行情高度受限</w:t>
      </w:r>
      <w:bookmarkEnd w:id="37"/>
    </w:p>
    <w:p w:rsidR="003F56A5" w:rsidRDefault="00024902">
      <w:pPr>
        <w:ind w:leftChars="300" w:left="630"/>
        <w:rPr>
          <w:rFonts w:ascii="楷体" w:eastAsia="楷体" w:hAnsi="楷体"/>
          <w:sz w:val="24"/>
          <w:szCs w:val="24"/>
        </w:rPr>
      </w:pPr>
      <w:r w:rsidRPr="00024902">
        <w:rPr>
          <w:rFonts w:ascii="楷体" w:eastAsia="楷体" w:hAnsi="楷体" w:hint="eastAsia"/>
          <w:sz w:val="24"/>
          <w:szCs w:val="24"/>
        </w:rPr>
        <w:t>点评：橡胶小幅震荡，虽然月末政治局会议利好预期提升了市场风险偏好，商品盘面以偏强表现为主，然而橡胶依旧不改震荡走势。当前橡胶基本面维持偏弱。供给端，国内外产区进入新胶增量阶段，供应压力逐渐增加；中游库存反复变动，绝对值仍处高位，尽管进口量环比出现一定下滑，但去化难度加大。需求端来看，下游轮胎企业开工率处于高位，但内销市场出货偏慢，导致全钢胎成品库存小幅提升，因此短期开工率继续提升的空间有限。消息层面，据市场传闻国储或先进行老胶抛储，数量和单价暂时未知。短期随着轮储信息初步明朗，前期市场的炒作情绪或逐步降温。而在橡胶基本面依旧弱势的情况下，同时近端09合约高价差矛盾没有解决下，整体盘面依旧维持偏弱表现。但当前胶价已接近成本线，下调空间不足，若无明显利好指引，仍较维持低位震荡。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169228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24902" w:rsidRPr="00024902">
        <w:rPr>
          <w:rFonts w:ascii="楷体" w:eastAsia="楷体" w:hAnsi="楷体" w:hint="eastAsia"/>
          <w:b/>
          <w:color w:val="000000" w:themeColor="text1"/>
          <w:sz w:val="24"/>
          <w:szCs w:val="24"/>
        </w:rPr>
        <w:t>成本偏强供需去库  短期走势仍偏强</w:t>
      </w:r>
      <w:bookmarkEnd w:id="38"/>
      <w:r w:rsidR="008F1360" w:rsidRPr="008F1360">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024902" w:rsidP="002C73FE">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PTA供给方面，嘉兴石化，能投装置重启，独山能源检修，个别装置负荷小幅波动，PTA负荷提升至79.3%（+1%）。7月减产利好叠加汽油需求季节性峰值阶段，原油基本面结构改善，短期盘面支撑较强。需求方面，本周有检修装置开启，此外部分装置负荷调整，聚酯负荷再度回升。截至7.28 初步核算国内大陆地区聚酯负荷在93.5%附近，江浙终端开工率变化不大。市场对9-10月份旺季有预期，低库存下预计7月聚酯不会轻易减停产。展望后市，海外出行旺季下PXN难压缩，聚酯因库存低位高开工维持需求韧性尚可。PTA产业链供需去库，低工费下或有计划外减停。成本端PX仍偏强及聚酯高开工提振，PTA 短期进入震荡偏强走势。仅供参考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1692283"/>
      <w:r>
        <w:rPr>
          <w:rFonts w:ascii="楷体" w:eastAsia="楷体" w:hAnsi="楷体" w:hint="eastAsia"/>
          <w:b/>
          <w:color w:val="000000" w:themeColor="text1"/>
          <w:sz w:val="24"/>
          <w:szCs w:val="24"/>
        </w:rPr>
        <w:lastRenderedPageBreak/>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1692284"/>
      <w:r>
        <w:rPr>
          <w:rFonts w:ascii="楷体" w:eastAsia="楷体" w:hAnsi="楷体" w:hint="eastAsia"/>
          <w:b/>
          <w:color w:val="000000" w:themeColor="text1"/>
          <w:sz w:val="24"/>
          <w:szCs w:val="24"/>
        </w:rPr>
        <w:t>聚烯烃：</w:t>
      </w:r>
      <w:r w:rsidR="00024902" w:rsidRPr="00024902">
        <w:rPr>
          <w:rFonts w:ascii="楷体" w:eastAsia="楷体" w:hAnsi="楷体" w:hint="eastAsia"/>
          <w:b/>
          <w:color w:val="000000" w:themeColor="text1"/>
          <w:sz w:val="24"/>
          <w:szCs w:val="24"/>
        </w:rPr>
        <w:t>需求面稍有好转，聚烯烃进入震荡整理阶段</w:t>
      </w:r>
      <w:bookmarkEnd w:id="40"/>
    </w:p>
    <w:p w:rsidR="003F56A5" w:rsidRDefault="00024902">
      <w:pPr>
        <w:ind w:leftChars="300" w:left="630"/>
        <w:rPr>
          <w:rFonts w:ascii="楷体" w:eastAsia="楷体" w:hAnsi="楷体"/>
          <w:bCs/>
          <w:sz w:val="24"/>
          <w:szCs w:val="24"/>
        </w:rPr>
      </w:pPr>
      <w:r w:rsidRPr="00024902">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投资者乐观地认为稳健的需求和产量削减将保持原油价格上涨，国际油价继续上涨，并实现连续第五周上涨。需求方面，PE下游方面，农膜整体需求平平，工厂生产清淡。棚膜工厂多停机检修；PP下游方面，BOPP市场成交刚需有量，整体量较上一交易日增加，BOPP企业未交付订单多数在一周以内，个别可至八月上旬。综合来看，PE方面，成本端，本周原油存上涨的预期，煤炭方面表现预计下跌，聚乙烯现货价格或受此影响调整；需求端，整体随着生产企业库存下降，加之近期市场存在上涨的预期，需求面稍稍好转，给予价格一定支撑。综上所述，预计短期内PE震荡整理。PP方面，PP市场近期支撑围绕在资本以及成本方面，终端需求虽有起色，但依旧对市场方向引导性不强。今日是月底最后一个工作日，市场在成本支撑下价格难跌，场内业者计划陆续完成，价格进入震荡整理阶段，预计今日价格变化不大</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1692285"/>
      <w:r>
        <w:rPr>
          <w:rFonts w:ascii="楷体" w:eastAsia="楷体" w:hAnsi="楷体" w:hint="eastAsia"/>
          <w:b/>
          <w:color w:val="000000" w:themeColor="text1"/>
          <w:sz w:val="24"/>
          <w:szCs w:val="24"/>
        </w:rPr>
        <w:t>MEG：</w:t>
      </w:r>
      <w:r w:rsidR="00024902" w:rsidRPr="00024902">
        <w:rPr>
          <w:rFonts w:ascii="楷体" w:eastAsia="楷体" w:hAnsi="楷体" w:hint="eastAsia"/>
          <w:b/>
          <w:color w:val="000000" w:themeColor="text1"/>
          <w:sz w:val="24"/>
          <w:szCs w:val="24"/>
        </w:rPr>
        <w:t>成本端提振 短期仍有支撑</w:t>
      </w:r>
      <w:bookmarkEnd w:id="41"/>
    </w:p>
    <w:p w:rsidR="003F56A5" w:rsidRDefault="00024902" w:rsidP="00115EEA">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供需情况，7.24 华东主港地区MEG港口库存约104.9万吨附近，环比上期减少3.8万吨，刚需支撑下港口发货良好隐形库存略去化。截至7月27日，中国大陆地区乙二醇整体开工负荷在60.53%（-3.17%），卫星石化其中一线将落实检修，整体开工将适度下降。煤化工方面，煤制乙二醇开工负荷在62.87%（+0.11%）。截至7.27，初步核算国内大陆地区聚酯负荷在93.5%附近。本周终端开工变化不大，江浙加弹综合开工率77%（+0%），江浙织机综合开工率68%（-1%），江浙印染综合开工率72%（+0%），涤丝产销氛围转弱，江浙终端工厂原料备货下降，部分加弹和织造企业因亏损或者库存压力选择适当减产。进出口方面，6-7月乙二醇月均进口量在60万吨附近，外盘货源陆续到港港口罐容偏紧，短期供应压力仍偏大。但四季度外盘装置检修增多，远洋供应预期收缩，乙二醇面临近弱远强的格局。展</w:t>
      </w:r>
      <w:r w:rsidRPr="00024902">
        <w:rPr>
          <w:rFonts w:ascii="楷体" w:eastAsia="楷体" w:hAnsi="楷体" w:hint="eastAsia"/>
          <w:color w:val="000000" w:themeColor="text1"/>
          <w:sz w:val="24"/>
          <w:szCs w:val="24"/>
        </w:rPr>
        <w:lastRenderedPageBreak/>
        <w:t>望后市，成本端煤价反弹尚未结束而聚酯开工率高位维持，三季度乙二醇供需呈现紧平衡为主，关注01合约短多机会。仅供参考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169228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24902" w:rsidRPr="00024902">
        <w:rPr>
          <w:rFonts w:ascii="楷体" w:eastAsia="楷体" w:hAnsi="楷体" w:hint="eastAsia"/>
          <w:b/>
          <w:color w:val="000000" w:themeColor="text1"/>
          <w:sz w:val="24"/>
          <w:szCs w:val="24"/>
        </w:rPr>
        <w:t>产销下滑，震荡整理</w:t>
      </w:r>
      <w:bookmarkEnd w:id="42"/>
    </w:p>
    <w:p w:rsidR="00A71A7E" w:rsidRDefault="00024902" w:rsidP="001F79C6">
      <w:pPr>
        <w:ind w:leftChars="300" w:left="630"/>
        <w:rPr>
          <w:rFonts w:ascii="楷体" w:eastAsia="楷体" w:hAnsi="楷体"/>
          <w:color w:val="000000" w:themeColor="text1"/>
          <w:sz w:val="24"/>
          <w:szCs w:val="24"/>
        </w:rPr>
      </w:pPr>
      <w:r w:rsidRPr="00024902">
        <w:rPr>
          <w:rFonts w:ascii="楷体" w:eastAsia="楷体" w:hAnsi="楷体" w:hint="eastAsia"/>
          <w:color w:val="000000" w:themeColor="text1"/>
          <w:sz w:val="24"/>
          <w:szCs w:val="24"/>
        </w:rPr>
        <w:t>根据隆众资讯于7月28日的报道，今日浮法玻璃现货价格为1896，较上交易日持平。供给方面，截至7月27日，浮法玻璃的日熔量为16.8万吨，环比持平，后市有点火预期。库存方面，本周总库存为4646.5万重箱，环比下降2.19%。需求方面，本周综合产销下滑18.8个百分点，维持在95%左右水平，周内仍然有去库行动。总体来看，短期政策热情减退，市场将重回基本面。7-8月玻璃主要是震荡行情，震荡区间（1600，1800）。重点关注产销情况，短期市场偏空，建议等待09合约回调后寻找做多机会</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169228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24902" w:rsidRPr="00024902">
        <w:rPr>
          <w:rFonts w:ascii="楷体" w:eastAsia="楷体" w:hAnsi="楷体" w:hint="eastAsia"/>
          <w:b/>
          <w:color w:val="000000" w:themeColor="text1"/>
          <w:sz w:val="24"/>
          <w:szCs w:val="24"/>
        </w:rPr>
        <w:t>日内振幅加大，多空在9-10月有分歧</w:t>
      </w:r>
      <w:bookmarkEnd w:id="43"/>
    </w:p>
    <w:p w:rsidR="00A71A7E" w:rsidRDefault="00024902" w:rsidP="00A71A7E">
      <w:pPr>
        <w:ind w:leftChars="300" w:left="630"/>
        <w:rPr>
          <w:rFonts w:ascii="楷体" w:eastAsia="楷体" w:hAnsi="楷体"/>
          <w:bCs/>
          <w:sz w:val="24"/>
          <w:szCs w:val="24"/>
        </w:rPr>
      </w:pPr>
      <w:r w:rsidRPr="00024902">
        <w:rPr>
          <w:rFonts w:ascii="楷体" w:eastAsia="楷体" w:hAnsi="楷体" w:hint="eastAsia"/>
          <w:color w:val="000000" w:themeColor="text1"/>
          <w:sz w:val="24"/>
          <w:szCs w:val="24"/>
        </w:rPr>
        <w:t>据隆众消息国内纯碱市场华中+50，华东+50，报价2200/吨。截至2023年7月27日，国内纯碱厂家总库存为24.83万吨，环比下降6.47万吨，降幅为20.67%%。7月以来连续四周去库，历史最低库25.25万吨，周内创新低。而昨日大涨后，供给紧张逻辑已反馈到盘面，刺激多单高位止盈。从价格方面来看，纯碱现货多地区出现库存紧张。碱厂主要保终端货源，贸易商提货困难，近期报价较少。到下周虽然徐州丰城装置恢复，周产量小幅增加1万吨左右，但难以缓解缺货压力。7月底到8月首周，现货端缺货压力达到顶峰。综合来看，夏季检修较多，供给收缩下，供需缺口进一步压低厂库库存，盘面近月缺货和远月大扩产反复博弈。短期来看，博弈情绪可能延续到8月中，日内振幅加大，涨跌反复，关注尾部风险，不排除反复冲高可能性。建议09合约高位多单止盈，01合约高位时考虑空头操作</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16922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169228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24902" w:rsidRPr="00024902">
        <w:rPr>
          <w:rFonts w:ascii="楷体" w:eastAsia="楷体" w:hAnsi="楷体" w:hint="eastAsia"/>
          <w:b/>
          <w:sz w:val="24"/>
          <w:szCs w:val="24"/>
        </w:rPr>
        <w:t>维持谨慎看多观点</w:t>
      </w:r>
      <w:bookmarkEnd w:id="45"/>
    </w:p>
    <w:p w:rsidR="003F56A5" w:rsidRDefault="00024902">
      <w:pPr>
        <w:ind w:leftChars="300" w:left="630"/>
        <w:rPr>
          <w:rFonts w:ascii="楷体" w:eastAsia="楷体" w:hAnsi="楷体"/>
          <w:sz w:val="24"/>
          <w:szCs w:val="24"/>
        </w:rPr>
      </w:pPr>
      <w:r w:rsidRPr="00024902">
        <w:rPr>
          <w:rFonts w:ascii="楷体" w:eastAsia="楷体" w:hAnsi="楷体" w:hint="eastAsia"/>
          <w:sz w:val="24"/>
          <w:szCs w:val="24"/>
        </w:rPr>
        <w:t>国际方面，市场仍在交易天气，短短期美豆易涨难跌，但近两日因多头获利了结及降雨预期，美豆高位回调。在美豆种植面积大幅减少的背景下，7-8月生长期天气仍十分关键，虽7月美农报告仍维持52单产预期，但在天气影响下，市场认为数据过于乐观后续仍有下调风险。虽美豆前两周干旱范围收窄，但7月下旬仍存在降雨减少的情况，种植情况担忧仍存，截至7月25日当周，美国大豆优良率不及预期为54%，前一周为55%，上年同期为59%。国内市场，随着当前大豆到港量增加，油厂已基本恢复开机压榨，开机及压榨水平恢复至高位，但豆粕库存仍维持低位，支撑现货报价坚挺，当前主流油厂豆粕现货报价小幅上调至4340-4420元/吨。大豆4-6月到港量较大，6月进口到港1027万吨，环比减14.5%，但对北美新作买船进度偏慢，预计7月后进口到港将逐步下滑。下游养殖利润表现仍不佳，且在杂粕替代下养殖企业等对豆粕饲用需求增量有限，但终端企业库存偏低，补库及提货需求表现较好。菜粕当前供给相对偏紧，随着6月份后菜籽到港减少，油厂压榨也在逐步下滑。而需求方面，当前为水产养</w:t>
      </w:r>
      <w:r w:rsidRPr="00024902">
        <w:rPr>
          <w:rFonts w:ascii="楷体" w:eastAsia="楷体" w:hAnsi="楷体" w:hint="eastAsia"/>
          <w:sz w:val="24"/>
          <w:szCs w:val="24"/>
        </w:rPr>
        <w:lastRenderedPageBreak/>
        <w:t>殖旺季，替代需求方面，随着近期菜粕价格的上涨，替代优势减弱，但整体供需表现紧张，底部仍有支撑。策略方面，短期建议谨慎看多，建议回调企稳仍偏多参与为主，或参与9-1正套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1692290"/>
      <w:r>
        <w:rPr>
          <w:rFonts w:ascii="楷体" w:eastAsia="楷体" w:hAnsi="楷体" w:hint="eastAsia"/>
          <w:b/>
          <w:color w:val="000000" w:themeColor="text1"/>
          <w:sz w:val="24"/>
          <w:szCs w:val="24"/>
        </w:rPr>
        <w:t>油脂：</w:t>
      </w:r>
      <w:r w:rsidR="00024902" w:rsidRPr="00024902">
        <w:rPr>
          <w:rFonts w:ascii="楷体" w:eastAsia="楷体" w:hAnsi="楷体" w:hint="eastAsia"/>
          <w:b/>
          <w:sz w:val="24"/>
          <w:szCs w:val="24"/>
        </w:rPr>
        <w:t>维持宽幅震荡</w:t>
      </w:r>
      <w:bookmarkEnd w:id="46"/>
    </w:p>
    <w:p w:rsidR="003F56A5" w:rsidRDefault="00024902" w:rsidP="00792D31">
      <w:pPr>
        <w:ind w:leftChars="300" w:left="630"/>
        <w:rPr>
          <w:rFonts w:ascii="楷体" w:eastAsia="楷体" w:hAnsi="楷体"/>
          <w:sz w:val="24"/>
          <w:szCs w:val="24"/>
        </w:rPr>
      </w:pPr>
      <w:r w:rsidRPr="00024902">
        <w:rPr>
          <w:rFonts w:ascii="楷体" w:eastAsia="楷体" w:hAnsi="楷体" w:hint="eastAsia"/>
          <w:sz w:val="24"/>
          <w:szCs w:val="24"/>
        </w:rPr>
        <w:t>国际市场，黑海局势升级，短期预计黑海港口运输难以恢复，叠加天气升水，支撑外盘油脂油料市场价格维持高位。但三大油脂基本面仍存在一定差异，国内终端需求疲软叠加供给增加，限制涨幅。棕榈油，印尼棕榈油5月份在供给增量大于需求下，库存持续回升，供给压力显现。但7-8月份出口税费上调，出口竞争减弱，提振马棕出口需求。据SGS公布数据显示，预计马来西亚7月1—20日棕榈油出口量为703704吨，较上月同期出口的633423吨增加11.1%。虽市场开始炒作厄尔尼诺现象，但中期无法改变产地棕榈油累库的趋势，但产量修复进度或受天气影响，仍需持续关注。国内棕榈油在6-7月份进口增加以及需求疲软下，库存持续回升，也限制当前价格反弹空间。因前期产地报价下滑，国内进口利润有所修复，6-7月船期买船增加，最新商业库存为66.75万吨，7-8月供应预计仍较充裕。需求端，随着气温回升利好棕榈油消费，但仅为刚需提货，未见增量。豆油延续累库趋势。随着4-7月进口大豆到港增加，油厂陆续恢复开机，当前整体开机及压榨水平稳定，在刚需补库下延续累库。需求端，在中小学及高校陆续进入暑期，且无大型节日消费提振，处于消费淡季。菜油在进口菜籽减少下，供应压力减轻。当前主产地菜籽在生长期，供应处于青黄不接的阶段，全球菜籽新作产量不确定性仍存。随着后续进口加籽到港量的减少，菜籽开机及压榨水平也有所降低，6月菜籽进口环比下滑38.5%，菜油进口21万吨。需求方面，与替代油脂价差拉大，需求清淡，当前库存已逐步回落，需求修复仍待继续关注。对于油脂维持回调后轻仓低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1692291"/>
      <w:r>
        <w:rPr>
          <w:rFonts w:ascii="楷体" w:eastAsia="楷体" w:hAnsi="楷体" w:hint="eastAsia"/>
          <w:b/>
          <w:bCs/>
          <w:color w:val="000000" w:themeColor="text1"/>
        </w:rPr>
        <w:t>玉米与淀粉：</w:t>
      </w:r>
      <w:r w:rsidR="00024902" w:rsidRPr="00024902">
        <w:rPr>
          <w:rFonts w:ascii="楷体" w:eastAsia="楷体" w:hAnsi="楷体" w:hint="eastAsia"/>
          <w:b/>
        </w:rPr>
        <w:t>7月期价持续回落调整</w:t>
      </w:r>
      <w:bookmarkEnd w:id="47"/>
    </w:p>
    <w:p w:rsidR="003F56A5" w:rsidRDefault="00024902" w:rsidP="007C1DB9">
      <w:pPr>
        <w:pStyle w:val="paragraph"/>
        <w:spacing w:before="60" w:beforeAutospacing="0" w:after="60" w:afterAutospacing="0"/>
        <w:ind w:leftChars="300" w:left="630"/>
        <w:rPr>
          <w:rFonts w:ascii="楷体" w:eastAsia="楷体" w:hAnsi="楷体"/>
        </w:rPr>
      </w:pPr>
      <w:r w:rsidRPr="00024902">
        <w:rPr>
          <w:rFonts w:ascii="楷体" w:eastAsia="楷体" w:hAnsi="楷体" w:hint="eastAsia"/>
        </w:rPr>
        <w:t>对于玉米而言，近期期现货回落主要源于市场对小麦饲用替代增量和陈化水稻抛储的担忧，而华北-东北和产销区玉米价差持续走扩之后，东北玉米贸易商心态松动，出货意愿增强。但在我们看来，随着陈化水稻抛储政策的落地，期价下方空间或有限，因市场消息称抛储底价上调100元，这意味着当前期价存在一定的安全边际。后期等待三个方面的上涨驱动，其一是新作产区天气炒作，其二是小麦现货上涨，其三是市场再度进入被动库存。分合约来看，旧作合约更多依赖被动补库存，否则在陈化水稻抛储的背景下，旧作合约上涨空间受限；新作合约则值得重点留意，因目前近月贴水现货，而远月贴水近月，或已经在很大程度上反映利空预期，而上述三个方面的驱动均有可能体现在新作合约上。综上所述，我们维持谨慎看多观点，建议激进投资者可以基于安全边际轻仓入场，激进投资者等待驱动出现或技术破位之后再行入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1692292"/>
      <w:r>
        <w:rPr>
          <w:rFonts w:ascii="楷体" w:eastAsia="楷体" w:hAnsi="楷体" w:hint="eastAsia"/>
          <w:b/>
          <w:bCs/>
          <w:color w:val="000000" w:themeColor="text1"/>
        </w:rPr>
        <w:t>畜禽养殖：</w:t>
      </w:r>
      <w:r w:rsidR="00024902" w:rsidRPr="00024902">
        <w:rPr>
          <w:rFonts w:ascii="楷体" w:eastAsia="楷体" w:hAnsi="楷体" w:hint="eastAsia"/>
          <w:b/>
          <w:bCs/>
          <w:color w:val="000000" w:themeColor="text1"/>
        </w:rPr>
        <w:t>周末生猪现货继续上涨</w:t>
      </w:r>
      <w:bookmarkEnd w:id="48"/>
    </w:p>
    <w:p w:rsidR="00024902" w:rsidRPr="00024902" w:rsidRDefault="00024902" w:rsidP="00024902">
      <w:pPr>
        <w:pStyle w:val="paragraph"/>
        <w:spacing w:before="60" w:after="60"/>
        <w:ind w:leftChars="300" w:left="630"/>
        <w:rPr>
          <w:rFonts w:ascii="楷体" w:eastAsia="楷体" w:hAnsi="楷体" w:hint="eastAsia"/>
        </w:rPr>
      </w:pPr>
      <w:r w:rsidRPr="00024902">
        <w:rPr>
          <w:rFonts w:ascii="楷体" w:eastAsia="楷体" w:hAnsi="楷体" w:hint="eastAsia"/>
        </w:rPr>
        <w:t>对于生猪而言，在前期报告中我们指出，3月以来现货表现不及我们之前预期，问题出在供应量，在供应去化的过程中市场会关注两个方面的机</w:t>
      </w:r>
      <w:r w:rsidRPr="00024902">
        <w:rPr>
          <w:rFonts w:ascii="楷体" w:eastAsia="楷体" w:hAnsi="楷体" w:hint="eastAsia"/>
        </w:rPr>
        <w:lastRenderedPageBreak/>
        <w:t>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综上说书，维持谨慎看多观点，建议持有前期多单/择机入场做多。</w:t>
      </w:r>
    </w:p>
    <w:p w:rsidR="003F56A5" w:rsidRDefault="00024902" w:rsidP="00024902">
      <w:pPr>
        <w:pStyle w:val="paragraph"/>
        <w:spacing w:before="60" w:beforeAutospacing="0" w:after="60" w:afterAutospacing="0"/>
        <w:ind w:leftChars="300" w:left="630"/>
        <w:rPr>
          <w:rFonts w:ascii="楷体" w:eastAsia="楷体" w:hAnsi="楷体"/>
        </w:rPr>
      </w:pPr>
      <w:r w:rsidRPr="00024902">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1692293"/>
      <w:r>
        <w:rPr>
          <w:rFonts w:ascii="楷体" w:eastAsia="楷体" w:hAnsi="楷体" w:hint="eastAsia"/>
          <w:b/>
          <w:sz w:val="24"/>
          <w:szCs w:val="24"/>
        </w:rPr>
        <w:t>郑棉：</w:t>
      </w:r>
      <w:r w:rsidR="00024902" w:rsidRPr="00024902">
        <w:rPr>
          <w:rFonts w:ascii="楷体" w:eastAsia="楷体" w:hAnsi="楷体" w:hint="eastAsia"/>
          <w:b/>
          <w:sz w:val="24"/>
          <w:szCs w:val="24"/>
        </w:rPr>
        <w:t>09看跌期权卖权持有，01多单持有</w:t>
      </w:r>
      <w:bookmarkEnd w:id="49"/>
    </w:p>
    <w:p w:rsidR="003F56A5" w:rsidRDefault="00024902" w:rsidP="007B3290">
      <w:pPr>
        <w:ind w:leftChars="300" w:left="630"/>
        <w:rPr>
          <w:rFonts w:ascii="楷体" w:eastAsia="楷体" w:hAnsi="楷体"/>
          <w:sz w:val="24"/>
          <w:szCs w:val="24"/>
        </w:rPr>
      </w:pPr>
      <w:r w:rsidRPr="00024902">
        <w:rPr>
          <w:rFonts w:ascii="楷体" w:eastAsia="楷体" w:hAnsi="楷体" w:hint="eastAsia"/>
          <w:sz w:val="24"/>
          <w:szCs w:val="24"/>
        </w:rPr>
        <w:t>储备棉销售工作将于2023年7月31日开始。根据国家相关部门要求和2023年中央储备棉销售的公告中公布的中央储备棉销售底价计算公式，第一周(7月31日-8月4日)销售底价为17347元/吨(折标准级3128B)。库存偏低情况下，预计抛储初期成交将比较火热，对郑棉起支撑助涨作用，保持关注。01低多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AA" w:rsidRDefault="009123AA">
      <w:r>
        <w:separator/>
      </w:r>
    </w:p>
  </w:endnote>
  <w:endnote w:type="continuationSeparator" w:id="0">
    <w:p w:rsidR="009123AA" w:rsidRDefault="0091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CA2C1C3" wp14:editId="6AF030A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32BB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32BB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AA" w:rsidRDefault="009123AA">
      <w:r>
        <w:separator/>
      </w:r>
    </w:p>
  </w:footnote>
  <w:footnote w:type="continuationSeparator" w:id="0">
    <w:p w:rsidR="009123AA" w:rsidRDefault="00912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59B18E3" wp14:editId="4A1682B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B875634" wp14:editId="3202D32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24902">
      <w:rPr>
        <w:rFonts w:ascii="Times New Roman" w:eastAsia="楷体" w:hAnsi="Times New Roman" w:hint="eastAsia"/>
        <w:b/>
        <w:bCs/>
        <w:noProof/>
        <w:color w:val="833C0B"/>
        <w:sz w:val="21"/>
      </w:rPr>
      <w:t>2023</w:t>
    </w:r>
    <w:r w:rsidR="00024902">
      <w:rPr>
        <w:rFonts w:ascii="Times New Roman" w:eastAsia="楷体" w:hAnsi="Times New Roman" w:hint="eastAsia"/>
        <w:b/>
        <w:bCs/>
        <w:noProof/>
        <w:color w:val="833C0B"/>
        <w:sz w:val="21"/>
      </w:rPr>
      <w:t>年</w:t>
    </w:r>
    <w:r w:rsidR="00024902">
      <w:rPr>
        <w:rFonts w:ascii="Times New Roman" w:eastAsia="楷体" w:hAnsi="Times New Roman" w:hint="eastAsia"/>
        <w:b/>
        <w:bCs/>
        <w:noProof/>
        <w:color w:val="833C0B"/>
        <w:sz w:val="21"/>
      </w:rPr>
      <w:t>7</w:t>
    </w:r>
    <w:r w:rsidR="00024902">
      <w:rPr>
        <w:rFonts w:ascii="Times New Roman" w:eastAsia="楷体" w:hAnsi="Times New Roman" w:hint="eastAsia"/>
        <w:b/>
        <w:bCs/>
        <w:noProof/>
        <w:color w:val="833C0B"/>
        <w:sz w:val="21"/>
      </w:rPr>
      <w:t>月</w:t>
    </w:r>
    <w:r w:rsidR="00024902">
      <w:rPr>
        <w:rFonts w:ascii="Times New Roman" w:eastAsia="楷体" w:hAnsi="Times New Roman" w:hint="eastAsia"/>
        <w:b/>
        <w:bCs/>
        <w:noProof/>
        <w:color w:val="833C0B"/>
        <w:sz w:val="21"/>
      </w:rPr>
      <w:t>31</w:t>
    </w:r>
    <w:r w:rsidR="00024902">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6067"/>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3AA"/>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622ED"/>
    <w:rsid w:val="00F65EEA"/>
    <w:rsid w:val="00F776D3"/>
    <w:rsid w:val="00F90537"/>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9EF5C-2E04-428D-AD76-085256E7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9</Pages>
  <Words>8097</Words>
  <Characters>1901</Characters>
  <Application>Microsoft Office Word</Application>
  <DocSecurity>0</DocSecurity>
  <Lines>15</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50</cp:revision>
  <cp:lastPrinted>2023-06-08T02:23:00Z</cp:lastPrinted>
  <dcterms:created xsi:type="dcterms:W3CDTF">2022-11-15T10:06:00Z</dcterms:created>
  <dcterms:modified xsi:type="dcterms:W3CDTF">2023-07-31T02:37:00Z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