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4D048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4D0484" w:rsidRPr="006B3314">
            <w:rPr>
              <w:rStyle w:val="a9"/>
              <w:noProof/>
            </w:rPr>
            <w:fldChar w:fldCharType="begin"/>
          </w:r>
          <w:r w:rsidR="004D0484" w:rsidRPr="006B3314">
            <w:rPr>
              <w:rStyle w:val="a9"/>
              <w:noProof/>
            </w:rPr>
            <w:instrText xml:space="preserve"> </w:instrText>
          </w:r>
          <w:r w:rsidR="004D0484">
            <w:rPr>
              <w:noProof/>
            </w:rPr>
            <w:instrText>HYPERLINK \l "_Toc141348409"</w:instrText>
          </w:r>
          <w:r w:rsidR="004D0484" w:rsidRPr="006B3314">
            <w:rPr>
              <w:rStyle w:val="a9"/>
              <w:noProof/>
            </w:rPr>
            <w:instrText xml:space="preserve"> </w:instrText>
          </w:r>
          <w:r w:rsidR="004D0484" w:rsidRPr="006B3314">
            <w:rPr>
              <w:rStyle w:val="a9"/>
              <w:noProof/>
            </w:rPr>
          </w:r>
          <w:r w:rsidR="004D0484" w:rsidRPr="006B3314">
            <w:rPr>
              <w:rStyle w:val="a9"/>
              <w:noProof/>
            </w:rPr>
            <w:fldChar w:fldCharType="separate"/>
          </w:r>
          <w:r w:rsidR="004D0484" w:rsidRPr="006B3314">
            <w:rPr>
              <w:rStyle w:val="a9"/>
              <w:rFonts w:ascii="Times New Roman" w:eastAsia="楷体" w:hAnsi="Times New Roman"/>
              <w:b/>
              <w:noProof/>
            </w:rPr>
            <w:t>[</w:t>
          </w:r>
          <w:r w:rsidR="004D0484" w:rsidRPr="006B3314">
            <w:rPr>
              <w:rStyle w:val="a9"/>
              <w:rFonts w:ascii="Times New Roman" w:eastAsia="楷体" w:hAnsi="Times New Roman"/>
              <w:b/>
              <w:noProof/>
            </w:rPr>
            <w:t>金融</w:t>
          </w:r>
          <w:r w:rsidR="004D0484" w:rsidRPr="006B3314">
            <w:rPr>
              <w:rStyle w:val="a9"/>
              <w:rFonts w:ascii="Times New Roman" w:eastAsia="楷体" w:hAnsi="Times New Roman"/>
              <w:b/>
              <w:noProof/>
            </w:rPr>
            <w:t>]</w:t>
          </w:r>
          <w:r w:rsidR="004D0484" w:rsidRPr="006B3314">
            <w:rPr>
              <w:rStyle w:val="a9"/>
              <w:noProof/>
            </w:rPr>
            <w:fldChar w:fldCharType="end"/>
          </w:r>
        </w:p>
        <w:p w:rsidR="004D0484" w:rsidRDefault="004D0484">
          <w:pPr>
            <w:pStyle w:val="23"/>
            <w:tabs>
              <w:tab w:val="right" w:leader="dot" w:pos="8296"/>
            </w:tabs>
            <w:rPr>
              <w:rFonts w:eastAsiaTheme="minorEastAsia"/>
              <w:noProof/>
              <w:szCs w:val="22"/>
            </w:rPr>
          </w:pPr>
          <w:hyperlink w:anchor="_Toc141348410" w:history="1">
            <w:r w:rsidRPr="006B3314">
              <w:rPr>
                <w:rStyle w:val="a9"/>
                <w:rFonts w:ascii="Times New Roman" w:eastAsia="楷体" w:hAnsi="Times New Roman"/>
                <w:b/>
                <w:noProof/>
              </w:rPr>
              <w:t>股指：低多</w:t>
            </w:r>
            <w:r w:rsidRPr="006B3314">
              <w:rPr>
                <w:rStyle w:val="a9"/>
                <w:rFonts w:ascii="Times New Roman" w:eastAsia="楷体" w:hAnsi="Times New Roman"/>
                <w:b/>
                <w:noProof/>
              </w:rPr>
              <w:t>IF</w:t>
            </w:r>
          </w:hyperlink>
        </w:p>
        <w:p w:rsidR="004D0484" w:rsidRDefault="004D0484">
          <w:pPr>
            <w:pStyle w:val="11"/>
            <w:tabs>
              <w:tab w:val="right" w:leader="dot" w:pos="8296"/>
            </w:tabs>
            <w:rPr>
              <w:rFonts w:eastAsiaTheme="minorEastAsia"/>
              <w:noProof/>
              <w:szCs w:val="22"/>
            </w:rPr>
          </w:pPr>
          <w:hyperlink w:anchor="_Toc141348411" w:history="1">
            <w:r w:rsidRPr="006B3314">
              <w:rPr>
                <w:rStyle w:val="a9"/>
                <w:rFonts w:ascii="Times New Roman" w:eastAsia="楷体" w:hAnsi="Times New Roman"/>
                <w:b/>
                <w:noProof/>
              </w:rPr>
              <w:t>[</w:t>
            </w:r>
            <w:r w:rsidRPr="006B3314">
              <w:rPr>
                <w:rStyle w:val="a9"/>
                <w:rFonts w:ascii="Times New Roman" w:eastAsia="楷体" w:hAnsi="Times New Roman"/>
                <w:b/>
                <w:noProof/>
              </w:rPr>
              <w:t>贵金属</w:t>
            </w:r>
            <w:r w:rsidRPr="006B3314">
              <w:rPr>
                <w:rStyle w:val="a9"/>
                <w:rFonts w:ascii="Times New Roman" w:eastAsia="楷体" w:hAnsi="Times New Roman"/>
                <w:b/>
                <w:noProof/>
              </w:rPr>
              <w:t>]</w:t>
            </w:r>
          </w:hyperlink>
        </w:p>
        <w:p w:rsidR="004D0484" w:rsidRDefault="004D0484">
          <w:pPr>
            <w:pStyle w:val="23"/>
            <w:tabs>
              <w:tab w:val="right" w:leader="dot" w:pos="8296"/>
            </w:tabs>
            <w:rPr>
              <w:rFonts w:eastAsiaTheme="minorEastAsia"/>
              <w:noProof/>
              <w:szCs w:val="22"/>
            </w:rPr>
          </w:pPr>
          <w:hyperlink w:anchor="_Toc141348412" w:history="1">
            <w:r w:rsidRPr="006B3314">
              <w:rPr>
                <w:rStyle w:val="a9"/>
                <w:rFonts w:ascii="Times New Roman" w:eastAsia="楷体" w:hAnsi="Times New Roman"/>
                <w:b/>
                <w:noProof/>
              </w:rPr>
              <w:t>贵金属：美联储如期加息</w:t>
            </w:r>
            <w:r w:rsidRPr="006B3314">
              <w:rPr>
                <w:rStyle w:val="a9"/>
                <w:rFonts w:ascii="Times New Roman" w:eastAsia="楷体" w:hAnsi="Times New Roman"/>
                <w:b/>
                <w:noProof/>
              </w:rPr>
              <w:t>25bp</w:t>
            </w:r>
            <w:r w:rsidRPr="006B3314">
              <w:rPr>
                <w:rStyle w:val="a9"/>
                <w:rFonts w:ascii="Times New Roman" w:eastAsia="楷体" w:hAnsi="Times New Roman"/>
                <w:b/>
                <w:noProof/>
              </w:rPr>
              <w:t>，贵金属价格小幅反弹</w:t>
            </w:r>
          </w:hyperlink>
        </w:p>
        <w:p w:rsidR="004D0484" w:rsidRDefault="004D0484">
          <w:pPr>
            <w:pStyle w:val="11"/>
            <w:tabs>
              <w:tab w:val="right" w:leader="dot" w:pos="8296"/>
            </w:tabs>
            <w:rPr>
              <w:rFonts w:eastAsiaTheme="minorEastAsia"/>
              <w:noProof/>
              <w:szCs w:val="22"/>
            </w:rPr>
          </w:pPr>
          <w:hyperlink w:anchor="_Toc141348413" w:history="1">
            <w:r w:rsidRPr="006B3314">
              <w:rPr>
                <w:rStyle w:val="a9"/>
                <w:rFonts w:ascii="Times New Roman" w:eastAsia="楷体" w:hAnsi="Times New Roman"/>
                <w:b/>
                <w:noProof/>
              </w:rPr>
              <w:t>[</w:t>
            </w:r>
            <w:r w:rsidRPr="006B3314">
              <w:rPr>
                <w:rStyle w:val="a9"/>
                <w:rFonts w:ascii="Times New Roman" w:eastAsia="楷体" w:hAnsi="Times New Roman"/>
                <w:b/>
                <w:noProof/>
              </w:rPr>
              <w:t>金属</w:t>
            </w:r>
            <w:r w:rsidRPr="006B3314">
              <w:rPr>
                <w:rStyle w:val="a9"/>
                <w:rFonts w:ascii="Times New Roman" w:eastAsia="楷体" w:hAnsi="Times New Roman"/>
                <w:b/>
                <w:noProof/>
              </w:rPr>
              <w:t>]</w:t>
            </w:r>
          </w:hyperlink>
        </w:p>
        <w:p w:rsidR="004D0484" w:rsidRDefault="004D0484">
          <w:pPr>
            <w:pStyle w:val="23"/>
            <w:tabs>
              <w:tab w:val="right" w:leader="dot" w:pos="8296"/>
            </w:tabs>
            <w:rPr>
              <w:rFonts w:eastAsiaTheme="minorEastAsia"/>
              <w:noProof/>
              <w:szCs w:val="22"/>
            </w:rPr>
          </w:pPr>
          <w:hyperlink w:anchor="_Toc141348414" w:history="1">
            <w:r w:rsidRPr="006B3314">
              <w:rPr>
                <w:rStyle w:val="a9"/>
                <w:rFonts w:ascii="楷体" w:eastAsia="楷体" w:hAnsi="楷体"/>
                <w:b/>
                <w:noProof/>
              </w:rPr>
              <w:t>碳酸锂：期价宽幅震荡，现货延续下跌</w:t>
            </w:r>
          </w:hyperlink>
        </w:p>
        <w:p w:rsidR="004D0484" w:rsidRDefault="004D0484">
          <w:pPr>
            <w:pStyle w:val="23"/>
            <w:tabs>
              <w:tab w:val="right" w:leader="dot" w:pos="8296"/>
            </w:tabs>
            <w:rPr>
              <w:rFonts w:eastAsiaTheme="minorEastAsia"/>
              <w:noProof/>
              <w:szCs w:val="22"/>
            </w:rPr>
          </w:pPr>
          <w:hyperlink w:anchor="_Toc141348415" w:history="1">
            <w:r w:rsidRPr="006B3314">
              <w:rPr>
                <w:rStyle w:val="a9"/>
                <w:rFonts w:ascii="楷体" w:eastAsia="楷体" w:hAnsi="楷体"/>
                <w:b/>
                <w:noProof/>
              </w:rPr>
              <w:t>螺纹钢：钢价或继续偏强运行，关注中游补库情况</w:t>
            </w:r>
          </w:hyperlink>
        </w:p>
        <w:p w:rsidR="004D0484" w:rsidRDefault="004D0484">
          <w:pPr>
            <w:pStyle w:val="23"/>
            <w:tabs>
              <w:tab w:val="right" w:leader="dot" w:pos="8296"/>
            </w:tabs>
            <w:rPr>
              <w:rFonts w:eastAsiaTheme="minorEastAsia"/>
              <w:noProof/>
              <w:szCs w:val="22"/>
            </w:rPr>
          </w:pPr>
          <w:hyperlink w:anchor="_Toc141348416" w:history="1">
            <w:r w:rsidRPr="006B3314">
              <w:rPr>
                <w:rStyle w:val="a9"/>
                <w:rFonts w:ascii="楷体" w:eastAsia="楷体" w:hAnsi="楷体"/>
                <w:b/>
                <w:noProof/>
              </w:rPr>
              <w:t>焦炭：配煤价格补涨，焦炭或偏强运行</w:t>
            </w:r>
          </w:hyperlink>
        </w:p>
        <w:p w:rsidR="004D0484" w:rsidRDefault="004D0484">
          <w:pPr>
            <w:pStyle w:val="23"/>
            <w:tabs>
              <w:tab w:val="right" w:leader="dot" w:pos="8296"/>
            </w:tabs>
            <w:rPr>
              <w:rFonts w:eastAsiaTheme="minorEastAsia"/>
              <w:noProof/>
              <w:szCs w:val="22"/>
            </w:rPr>
          </w:pPr>
          <w:hyperlink w:anchor="_Toc141348417" w:history="1">
            <w:r w:rsidRPr="006B3314">
              <w:rPr>
                <w:rStyle w:val="a9"/>
                <w:rFonts w:ascii="楷体" w:eastAsia="楷体" w:hAnsi="楷体"/>
                <w:b/>
                <w:noProof/>
              </w:rPr>
              <w:t>焦煤：配煤大幅度补涨，主焦偏强运行，盘面或高位偏强震荡</w:t>
            </w:r>
          </w:hyperlink>
        </w:p>
        <w:p w:rsidR="004D0484" w:rsidRDefault="004D0484">
          <w:pPr>
            <w:pStyle w:val="23"/>
            <w:tabs>
              <w:tab w:val="right" w:leader="dot" w:pos="8296"/>
            </w:tabs>
            <w:rPr>
              <w:rFonts w:eastAsiaTheme="minorEastAsia"/>
              <w:noProof/>
              <w:szCs w:val="22"/>
            </w:rPr>
          </w:pPr>
          <w:hyperlink w:anchor="_Toc141348418" w:history="1">
            <w:r w:rsidRPr="006B3314">
              <w:rPr>
                <w:rStyle w:val="a9"/>
                <w:rFonts w:ascii="楷体" w:eastAsia="楷体" w:hAnsi="楷体"/>
                <w:b/>
                <w:noProof/>
              </w:rPr>
              <w:t>铜：维持高位震荡运行</w:t>
            </w:r>
          </w:hyperlink>
        </w:p>
        <w:p w:rsidR="004D0484" w:rsidRDefault="004D0484">
          <w:pPr>
            <w:pStyle w:val="23"/>
            <w:tabs>
              <w:tab w:val="right" w:leader="dot" w:pos="8296"/>
            </w:tabs>
            <w:rPr>
              <w:rFonts w:eastAsiaTheme="minorEastAsia"/>
              <w:noProof/>
              <w:szCs w:val="22"/>
            </w:rPr>
          </w:pPr>
          <w:hyperlink w:anchor="_Toc141348419" w:history="1">
            <w:r w:rsidRPr="006B3314">
              <w:rPr>
                <w:rStyle w:val="a9"/>
                <w:rFonts w:ascii="楷体" w:eastAsia="楷体" w:hAnsi="楷体"/>
                <w:b/>
                <w:noProof/>
              </w:rPr>
              <w:t>铝：宏观主导盘面走势，价格走势偏强震荡</w:t>
            </w:r>
          </w:hyperlink>
        </w:p>
        <w:p w:rsidR="004D0484" w:rsidRDefault="004D0484">
          <w:pPr>
            <w:pStyle w:val="23"/>
            <w:tabs>
              <w:tab w:val="right" w:leader="dot" w:pos="8296"/>
            </w:tabs>
            <w:rPr>
              <w:rFonts w:eastAsiaTheme="minorEastAsia"/>
              <w:noProof/>
              <w:szCs w:val="22"/>
            </w:rPr>
          </w:pPr>
          <w:hyperlink w:anchor="_Toc141348420" w:history="1">
            <w:r w:rsidRPr="006B3314">
              <w:rPr>
                <w:rStyle w:val="a9"/>
                <w:rFonts w:ascii="楷体" w:eastAsia="楷体" w:hAnsi="楷体"/>
                <w:b/>
                <w:noProof/>
              </w:rPr>
              <w:t>锌：宏观情绪支撑锌价震荡走强</w:t>
            </w:r>
          </w:hyperlink>
        </w:p>
        <w:p w:rsidR="004D0484" w:rsidRDefault="004D0484">
          <w:pPr>
            <w:pStyle w:val="23"/>
            <w:tabs>
              <w:tab w:val="right" w:leader="dot" w:pos="8296"/>
            </w:tabs>
            <w:rPr>
              <w:rFonts w:eastAsiaTheme="minorEastAsia"/>
              <w:noProof/>
              <w:szCs w:val="22"/>
            </w:rPr>
          </w:pPr>
          <w:hyperlink w:anchor="_Toc141348421" w:history="1">
            <w:r w:rsidRPr="006B3314">
              <w:rPr>
                <w:rStyle w:val="a9"/>
                <w:rFonts w:ascii="楷体" w:eastAsia="楷体" w:hAnsi="楷体"/>
                <w:b/>
                <w:noProof/>
              </w:rPr>
              <w:t>镍：低库存仍支撑价格维持区间震荡</w:t>
            </w:r>
          </w:hyperlink>
        </w:p>
        <w:p w:rsidR="004D0484" w:rsidRDefault="004D0484">
          <w:pPr>
            <w:pStyle w:val="23"/>
            <w:tabs>
              <w:tab w:val="right" w:leader="dot" w:pos="8296"/>
            </w:tabs>
            <w:rPr>
              <w:rFonts w:eastAsiaTheme="minorEastAsia"/>
              <w:noProof/>
              <w:szCs w:val="22"/>
            </w:rPr>
          </w:pPr>
          <w:hyperlink w:anchor="_Toc141348422" w:history="1">
            <w:r w:rsidRPr="006B3314">
              <w:rPr>
                <w:rStyle w:val="a9"/>
                <w:rFonts w:ascii="楷体" w:eastAsia="楷体" w:hAnsi="楷体"/>
                <w:b/>
                <w:noProof/>
              </w:rPr>
              <w:t>铅：价格上行空间有限，价格高位震荡运行</w:t>
            </w:r>
          </w:hyperlink>
        </w:p>
        <w:p w:rsidR="004D0484" w:rsidRDefault="004D0484">
          <w:pPr>
            <w:pStyle w:val="23"/>
            <w:tabs>
              <w:tab w:val="right" w:leader="dot" w:pos="8296"/>
            </w:tabs>
            <w:rPr>
              <w:rFonts w:eastAsiaTheme="minorEastAsia"/>
              <w:noProof/>
              <w:szCs w:val="22"/>
            </w:rPr>
          </w:pPr>
          <w:hyperlink w:anchor="_Toc141348423" w:history="1">
            <w:r w:rsidRPr="006B3314">
              <w:rPr>
                <w:rStyle w:val="a9"/>
                <w:rFonts w:ascii="楷体" w:eastAsia="楷体" w:hAnsi="楷体"/>
                <w:b/>
                <w:noProof/>
              </w:rPr>
              <w:t>不锈钢：成本支撑刚性，不锈钢震荡偏强运行</w:t>
            </w:r>
          </w:hyperlink>
        </w:p>
        <w:p w:rsidR="004D0484" w:rsidRDefault="004D0484">
          <w:pPr>
            <w:pStyle w:val="23"/>
            <w:tabs>
              <w:tab w:val="right" w:leader="dot" w:pos="8296"/>
            </w:tabs>
            <w:rPr>
              <w:rFonts w:eastAsiaTheme="minorEastAsia"/>
              <w:noProof/>
              <w:szCs w:val="22"/>
            </w:rPr>
          </w:pPr>
          <w:hyperlink w:anchor="_Toc141348424" w:history="1">
            <w:r w:rsidRPr="006B3314">
              <w:rPr>
                <w:rStyle w:val="a9"/>
                <w:rFonts w:ascii="楷体" w:eastAsia="楷体" w:hAnsi="楷体"/>
                <w:b/>
                <w:noProof/>
              </w:rPr>
              <w:t>工业硅：单边驱动不足，维持震荡观点</w:t>
            </w:r>
          </w:hyperlink>
        </w:p>
        <w:p w:rsidR="004D0484" w:rsidRDefault="004D0484">
          <w:pPr>
            <w:pStyle w:val="11"/>
            <w:tabs>
              <w:tab w:val="right" w:leader="dot" w:pos="8296"/>
            </w:tabs>
            <w:rPr>
              <w:rFonts w:eastAsiaTheme="minorEastAsia"/>
              <w:noProof/>
              <w:szCs w:val="22"/>
            </w:rPr>
          </w:pPr>
          <w:hyperlink w:anchor="_Toc141348425" w:history="1">
            <w:r w:rsidRPr="006B3314">
              <w:rPr>
                <w:rStyle w:val="a9"/>
                <w:rFonts w:ascii="Times New Roman" w:eastAsia="楷体" w:hAnsi="Times New Roman"/>
                <w:b/>
                <w:noProof/>
              </w:rPr>
              <w:t>[</w:t>
            </w:r>
            <w:r w:rsidRPr="006B3314">
              <w:rPr>
                <w:rStyle w:val="a9"/>
                <w:rFonts w:ascii="Times New Roman" w:eastAsia="楷体" w:hAnsi="Times New Roman"/>
                <w:b/>
                <w:noProof/>
              </w:rPr>
              <w:t>化工</w:t>
            </w:r>
            <w:r w:rsidRPr="006B3314">
              <w:rPr>
                <w:rStyle w:val="a9"/>
                <w:rFonts w:ascii="Times New Roman" w:eastAsia="楷体" w:hAnsi="Times New Roman"/>
                <w:b/>
                <w:noProof/>
              </w:rPr>
              <w:t>]</w:t>
            </w:r>
          </w:hyperlink>
        </w:p>
        <w:p w:rsidR="004D0484" w:rsidRDefault="004D0484">
          <w:pPr>
            <w:pStyle w:val="23"/>
            <w:tabs>
              <w:tab w:val="right" w:leader="dot" w:pos="8296"/>
            </w:tabs>
            <w:rPr>
              <w:rFonts w:eastAsiaTheme="minorEastAsia"/>
              <w:noProof/>
              <w:szCs w:val="22"/>
            </w:rPr>
          </w:pPr>
          <w:hyperlink w:anchor="_Toc141348426" w:history="1">
            <w:r w:rsidRPr="006B3314">
              <w:rPr>
                <w:rStyle w:val="a9"/>
                <w:rFonts w:ascii="Times New Roman" w:eastAsia="楷体" w:hAnsi="Times New Roman"/>
                <w:b/>
                <w:noProof/>
              </w:rPr>
              <w:t>天然橡胶</w:t>
            </w:r>
            <w:r w:rsidRPr="006B3314">
              <w:rPr>
                <w:rStyle w:val="a9"/>
                <w:rFonts w:ascii="Times New Roman" w:eastAsia="楷体" w:hAnsi="Times New Roman"/>
                <w:b/>
                <w:noProof/>
              </w:rPr>
              <w:t>:</w:t>
            </w:r>
            <w:r w:rsidRPr="006B3314">
              <w:rPr>
                <w:rStyle w:val="a9"/>
                <w:rFonts w:ascii="楷体" w:eastAsia="楷体" w:hAnsi="楷体"/>
                <w:b/>
                <w:noProof/>
              </w:rPr>
              <w:t xml:space="preserve"> 轮储事件影响逐步走弱 RU或低位震荡为主</w:t>
            </w:r>
          </w:hyperlink>
        </w:p>
        <w:p w:rsidR="004D0484" w:rsidRDefault="004D0484">
          <w:pPr>
            <w:pStyle w:val="23"/>
            <w:tabs>
              <w:tab w:val="right" w:leader="dot" w:pos="8296"/>
            </w:tabs>
            <w:rPr>
              <w:rFonts w:eastAsiaTheme="minorEastAsia"/>
              <w:noProof/>
              <w:szCs w:val="22"/>
            </w:rPr>
          </w:pPr>
          <w:hyperlink w:anchor="_Toc141348427" w:history="1">
            <w:r w:rsidRPr="006B3314">
              <w:rPr>
                <w:rStyle w:val="a9"/>
                <w:rFonts w:ascii="楷体" w:eastAsia="楷体" w:hAnsi="楷体"/>
                <w:b/>
                <w:noProof/>
              </w:rPr>
              <w:t>PTA：成本端驱动偏强</w:t>
            </w:r>
          </w:hyperlink>
        </w:p>
        <w:p w:rsidR="004D0484" w:rsidRDefault="004D0484">
          <w:pPr>
            <w:pStyle w:val="23"/>
            <w:tabs>
              <w:tab w:val="right" w:leader="dot" w:pos="8296"/>
            </w:tabs>
            <w:rPr>
              <w:rFonts w:eastAsiaTheme="minorEastAsia"/>
              <w:noProof/>
              <w:szCs w:val="22"/>
            </w:rPr>
          </w:pPr>
          <w:hyperlink w:anchor="_Toc141348428" w:history="1">
            <w:r w:rsidRPr="006B3314">
              <w:rPr>
                <w:rStyle w:val="a9"/>
                <w:rFonts w:ascii="楷体" w:eastAsia="楷体" w:hAnsi="楷体"/>
                <w:b/>
                <w:noProof/>
              </w:rPr>
              <w:t>PVC：高库存+弱复苏 驱动不足</w:t>
            </w:r>
          </w:hyperlink>
        </w:p>
        <w:p w:rsidR="004D0484" w:rsidRDefault="004D0484">
          <w:pPr>
            <w:pStyle w:val="23"/>
            <w:tabs>
              <w:tab w:val="right" w:leader="dot" w:pos="8296"/>
            </w:tabs>
            <w:rPr>
              <w:rFonts w:eastAsiaTheme="minorEastAsia"/>
              <w:noProof/>
              <w:szCs w:val="22"/>
            </w:rPr>
          </w:pPr>
          <w:hyperlink w:anchor="_Toc141348429" w:history="1">
            <w:r w:rsidRPr="006B3314">
              <w:rPr>
                <w:rStyle w:val="a9"/>
                <w:rFonts w:ascii="楷体" w:eastAsia="楷体" w:hAnsi="楷体"/>
                <w:b/>
                <w:noProof/>
              </w:rPr>
              <w:t>聚烯烃：原油走势回落，聚烯烃或区间震荡为主</w:t>
            </w:r>
          </w:hyperlink>
        </w:p>
        <w:p w:rsidR="004D0484" w:rsidRDefault="004D0484">
          <w:pPr>
            <w:pStyle w:val="23"/>
            <w:tabs>
              <w:tab w:val="right" w:leader="dot" w:pos="8296"/>
            </w:tabs>
            <w:rPr>
              <w:rFonts w:eastAsiaTheme="minorEastAsia"/>
              <w:noProof/>
              <w:szCs w:val="22"/>
            </w:rPr>
          </w:pPr>
          <w:hyperlink w:anchor="_Toc141348430" w:history="1">
            <w:r w:rsidRPr="006B3314">
              <w:rPr>
                <w:rStyle w:val="a9"/>
                <w:rFonts w:ascii="楷体" w:eastAsia="楷体" w:hAnsi="楷体"/>
                <w:b/>
                <w:noProof/>
              </w:rPr>
              <w:t>MEG：成本端提振 短期仍有支撑</w:t>
            </w:r>
          </w:hyperlink>
        </w:p>
        <w:p w:rsidR="004D0484" w:rsidRDefault="004D0484">
          <w:pPr>
            <w:pStyle w:val="23"/>
            <w:tabs>
              <w:tab w:val="right" w:leader="dot" w:pos="8296"/>
            </w:tabs>
            <w:rPr>
              <w:rFonts w:eastAsiaTheme="minorEastAsia"/>
              <w:noProof/>
              <w:szCs w:val="22"/>
            </w:rPr>
          </w:pPr>
          <w:hyperlink w:anchor="_Toc141348431" w:history="1">
            <w:r w:rsidRPr="006B3314">
              <w:rPr>
                <w:rStyle w:val="a9"/>
                <w:rFonts w:ascii="楷体" w:eastAsia="楷体" w:hAnsi="楷体"/>
                <w:b/>
                <w:noProof/>
              </w:rPr>
              <w:t>玻璃：基本面走弱，政策有支撑</w:t>
            </w:r>
          </w:hyperlink>
        </w:p>
        <w:p w:rsidR="004D0484" w:rsidRDefault="004D0484">
          <w:pPr>
            <w:pStyle w:val="23"/>
            <w:tabs>
              <w:tab w:val="right" w:leader="dot" w:pos="8296"/>
            </w:tabs>
            <w:rPr>
              <w:rFonts w:eastAsiaTheme="minorEastAsia"/>
              <w:noProof/>
              <w:szCs w:val="22"/>
            </w:rPr>
          </w:pPr>
          <w:hyperlink w:anchor="_Toc141348432" w:history="1">
            <w:r w:rsidRPr="006B3314">
              <w:rPr>
                <w:rStyle w:val="a9"/>
                <w:rFonts w:ascii="楷体" w:eastAsia="楷体" w:hAnsi="楷体"/>
                <w:b/>
                <w:noProof/>
              </w:rPr>
              <w:t>纯碱：周内大幅去库，震荡偏强</w:t>
            </w:r>
          </w:hyperlink>
        </w:p>
        <w:p w:rsidR="004D0484" w:rsidRDefault="004D0484">
          <w:pPr>
            <w:pStyle w:val="11"/>
            <w:tabs>
              <w:tab w:val="right" w:leader="dot" w:pos="8296"/>
            </w:tabs>
            <w:rPr>
              <w:rFonts w:eastAsiaTheme="minorEastAsia"/>
              <w:noProof/>
              <w:szCs w:val="22"/>
            </w:rPr>
          </w:pPr>
          <w:hyperlink w:anchor="_Toc141348433" w:history="1">
            <w:r w:rsidRPr="006B3314">
              <w:rPr>
                <w:rStyle w:val="a9"/>
                <w:rFonts w:ascii="Times New Roman" w:eastAsia="楷体" w:hAnsi="Times New Roman"/>
                <w:b/>
                <w:noProof/>
              </w:rPr>
              <w:t>[</w:t>
            </w:r>
            <w:r w:rsidRPr="006B3314">
              <w:rPr>
                <w:rStyle w:val="a9"/>
                <w:rFonts w:ascii="Times New Roman" w:eastAsia="楷体" w:hAnsi="Times New Roman"/>
                <w:b/>
                <w:noProof/>
              </w:rPr>
              <w:t>农产品</w:t>
            </w:r>
            <w:r w:rsidRPr="006B3314">
              <w:rPr>
                <w:rStyle w:val="a9"/>
                <w:rFonts w:ascii="Times New Roman" w:eastAsia="楷体" w:hAnsi="Times New Roman"/>
                <w:b/>
                <w:noProof/>
              </w:rPr>
              <w:t>]</w:t>
            </w:r>
          </w:hyperlink>
        </w:p>
        <w:p w:rsidR="004D0484" w:rsidRDefault="004D0484">
          <w:pPr>
            <w:pStyle w:val="23"/>
            <w:tabs>
              <w:tab w:val="right" w:leader="dot" w:pos="8296"/>
            </w:tabs>
            <w:rPr>
              <w:rFonts w:eastAsiaTheme="minorEastAsia"/>
              <w:noProof/>
              <w:szCs w:val="22"/>
            </w:rPr>
          </w:pPr>
          <w:hyperlink w:anchor="_Toc141348434" w:history="1">
            <w:r w:rsidRPr="006B3314">
              <w:rPr>
                <w:rStyle w:val="a9"/>
                <w:rFonts w:ascii="楷体" w:eastAsia="楷体" w:hAnsi="楷体"/>
                <w:b/>
                <w:noProof/>
              </w:rPr>
              <w:t>豆粕/菜粕：短期维持谨慎看多观点</w:t>
            </w:r>
          </w:hyperlink>
        </w:p>
        <w:p w:rsidR="004D0484" w:rsidRDefault="004D0484">
          <w:pPr>
            <w:pStyle w:val="23"/>
            <w:tabs>
              <w:tab w:val="right" w:leader="dot" w:pos="8296"/>
            </w:tabs>
            <w:rPr>
              <w:rFonts w:eastAsiaTheme="minorEastAsia"/>
              <w:noProof/>
              <w:szCs w:val="22"/>
            </w:rPr>
          </w:pPr>
          <w:hyperlink w:anchor="_Toc141348435" w:history="1">
            <w:r w:rsidRPr="006B3314">
              <w:rPr>
                <w:rStyle w:val="a9"/>
                <w:rFonts w:ascii="楷体" w:eastAsia="楷体" w:hAnsi="楷体"/>
                <w:b/>
                <w:noProof/>
              </w:rPr>
              <w:t>油脂：维持高位震荡</w:t>
            </w:r>
          </w:hyperlink>
        </w:p>
        <w:p w:rsidR="004D0484" w:rsidRDefault="004D0484">
          <w:pPr>
            <w:pStyle w:val="23"/>
            <w:tabs>
              <w:tab w:val="right" w:leader="dot" w:pos="8296"/>
            </w:tabs>
            <w:rPr>
              <w:rFonts w:eastAsiaTheme="minorEastAsia"/>
              <w:noProof/>
              <w:szCs w:val="22"/>
            </w:rPr>
          </w:pPr>
          <w:hyperlink w:anchor="_Toc141348436" w:history="1">
            <w:r w:rsidRPr="006B3314">
              <w:rPr>
                <w:rStyle w:val="a9"/>
                <w:rFonts w:ascii="楷体" w:eastAsia="楷体" w:hAnsi="楷体"/>
                <w:b/>
                <w:bCs/>
                <w:noProof/>
              </w:rPr>
              <w:t>玉米与淀粉：</w:t>
            </w:r>
            <w:r w:rsidRPr="006B3314">
              <w:rPr>
                <w:rStyle w:val="a9"/>
                <w:rFonts w:ascii="楷体" w:eastAsia="楷体" w:hAnsi="楷体"/>
                <w:b/>
                <w:noProof/>
              </w:rPr>
              <w:t>重点关注陈化水稻抛储政策</w:t>
            </w:r>
          </w:hyperlink>
        </w:p>
        <w:p w:rsidR="004D0484" w:rsidRDefault="004D0484">
          <w:pPr>
            <w:pStyle w:val="23"/>
            <w:tabs>
              <w:tab w:val="right" w:leader="dot" w:pos="8296"/>
            </w:tabs>
            <w:rPr>
              <w:rFonts w:eastAsiaTheme="minorEastAsia"/>
              <w:noProof/>
              <w:szCs w:val="22"/>
            </w:rPr>
          </w:pPr>
          <w:hyperlink w:anchor="_Toc141348437" w:history="1">
            <w:r w:rsidRPr="006B3314">
              <w:rPr>
                <w:rStyle w:val="a9"/>
                <w:rFonts w:ascii="楷体" w:eastAsia="楷体" w:hAnsi="楷体"/>
                <w:b/>
                <w:bCs/>
                <w:noProof/>
              </w:rPr>
              <w:t>畜禽养殖：继续关注现货上涨的持续性</w:t>
            </w:r>
          </w:hyperlink>
        </w:p>
        <w:p w:rsidR="004D0484" w:rsidRDefault="004D0484">
          <w:pPr>
            <w:pStyle w:val="23"/>
            <w:tabs>
              <w:tab w:val="right" w:leader="dot" w:pos="8296"/>
            </w:tabs>
            <w:rPr>
              <w:rFonts w:eastAsiaTheme="minorEastAsia"/>
              <w:noProof/>
              <w:szCs w:val="22"/>
            </w:rPr>
          </w:pPr>
          <w:hyperlink w:anchor="_Toc141348438" w:history="1">
            <w:r w:rsidRPr="006B3314">
              <w:rPr>
                <w:rStyle w:val="a9"/>
                <w:rFonts w:ascii="楷体" w:eastAsia="楷体" w:hAnsi="楷体"/>
                <w:b/>
                <w:noProof/>
              </w:rPr>
              <w:t>郑棉：09看跌期权卖权持有，01多单持有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134840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1348410"/>
      <w:bookmarkEnd w:id="4"/>
      <w:r>
        <w:rPr>
          <w:rFonts w:ascii="Times New Roman" w:eastAsia="楷体" w:hAnsi="Times New Roman" w:hint="eastAsia"/>
          <w:b/>
          <w:color w:val="000000" w:themeColor="text1"/>
          <w:sz w:val="24"/>
          <w:szCs w:val="24"/>
        </w:rPr>
        <w:t>股指：</w:t>
      </w:r>
      <w:bookmarkEnd w:id="6"/>
      <w:bookmarkEnd w:id="7"/>
      <w:r w:rsidR="007C1DB9" w:rsidRPr="007C1DB9">
        <w:rPr>
          <w:rFonts w:ascii="Times New Roman" w:eastAsia="楷体" w:hAnsi="Times New Roman" w:hint="eastAsia"/>
          <w:b/>
          <w:color w:val="000000" w:themeColor="text1"/>
          <w:sz w:val="24"/>
          <w:szCs w:val="24"/>
        </w:rPr>
        <w:t>低多</w:t>
      </w:r>
      <w:r w:rsidR="007C1DB9" w:rsidRPr="007C1DB9">
        <w:rPr>
          <w:rFonts w:ascii="Times New Roman" w:eastAsia="楷体" w:hAnsi="Times New Roman" w:hint="eastAsia"/>
          <w:b/>
          <w:color w:val="000000" w:themeColor="text1"/>
          <w:sz w:val="24"/>
          <w:szCs w:val="24"/>
        </w:rPr>
        <w:t>IF</w:t>
      </w:r>
      <w:bookmarkEnd w:id="8"/>
    </w:p>
    <w:p w:rsidR="003F56A5" w:rsidRDefault="007C1DB9" w:rsidP="00D14B3E">
      <w:pPr>
        <w:ind w:leftChars="300" w:left="630"/>
        <w:rPr>
          <w:rFonts w:ascii="Times New Roman" w:eastAsia="楷体" w:hAnsi="Times New Roman"/>
          <w:color w:val="000000" w:themeColor="text1"/>
          <w:sz w:val="24"/>
          <w:szCs w:val="24"/>
        </w:rPr>
      </w:pPr>
      <w:r w:rsidRPr="007C1DB9">
        <w:rPr>
          <w:rFonts w:ascii="Times New Roman" w:eastAsia="楷体" w:hAnsi="Times New Roman" w:hint="eastAsia"/>
          <w:color w:val="000000" w:themeColor="text1"/>
          <w:sz w:val="24"/>
          <w:szCs w:val="24"/>
        </w:rPr>
        <w:t>昨日沪指震荡微跌，成交量波动较大，但整体情绪仍在温和修复，地产政策仍在释放，市场炒作情绪活跃，周四凌晨</w:t>
      </w:r>
      <w:r w:rsidRPr="007C1DB9">
        <w:rPr>
          <w:rFonts w:ascii="Times New Roman" w:eastAsia="楷体" w:hAnsi="Times New Roman" w:hint="eastAsia"/>
          <w:color w:val="000000" w:themeColor="text1"/>
          <w:sz w:val="24"/>
          <w:szCs w:val="24"/>
        </w:rPr>
        <w:t>FOMC</w:t>
      </w:r>
      <w:r w:rsidRPr="007C1DB9">
        <w:rPr>
          <w:rFonts w:ascii="Times New Roman" w:eastAsia="楷体" w:hAnsi="Times New Roman" w:hint="eastAsia"/>
          <w:color w:val="000000" w:themeColor="text1"/>
          <w:sz w:val="24"/>
          <w:szCs w:val="24"/>
        </w:rPr>
        <w:t>大概率加息</w:t>
      </w:r>
      <w:r w:rsidRPr="007C1DB9">
        <w:rPr>
          <w:rFonts w:ascii="Times New Roman" w:eastAsia="楷体" w:hAnsi="Times New Roman" w:hint="eastAsia"/>
          <w:color w:val="000000" w:themeColor="text1"/>
          <w:sz w:val="24"/>
          <w:szCs w:val="24"/>
        </w:rPr>
        <w:t>25bp</w:t>
      </w:r>
      <w:r w:rsidRPr="007C1DB9">
        <w:rPr>
          <w:rFonts w:ascii="Times New Roman" w:eastAsia="楷体" w:hAnsi="Times New Roman" w:hint="eastAsia"/>
          <w:color w:val="000000" w:themeColor="text1"/>
          <w:sz w:val="24"/>
          <w:szCs w:val="24"/>
        </w:rPr>
        <w:t>，市场已充分计价，外盘风险不确定性下行，短线跟随市场情绪轻仓做多，中期市场乐观预期发酵后续还需标示性事件和关键验证催化</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134841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1348412"/>
      <w:r>
        <w:rPr>
          <w:rFonts w:ascii="Times New Roman" w:eastAsia="楷体" w:hAnsi="Times New Roman" w:hint="eastAsia"/>
          <w:b/>
          <w:color w:val="000000" w:themeColor="text1"/>
          <w:sz w:val="24"/>
          <w:szCs w:val="24"/>
        </w:rPr>
        <w:t>贵金属：</w:t>
      </w:r>
      <w:r w:rsidR="007C1DB9" w:rsidRPr="007C1DB9">
        <w:rPr>
          <w:rFonts w:ascii="Times New Roman" w:eastAsia="楷体" w:hAnsi="Times New Roman" w:hint="eastAsia"/>
          <w:b/>
          <w:color w:val="000000" w:themeColor="text1"/>
          <w:sz w:val="24"/>
          <w:szCs w:val="24"/>
        </w:rPr>
        <w:t>美联储如期加息</w:t>
      </w:r>
      <w:r w:rsidR="007C1DB9" w:rsidRPr="007C1DB9">
        <w:rPr>
          <w:rFonts w:ascii="Times New Roman" w:eastAsia="楷体" w:hAnsi="Times New Roman" w:hint="eastAsia"/>
          <w:b/>
          <w:color w:val="000000" w:themeColor="text1"/>
          <w:sz w:val="24"/>
          <w:szCs w:val="24"/>
        </w:rPr>
        <w:t>25bp</w:t>
      </w:r>
      <w:r w:rsidR="007C1DB9" w:rsidRPr="007C1DB9">
        <w:rPr>
          <w:rFonts w:ascii="Times New Roman" w:eastAsia="楷体" w:hAnsi="Times New Roman" w:hint="eastAsia"/>
          <w:b/>
          <w:color w:val="000000" w:themeColor="text1"/>
          <w:sz w:val="24"/>
          <w:szCs w:val="24"/>
        </w:rPr>
        <w:t>，贵金属价格小幅反弹</w:t>
      </w:r>
      <w:bookmarkEnd w:id="10"/>
    </w:p>
    <w:p w:rsidR="003F56A5" w:rsidRDefault="007C1DB9">
      <w:pPr>
        <w:ind w:leftChars="300" w:left="630"/>
        <w:rPr>
          <w:rFonts w:ascii="Times New Roman" w:eastAsia="楷体" w:hAnsi="Times New Roman"/>
          <w:sz w:val="24"/>
          <w:szCs w:val="24"/>
        </w:rPr>
      </w:pPr>
      <w:r w:rsidRPr="007C1DB9">
        <w:rPr>
          <w:rFonts w:ascii="Times New Roman" w:eastAsia="楷体" w:hAnsi="Times New Roman" w:hint="eastAsia"/>
          <w:color w:val="000000" w:themeColor="text1"/>
          <w:sz w:val="24"/>
          <w:szCs w:val="24"/>
        </w:rPr>
        <w:t>美联储宣布加息</w:t>
      </w:r>
      <w:r w:rsidRPr="007C1DB9">
        <w:rPr>
          <w:rFonts w:ascii="Times New Roman" w:eastAsia="楷体" w:hAnsi="Times New Roman" w:hint="eastAsia"/>
          <w:color w:val="000000" w:themeColor="text1"/>
          <w:sz w:val="24"/>
          <w:szCs w:val="24"/>
        </w:rPr>
        <w:t>25</w:t>
      </w:r>
      <w:r w:rsidRPr="007C1DB9">
        <w:rPr>
          <w:rFonts w:ascii="Times New Roman" w:eastAsia="楷体" w:hAnsi="Times New Roman" w:hint="eastAsia"/>
          <w:color w:val="000000" w:themeColor="text1"/>
          <w:sz w:val="24"/>
          <w:szCs w:val="24"/>
        </w:rPr>
        <w:t>个基点，将联邦基金利率目标区间上调至</w:t>
      </w:r>
      <w:r w:rsidRPr="007C1DB9">
        <w:rPr>
          <w:rFonts w:ascii="Times New Roman" w:eastAsia="楷体" w:hAnsi="Times New Roman" w:hint="eastAsia"/>
          <w:color w:val="000000" w:themeColor="text1"/>
          <w:sz w:val="24"/>
          <w:szCs w:val="24"/>
        </w:rPr>
        <w:t>5.25%-5.5%</w:t>
      </w:r>
      <w:r w:rsidRPr="007C1DB9">
        <w:rPr>
          <w:rFonts w:ascii="Times New Roman" w:eastAsia="楷体" w:hAnsi="Times New Roman" w:hint="eastAsia"/>
          <w:color w:val="000000" w:themeColor="text1"/>
          <w:sz w:val="24"/>
          <w:szCs w:val="24"/>
        </w:rPr>
        <w:t>，符合市场预期。鲍威尔主席讲话称，通胀已经有所缓和，但要距离美联储</w:t>
      </w:r>
      <w:r w:rsidRPr="007C1DB9">
        <w:rPr>
          <w:rFonts w:ascii="Times New Roman" w:eastAsia="楷体" w:hAnsi="Times New Roman" w:hint="eastAsia"/>
          <w:color w:val="000000" w:themeColor="text1"/>
          <w:sz w:val="24"/>
          <w:szCs w:val="24"/>
        </w:rPr>
        <w:t>2%</w:t>
      </w:r>
      <w:r w:rsidRPr="007C1DB9">
        <w:rPr>
          <w:rFonts w:ascii="Times New Roman" w:eastAsia="楷体" w:hAnsi="Times New Roman" w:hint="eastAsia"/>
          <w:color w:val="000000" w:themeColor="text1"/>
          <w:sz w:val="24"/>
          <w:szCs w:val="24"/>
        </w:rPr>
        <w:t>的目标仍较远；保留了</w:t>
      </w:r>
      <w:r w:rsidRPr="007C1DB9">
        <w:rPr>
          <w:rFonts w:ascii="Times New Roman" w:eastAsia="楷体" w:hAnsi="Times New Roman" w:hint="eastAsia"/>
          <w:color w:val="000000" w:themeColor="text1"/>
          <w:sz w:val="24"/>
          <w:szCs w:val="24"/>
        </w:rPr>
        <w:t>9</w:t>
      </w:r>
      <w:r w:rsidRPr="007C1DB9">
        <w:rPr>
          <w:rFonts w:ascii="Times New Roman" w:eastAsia="楷体" w:hAnsi="Times New Roman" w:hint="eastAsia"/>
          <w:color w:val="000000" w:themeColor="text1"/>
          <w:sz w:val="24"/>
          <w:szCs w:val="24"/>
        </w:rPr>
        <w:t>月加息的可能性，今年不会降息。</w:t>
      </w:r>
      <w:r w:rsidRPr="007C1DB9">
        <w:rPr>
          <w:rFonts w:ascii="Times New Roman" w:eastAsia="楷体" w:hAnsi="Times New Roman" w:hint="eastAsia"/>
          <w:color w:val="000000" w:themeColor="text1"/>
          <w:sz w:val="24"/>
          <w:szCs w:val="24"/>
        </w:rPr>
        <w:t>7</w:t>
      </w:r>
      <w:r w:rsidRPr="007C1DB9">
        <w:rPr>
          <w:rFonts w:ascii="Times New Roman" w:eastAsia="楷体" w:hAnsi="Times New Roman" w:hint="eastAsia"/>
          <w:color w:val="000000" w:themeColor="text1"/>
          <w:sz w:val="24"/>
          <w:szCs w:val="24"/>
        </w:rPr>
        <w:t>月加息如期落地且联储表态符合此前预期，隔夜美元指数短线下跌，沪金、沪银小幅反弹。后续关注美国经济基本面转弱迹象，沪金、沪银可逢低试多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134841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1348414"/>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期价宽幅震荡，现货延续下跌</w:t>
      </w:r>
      <w:bookmarkEnd w:id="18"/>
    </w:p>
    <w:p w:rsidR="00F50569" w:rsidRDefault="007C1DB9" w:rsidP="00F50569">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锂辉石精矿及锂云母价格小幅下跌，碳酸锂供应维持增量而下游采购相对谨慎，现货价格延续下跌。上市初期碳酸锂期货价格波动剧烈，前期大幅下跌后超跌反弹，产业链各环节谨慎观望期价后续走势，对于现货锂价的看空情绪相对浓厚。品种基本面逻辑不变，随着新扩产能逐步释放，碳酸锂供需格局或朝向供给相对宽松转变，后续思路建议仍以逢高试空为主</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1348415"/>
      <w:r>
        <w:rPr>
          <w:rFonts w:ascii="楷体" w:eastAsia="楷体" w:hAnsi="楷体" w:hint="eastAsia"/>
          <w:b/>
          <w:color w:val="000000" w:themeColor="text1"/>
          <w:sz w:val="24"/>
          <w:szCs w:val="24"/>
        </w:rPr>
        <w:t>螺纹钢：</w:t>
      </w:r>
      <w:bookmarkEnd w:id="16"/>
      <w:bookmarkEnd w:id="17"/>
      <w:r w:rsidR="007C1DB9" w:rsidRPr="007C1DB9">
        <w:rPr>
          <w:rFonts w:ascii="楷体" w:eastAsia="楷体" w:hAnsi="楷体" w:hint="eastAsia"/>
          <w:b/>
          <w:color w:val="000000" w:themeColor="text1"/>
          <w:sz w:val="24"/>
          <w:szCs w:val="24"/>
        </w:rPr>
        <w:t>钢价或继续偏强运行，关注中游补库情况</w:t>
      </w:r>
      <w:bookmarkEnd w:id="19"/>
    </w:p>
    <w:p w:rsidR="003F56A5" w:rsidRDefault="007C1DB9" w:rsidP="00201944">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国内利好刺激推动价格突破上行，昨日现货情绪环比有所减弱，美联储议息会议符合预期。目前现货库存结构相对健康，旺季前或有小幅度补库。预计钢价或继续震荡上行，预计区间（3820,3920）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1348416"/>
      <w:r>
        <w:rPr>
          <w:rFonts w:ascii="楷体" w:eastAsia="楷体" w:hAnsi="楷体" w:hint="eastAsia"/>
          <w:b/>
          <w:color w:val="000000" w:themeColor="text1"/>
          <w:sz w:val="24"/>
          <w:szCs w:val="24"/>
        </w:rPr>
        <w:t>焦炭：</w:t>
      </w:r>
      <w:bookmarkEnd w:id="20"/>
      <w:bookmarkEnd w:id="21"/>
      <w:r w:rsidR="007C1DB9" w:rsidRPr="007C1DB9">
        <w:rPr>
          <w:rFonts w:ascii="楷体" w:eastAsia="楷体" w:hAnsi="楷体" w:hint="eastAsia"/>
          <w:b/>
          <w:color w:val="000000" w:themeColor="text1"/>
          <w:sz w:val="24"/>
          <w:szCs w:val="24"/>
        </w:rPr>
        <w:t>配煤价格补涨，焦炭或偏强运行</w:t>
      </w:r>
      <w:bookmarkEnd w:id="22"/>
    </w:p>
    <w:p w:rsidR="003F56A5" w:rsidRDefault="007C1DB9" w:rsidP="00572E35">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第三轮提涨大规模提出，港口现货价格大幅度上涨40元/吨，配煤大幅度补涨，焦化成本继续上行推动焦炭价格上涨，盘面提前兑现涨幅，预计焦炭价格高位偏强震荡，预计震荡区间（2290，2360）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1348417"/>
      <w:r>
        <w:rPr>
          <w:rFonts w:ascii="楷体" w:eastAsia="楷体" w:hAnsi="楷体" w:hint="eastAsia"/>
          <w:b/>
          <w:color w:val="000000" w:themeColor="text1"/>
          <w:sz w:val="24"/>
          <w:szCs w:val="24"/>
        </w:rPr>
        <w:t>焦煤：</w:t>
      </w:r>
      <w:r w:rsidR="007C1DB9" w:rsidRPr="007C1DB9">
        <w:rPr>
          <w:rFonts w:ascii="楷体" w:eastAsia="楷体" w:hAnsi="楷体" w:hint="eastAsia"/>
          <w:b/>
          <w:sz w:val="24"/>
          <w:szCs w:val="24"/>
        </w:rPr>
        <w:t>配煤大幅度补涨，主焦偏强运行，盘面或高位偏强震荡</w:t>
      </w:r>
      <w:bookmarkEnd w:id="23"/>
    </w:p>
    <w:p w:rsidR="003F56A5" w:rsidRDefault="007C1DB9">
      <w:pPr>
        <w:ind w:leftChars="300" w:left="630"/>
        <w:rPr>
          <w:rFonts w:ascii="楷体" w:eastAsia="楷体" w:hAnsi="楷体"/>
          <w:bCs/>
          <w:sz w:val="24"/>
          <w:szCs w:val="24"/>
        </w:rPr>
      </w:pPr>
      <w:r w:rsidRPr="007C1DB9">
        <w:rPr>
          <w:rFonts w:ascii="楷体" w:eastAsia="楷体" w:hAnsi="楷体" w:hint="eastAsia"/>
          <w:sz w:val="24"/>
          <w:szCs w:val="24"/>
        </w:rPr>
        <w:t>山西部分地区因道路维修，部分矿点拉运商不通畅，前期其他地区矿点产量在逐步修复，当前短期或持续去库，总库存低位下，价格或继续偏强运行。关注供应收缩的持续性，预计价格或在（1510,1580）区间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1348418"/>
      <w:r>
        <w:rPr>
          <w:rFonts w:ascii="楷体" w:eastAsia="楷体" w:hAnsi="楷体" w:hint="eastAsia"/>
          <w:b/>
          <w:color w:val="000000" w:themeColor="text1"/>
          <w:sz w:val="24"/>
          <w:szCs w:val="24"/>
        </w:rPr>
        <w:lastRenderedPageBreak/>
        <w:t>铜：</w:t>
      </w:r>
      <w:bookmarkEnd w:id="24"/>
      <w:bookmarkEnd w:id="25"/>
      <w:r w:rsidR="007C1DB9" w:rsidRPr="007C1DB9">
        <w:rPr>
          <w:rFonts w:ascii="楷体" w:eastAsia="楷体" w:hAnsi="楷体" w:hint="eastAsia"/>
          <w:b/>
          <w:color w:val="000000" w:themeColor="text1"/>
          <w:sz w:val="24"/>
          <w:szCs w:val="24"/>
        </w:rPr>
        <w:t>维持高位震荡运行</w:t>
      </w:r>
      <w:bookmarkEnd w:id="26"/>
    </w:p>
    <w:p w:rsidR="007C1DB9" w:rsidRPr="007C1DB9" w:rsidRDefault="007C1DB9" w:rsidP="007C1DB9">
      <w:pPr>
        <w:ind w:leftChars="300" w:left="630"/>
        <w:rPr>
          <w:rFonts w:ascii="楷体" w:eastAsia="楷体" w:hAnsi="楷体" w:hint="eastAsia"/>
          <w:color w:val="000000" w:themeColor="text1"/>
          <w:sz w:val="24"/>
          <w:szCs w:val="24"/>
        </w:rPr>
      </w:pPr>
      <w:r w:rsidRPr="007C1DB9">
        <w:rPr>
          <w:rFonts w:ascii="楷体" w:eastAsia="楷体" w:hAnsi="楷体" w:hint="eastAsia"/>
          <w:color w:val="000000" w:themeColor="text1"/>
          <w:sz w:val="24"/>
          <w:szCs w:val="24"/>
        </w:rPr>
        <w:t>(1)宏观：美联储宣布加息25个基点，将联邦基金利率目标区间上调至5.25%-5.5%，为2001年以来的最高水平。 这是美联储自去年启动本轮加息进程以来的第11次加息，累计幅度达到了525个基点。</w:t>
      </w:r>
    </w:p>
    <w:p w:rsidR="007C1DB9" w:rsidRPr="007C1DB9" w:rsidRDefault="007C1DB9" w:rsidP="007C1DB9">
      <w:pPr>
        <w:ind w:leftChars="300" w:left="630"/>
        <w:rPr>
          <w:rFonts w:ascii="楷体" w:eastAsia="楷体" w:hAnsi="楷体" w:hint="eastAsia"/>
          <w:color w:val="000000" w:themeColor="text1"/>
          <w:sz w:val="24"/>
          <w:szCs w:val="24"/>
        </w:rPr>
      </w:pPr>
      <w:r w:rsidRPr="007C1DB9">
        <w:rPr>
          <w:rFonts w:ascii="楷体" w:eastAsia="楷体" w:hAnsi="楷体" w:hint="eastAsia"/>
          <w:color w:val="000000" w:themeColor="text1"/>
          <w:sz w:val="24"/>
          <w:szCs w:val="24"/>
        </w:rPr>
        <w:t>(2)库存：7月26日，SHFE仓单库存22041吨，减3007吨；LME仓单库存60700吨，减75吨。</w:t>
      </w:r>
    </w:p>
    <w:p w:rsidR="007C1DB9" w:rsidRPr="007C1DB9" w:rsidRDefault="007C1DB9" w:rsidP="007C1DB9">
      <w:pPr>
        <w:ind w:leftChars="300" w:left="630"/>
        <w:rPr>
          <w:rFonts w:ascii="楷体" w:eastAsia="楷体" w:hAnsi="楷体" w:hint="eastAsia"/>
          <w:color w:val="000000" w:themeColor="text1"/>
          <w:sz w:val="24"/>
          <w:szCs w:val="24"/>
        </w:rPr>
      </w:pPr>
      <w:r w:rsidRPr="007C1DB9">
        <w:rPr>
          <w:rFonts w:ascii="楷体" w:eastAsia="楷体" w:hAnsi="楷体" w:hint="eastAsia"/>
          <w:color w:val="000000" w:themeColor="text1"/>
          <w:sz w:val="24"/>
          <w:szCs w:val="24"/>
        </w:rPr>
        <w:t>(3)精废价差：7月26日，Mysteel精废价差1704，收窄28。目前价差在合理价差1391之上。</w:t>
      </w:r>
    </w:p>
    <w:p w:rsidR="007C1DB9" w:rsidRPr="007C1DB9" w:rsidRDefault="007C1DB9" w:rsidP="007C1DB9">
      <w:pPr>
        <w:ind w:leftChars="300" w:left="630"/>
        <w:rPr>
          <w:rFonts w:ascii="楷体" w:eastAsia="楷体" w:hAnsi="楷体"/>
          <w:color w:val="000000" w:themeColor="text1"/>
          <w:sz w:val="24"/>
          <w:szCs w:val="24"/>
        </w:rPr>
      </w:pPr>
    </w:p>
    <w:p w:rsidR="00127803" w:rsidRPr="00127803" w:rsidRDefault="007C1DB9" w:rsidP="007C1DB9">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综述：隔夜美联储如期加息25bp，鲍威尔在新闻发布会上表示，美联储将评估有关通胀、就业和经济增长的更多信息，然后再决定下一步行动，并一再强调美联储将保留各种选择。短期市场解读略偏鸽派，美元指数承压回落，但不能忽视当前劳动力市场和经济超预期带来的通胀风险。随着基数效应减弱，年底通胀仍可能抬头，而这意味着后期仍有加息的可能性，这仍将限制铜价反弹的高度。7月政治局会议释放积极信号，整体市场情绪偏暖，在刺激性政策及由此带来的需求增加预期证伪前预计价格将保持高位震荡运行，参考68000-71000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1348419"/>
      <w:r>
        <w:rPr>
          <w:rFonts w:ascii="楷体" w:eastAsia="楷体" w:hAnsi="楷体" w:hint="eastAsia"/>
          <w:b/>
          <w:color w:val="000000" w:themeColor="text1"/>
          <w:sz w:val="24"/>
          <w:szCs w:val="24"/>
        </w:rPr>
        <w:t>铝：</w:t>
      </w:r>
      <w:bookmarkEnd w:id="27"/>
      <w:bookmarkEnd w:id="28"/>
      <w:r w:rsidR="007C1DB9" w:rsidRPr="007C1DB9">
        <w:rPr>
          <w:rFonts w:ascii="楷体" w:eastAsia="楷体" w:hAnsi="楷体" w:hint="eastAsia"/>
          <w:b/>
          <w:color w:val="000000" w:themeColor="text1"/>
          <w:sz w:val="24"/>
          <w:szCs w:val="24"/>
        </w:rPr>
        <w:t>宏观主导盘面走势，价格走势偏强震荡</w:t>
      </w:r>
      <w:bookmarkEnd w:id="29"/>
    </w:p>
    <w:p w:rsidR="003F56A5" w:rsidRDefault="007C1DB9" w:rsidP="00127803">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隔夜美联储如期加息25基点，市场解读偏乐观，美元指数震荡走跌，叠加国内政策利多情绪释放，宏观情绪偏暖支撑价格。国内电解铝净进口量走增，电解铝运行产能维持增长，云南复产稳步推进，部分企业退水转铸，预计7月后 将会在市场体现增量，供应端略有承压。成本端有氧化铝市场价格走升带动电解铝生产成本反弹，下方成本支撑偏强。交易所库存低位小幅去库，周度社会库存小幅累库， 下游淡季开工，企业刚需补库，建筑型材消费仍未有明显好转，工业型材用铝需求小幅走增，需求维持弱修复。 在基本面矛盾刺激偏弱的情况下，政策利多叠加生产成本反弹支撑铝价，多空博弈之下，沪铝维持区间震荡，震荡区间17000-19000，近期受宏观情绪引导走势偏强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1348420"/>
      <w:r>
        <w:rPr>
          <w:rFonts w:ascii="楷体" w:eastAsia="楷体" w:hAnsi="楷体" w:hint="eastAsia"/>
          <w:b/>
          <w:color w:val="000000" w:themeColor="text1"/>
          <w:sz w:val="24"/>
          <w:szCs w:val="24"/>
        </w:rPr>
        <w:t>锌：</w:t>
      </w:r>
      <w:r w:rsidR="007C1DB9" w:rsidRPr="007C1DB9">
        <w:rPr>
          <w:rFonts w:ascii="楷体" w:eastAsia="楷体" w:hAnsi="楷体" w:hint="eastAsia"/>
          <w:b/>
          <w:color w:val="000000" w:themeColor="text1"/>
          <w:sz w:val="24"/>
          <w:szCs w:val="24"/>
        </w:rPr>
        <w:t>宏观情绪支撑锌价震荡走强</w:t>
      </w:r>
      <w:bookmarkEnd w:id="30"/>
    </w:p>
    <w:p w:rsidR="003F56A5" w:rsidRDefault="007C1DB9" w:rsidP="000B0648">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联储如期加息25基点，市场解读情绪偏鸽，美元指数震荡走弱，海外宏观情绪走强，国内国家政治局经济会议召开，针对房地产政策要求适时调整优化，市场交投情绪提振。6月国内精炼锌产量为55.25万吨，产量走低但仍位于季节性偏高位置，原料市场较为宽裕，产量环比回落程度不及预期，7、8月仍为需求淡季，国内冶炼企业多计划检修，精炼锌产出或边际缩量，但在冶炼利润修复的情况之下，冶炼收缩程度有限。整体来看，锌的基本面格局仍偏向供应过剩、需求弱修复，但近期交易更多受宏观情绪影响走势偏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1348421"/>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w:t>
      </w:r>
      <w:r w:rsidRPr="00D14B3E">
        <w:rPr>
          <w:rFonts w:ascii="楷体" w:eastAsia="楷体" w:hAnsi="楷体" w:hint="eastAsia"/>
          <w:color w:val="000000" w:themeColor="text1"/>
          <w:sz w:val="24"/>
          <w:szCs w:val="24"/>
        </w:rPr>
        <w:lastRenderedPageBreak/>
        <w:t>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1348422"/>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价格上行空间有限，价格高位震荡运行</w:t>
      </w:r>
      <w:bookmarkEnd w:id="32"/>
    </w:p>
    <w:p w:rsidR="008B13D2" w:rsidRPr="008B13D2" w:rsidRDefault="007C1DB9" w:rsidP="008B13D2">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废电瓶高位盘整为主，原料供应偏紧，高成本为铅价提供一定支撑；原生铅企业检修影响降低，铅锭供应阶段性恢复；再生铅利润边际好转，再生铅企业开工率回升；市场流通货源仍较紧，沪铅及伦铅库存均回升；下游蓄电池企业开工企稳，市场存在三季度消费传统旺季预期。中期铅供应预计偏宽松，铅价上行动力或有限</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1348423"/>
      <w:r>
        <w:rPr>
          <w:rFonts w:ascii="楷体" w:eastAsia="楷体" w:hAnsi="楷体" w:hint="eastAsia"/>
          <w:b/>
          <w:color w:val="000000" w:themeColor="text1"/>
          <w:sz w:val="24"/>
          <w:szCs w:val="24"/>
        </w:rPr>
        <w:t>不锈钢：</w:t>
      </w:r>
      <w:r w:rsidR="001D7D0A" w:rsidRPr="001D7D0A">
        <w:rPr>
          <w:rFonts w:ascii="楷体" w:eastAsia="楷体" w:hAnsi="楷体" w:hint="eastAsia"/>
          <w:b/>
          <w:color w:val="000000" w:themeColor="text1"/>
          <w:sz w:val="24"/>
          <w:szCs w:val="24"/>
        </w:rPr>
        <w:t>成本支撑刚性，不锈钢震荡偏强运行</w:t>
      </w:r>
      <w:bookmarkEnd w:id="33"/>
    </w:p>
    <w:p w:rsidR="003F56A5" w:rsidRDefault="001D7D0A">
      <w:pPr>
        <w:ind w:leftChars="300" w:left="630"/>
        <w:rPr>
          <w:rFonts w:ascii="楷体" w:eastAsia="楷体" w:hAnsi="楷体"/>
          <w:color w:val="000000" w:themeColor="text1"/>
          <w:sz w:val="24"/>
          <w:szCs w:val="24"/>
        </w:rPr>
      </w:pPr>
      <w:r w:rsidRPr="001D7D0A">
        <w:rPr>
          <w:rFonts w:ascii="楷体" w:eastAsia="楷体" w:hAnsi="楷体" w:hint="eastAsia"/>
          <w:color w:val="000000" w:themeColor="text1"/>
          <w:sz w:val="24"/>
          <w:szCs w:val="24"/>
        </w:rPr>
        <w:t>近日镍铁价格小幅上抬，成本端对不锈钢价存支撑，且镍铁收储消息仍有不确定性，短期市场情绪或仍有反复。库存方面，当前不锈钢社会库存延续增势，需求相对疲弱，钢厂利润扩大情况下有利于钢厂产量释放，反过来压制价格。操作上不建议继续追高，等待进一步消息面指引</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1348424"/>
      <w:r>
        <w:rPr>
          <w:rFonts w:ascii="楷体" w:eastAsia="楷体" w:hAnsi="楷体" w:hint="eastAsia"/>
          <w:b/>
          <w:color w:val="000000" w:themeColor="text1"/>
          <w:sz w:val="24"/>
          <w:szCs w:val="24"/>
        </w:rPr>
        <w:t>工业硅：</w:t>
      </w:r>
      <w:r w:rsidR="007C1DB9" w:rsidRPr="007C1DB9">
        <w:rPr>
          <w:rFonts w:ascii="楷体" w:eastAsia="楷体" w:hAnsi="楷体" w:hint="eastAsia"/>
          <w:b/>
          <w:sz w:val="24"/>
          <w:szCs w:val="24"/>
        </w:rPr>
        <w:t>单边驱动不足，维持震荡观点</w:t>
      </w:r>
      <w:bookmarkEnd w:id="34"/>
    </w:p>
    <w:p w:rsidR="003F56A5" w:rsidRDefault="007C1DB9" w:rsidP="00827E8A">
      <w:pPr>
        <w:ind w:leftChars="300" w:left="630"/>
        <w:rPr>
          <w:rFonts w:ascii="楷体" w:eastAsia="楷体" w:hAnsi="楷体"/>
          <w:sz w:val="24"/>
          <w:szCs w:val="24"/>
        </w:rPr>
      </w:pPr>
      <w:r w:rsidRPr="007C1DB9">
        <w:rPr>
          <w:rFonts w:ascii="楷体" w:eastAsia="楷体" w:hAnsi="楷体" w:hint="eastAsia"/>
          <w:sz w:val="24"/>
          <w:szCs w:val="24"/>
        </w:rPr>
        <w:t>7月26日，Si2309主力合约呈冲高回落走势，收盘价13615元/吨，较上一收盘价涨跌幅＋0.44%。四川大运会即将举行，期间周边城市需减少污染物排放，保障环境质量，同时也有电力保供需求，短期复产节奏或维持偏弱，预计市场仍有支撑，但考虑终端实际需求整体偏弱，反弹空间有限。整体而言，单边驱动不足，短期维持震荡观点，预计09合约运行区间（13100，13800），建议以波段操作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134842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134842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C1DB9" w:rsidRPr="007C1DB9">
        <w:rPr>
          <w:rFonts w:ascii="楷体" w:eastAsia="楷体" w:hAnsi="楷体" w:hint="eastAsia"/>
          <w:b/>
          <w:sz w:val="24"/>
          <w:szCs w:val="24"/>
        </w:rPr>
        <w:t>轮储事件影响逐步走弱 RU或低位震荡为主</w:t>
      </w:r>
      <w:bookmarkEnd w:id="37"/>
    </w:p>
    <w:p w:rsidR="003F56A5" w:rsidRDefault="007C1DB9">
      <w:pPr>
        <w:ind w:leftChars="300" w:left="630"/>
        <w:rPr>
          <w:rFonts w:ascii="楷体" w:eastAsia="楷体" w:hAnsi="楷体"/>
          <w:sz w:val="24"/>
          <w:szCs w:val="24"/>
        </w:rPr>
      </w:pPr>
      <w:r w:rsidRPr="007C1DB9">
        <w:rPr>
          <w:rFonts w:ascii="楷体" w:eastAsia="楷体" w:hAnsi="楷体" w:hint="eastAsia"/>
          <w:sz w:val="24"/>
          <w:szCs w:val="24"/>
        </w:rPr>
        <w:t>点评：目前橡胶供需基本面维持偏弱，RU震荡整理。从基本面拉看，供给端，随着国内替代指标落地，海外供给上量，供应端压力逐步加大；中游库存反复变动，绝对值仍处高位，尽管进口量环比出现一定下滑，但去化难度加大。需求端来看，下游轮胎企业开工率处于高位，但内销市场出货偏慢，导致全钢胎成品库存小幅提升，因此短期开工率继续提升的空间有限。消息层面，据市场传闻国储或先进行老胶抛储，数量和单价暂时未知。短期随着轮储信息初步明朗，前期市场的炒作情绪或逐步降温。而在橡胶基本面依旧弱势的情况下，同时近端09合约高价差矛盾没有解决下，整体盘面依旧维持偏弱表现。但当前胶价已接近成本线，下调空间不足，若无明显利好指引，仍较维持低位震荡。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134842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成本端驱动偏强</w:t>
      </w:r>
      <w:bookmarkEnd w:id="38"/>
      <w:r w:rsidR="008F1360" w:rsidRPr="008F1360">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7C1DB9" w:rsidP="002C73FE">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PTA供给方面，本周福海创450万吨重启，逸盛海南200万吨，新材料360万吨提负，能投100万吨装置计划外停车，PTA负荷提升至78.3%。7月减产利好叠加汽油需求将进入季节性峰值阶段，原油基本面结构改善，短期盘面支撑较强。需求方面，上周因电力故障、天然气供应等原因，瓶片工厂局部出现减产及长丝负荷有局部调整，综合来看聚酯负荷有所下滑。截</w:t>
      </w:r>
      <w:r w:rsidRPr="007C1DB9">
        <w:rPr>
          <w:rFonts w:ascii="楷体" w:eastAsia="楷体" w:hAnsi="楷体" w:hint="eastAsia"/>
          <w:color w:val="000000" w:themeColor="text1"/>
          <w:sz w:val="24"/>
          <w:szCs w:val="24"/>
        </w:rPr>
        <w:lastRenderedPageBreak/>
        <w:t>至7.20，初步核算国内大陆地区聚酯负荷在93%附近。受原料价格走高影响，江浙终端开工率继续小幅下降。但市场对9-10月份旺季有预期，低库存下预计7月聚酯不会轻易减停产。展望后市，海外出行旺季下PXN难压缩，PTA近期检修增多开工率下滑，聚酯因库存低位高开工维持需求韧性尚可。PTA产业供需边际弱化，低工费下或有计划外减停。成本端PX仍偏强及聚酯高开工提振，PTA 短期进入震荡市，关注上方6000压力位。仅供参考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1348428"/>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1348429"/>
      <w:r>
        <w:rPr>
          <w:rFonts w:ascii="楷体" w:eastAsia="楷体" w:hAnsi="楷体" w:hint="eastAsia"/>
          <w:b/>
          <w:color w:val="000000" w:themeColor="text1"/>
          <w:sz w:val="24"/>
          <w:szCs w:val="24"/>
        </w:rPr>
        <w:t>聚烯烃：</w:t>
      </w:r>
      <w:r w:rsidR="007C1DB9" w:rsidRPr="007C1DB9">
        <w:rPr>
          <w:rFonts w:ascii="楷体" w:eastAsia="楷体" w:hAnsi="楷体" w:hint="eastAsia"/>
          <w:b/>
          <w:color w:val="000000" w:themeColor="text1"/>
          <w:sz w:val="24"/>
          <w:szCs w:val="24"/>
        </w:rPr>
        <w:t>原油走势回落，聚烯烃或区间震荡为主</w:t>
      </w:r>
      <w:bookmarkEnd w:id="40"/>
    </w:p>
    <w:p w:rsidR="003F56A5" w:rsidRDefault="007C1DB9">
      <w:pPr>
        <w:ind w:leftChars="300" w:left="630"/>
        <w:rPr>
          <w:rFonts w:ascii="楷体" w:eastAsia="楷体" w:hAnsi="楷体"/>
          <w:bCs/>
          <w:sz w:val="24"/>
          <w:szCs w:val="24"/>
        </w:rPr>
      </w:pPr>
      <w:r w:rsidRPr="007C1DB9">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原油库存降幅小于预期，美联储加息0.25个百分点，欧美原油期货五个交易日以来首次回跌。需求方面，PE下游方面，农膜整体需求平平，工厂生产清淡。棚膜工厂多停机检修；PP下游方面，BOPP市场成交刚需有量，整体量较上一交易日增加，BOPP企业未交付订单多数在一周以内，个别可至八月上旬。综合来看，PE方面，原油走势回落，成本支撑尚可；国内生产端库存压力小，然需求端淡季改善不大，其他检修、宏观等推涨因素弱化，现货推动力稍显不足，且月末观望情绪较浓，预计今日聚乙烯价格仍维持区间震荡为主。PP方面，近期宏观利好政策持续释放，市场谨慎乐观，短期内仍有延续回暖趋势。供应端停车装置陆续重启，供应压力凸显。下游企业未见起色，降库为主，对原料需求积极性欠佳。预计今日聚丙烯价格窄幅波动</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1348430"/>
      <w:r>
        <w:rPr>
          <w:rFonts w:ascii="楷体" w:eastAsia="楷体" w:hAnsi="楷体" w:hint="eastAsia"/>
          <w:b/>
          <w:color w:val="000000" w:themeColor="text1"/>
          <w:sz w:val="24"/>
          <w:szCs w:val="24"/>
        </w:rPr>
        <w:t>MEG：</w:t>
      </w:r>
      <w:r w:rsidR="007C1DB9" w:rsidRPr="007C1DB9">
        <w:rPr>
          <w:rFonts w:ascii="楷体" w:eastAsia="楷体" w:hAnsi="楷体" w:hint="eastAsia"/>
          <w:b/>
          <w:color w:val="000000" w:themeColor="text1"/>
          <w:sz w:val="24"/>
          <w:szCs w:val="24"/>
        </w:rPr>
        <w:t>成本端提振 短期仍有支撑</w:t>
      </w:r>
      <w:bookmarkEnd w:id="41"/>
    </w:p>
    <w:p w:rsidR="003F56A5" w:rsidRDefault="007C1DB9" w:rsidP="00115EEA">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供需情况，7.24 华东主港地区MEG港口库存约104.9万吨附近，环比上期减少3.8万吨，刚需支撑下港口发货良好隐形库存略去化。截至7月20日，中国大陆地区乙二醇整体开工负荷在63.69%（-0.26%），卫星石化其中一线将落实检修，整体开工将适度下降。煤化工方面，煤制乙二醇开工</w:t>
      </w:r>
      <w:r w:rsidRPr="007C1DB9">
        <w:rPr>
          <w:rFonts w:ascii="楷体" w:eastAsia="楷体" w:hAnsi="楷体" w:hint="eastAsia"/>
          <w:color w:val="000000" w:themeColor="text1"/>
          <w:sz w:val="24"/>
          <w:szCs w:val="24"/>
        </w:rPr>
        <w:lastRenderedPageBreak/>
        <w:t>负荷在62.76%（+1.97%），近期陕煤榆林化学7-8月分别有60万吨单线进行为期10-15天的检修。陕煤渭化一套30万吨/年的乙二醇装置停车。截至7.20，初步核算国内大陆地区聚酯负荷在93%附近。受原料价格走高影响，江浙终端开工率继续小幅下降。江浙加弹综合开工率77%（-4%），江浙织机综合开工率69%（-3%），江浙印染综合开工率72%（-3%），涤丝产销氛围转弱，江浙终端工厂原料备货下降，部分加弹和织造企业因亏损或者库存压力选择适当减产。进出口方面，6-7月乙二醇月均进口量在60万吨附近，后续关注船实际卸货情况。但四季度外盘装置检修增多，远洋供应预期收缩。乙二醇面临近弱远强的格局。展望后市，成本端煤价反弹尚未结束而聚酯开工率高位维持，三季度乙二醇供需呈现紧平衡为主，关注01合约短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134843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基本面走弱，政策有支撑</w:t>
      </w:r>
      <w:bookmarkEnd w:id="42"/>
    </w:p>
    <w:p w:rsidR="00A71A7E" w:rsidRDefault="007C1DB9" w:rsidP="001F79C6">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今日全国均价1894元/吨，环比上一交易日价格+3元/吨。政策利好刺激下，虽然基本面产销转弱，但盘面情绪较强，市场对下半年浮法玻璃需求信心提振，盘面反弹较快，期价继续向上修复基差。当前沙河均价在1800元/吨左右，玻璃期现结合较为紧密，短期现货市场出现抬价行为，但下游加工厂观望心态浓厚，上下游开始拉锯。从季节性角度考虑，7-8月作为淡季，下游需求有限，基本保持刚需，短期政策热情减退后，市场会重回基本面。建议等待09合约回调做多机会</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134843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周内大幅去库，震荡偏强</w:t>
      </w:r>
      <w:bookmarkEnd w:id="43"/>
    </w:p>
    <w:p w:rsidR="00A71A7E" w:rsidRDefault="007C1DB9" w:rsidP="00A71A7E">
      <w:pPr>
        <w:ind w:leftChars="300" w:left="630"/>
        <w:rPr>
          <w:rFonts w:ascii="楷体" w:eastAsia="楷体" w:hAnsi="楷体"/>
          <w:bCs/>
          <w:sz w:val="24"/>
          <w:szCs w:val="24"/>
        </w:rPr>
      </w:pPr>
      <w:r w:rsidRPr="007C1DB9">
        <w:rPr>
          <w:rFonts w:ascii="楷体" w:eastAsia="楷体" w:hAnsi="楷体" w:hint="eastAsia"/>
          <w:color w:val="000000" w:themeColor="text1"/>
          <w:sz w:val="24"/>
          <w:szCs w:val="24"/>
        </w:rPr>
        <w:t>国内纯碱市场价格近期无大幅变化。夏季检修较多，供给收缩下，供需缺口进一步压低厂库库存，盘面缺货和低库存影响下，08合约升水现货250/吨，09合约升水现货150元/吨，有加速赶顶迹象。投产方面，远兴天然碱扩产上量要在8月开始，短期增量较小，且具消息称8月二线点火装置尚待调试，可能延期。盘面情绪较强，09合约这两周有继续向上走升水的概率，关注尾部风险。建议空单谨慎参与，观望为主，多单逢高止盈</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134843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134843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C1DB9" w:rsidRPr="007C1DB9">
        <w:rPr>
          <w:rFonts w:ascii="楷体" w:eastAsia="楷体" w:hAnsi="楷体" w:hint="eastAsia"/>
          <w:b/>
          <w:sz w:val="24"/>
          <w:szCs w:val="24"/>
        </w:rPr>
        <w:t>短期维持谨慎看多观点</w:t>
      </w:r>
      <w:bookmarkEnd w:id="45"/>
    </w:p>
    <w:p w:rsidR="003F56A5" w:rsidRDefault="007C1DB9">
      <w:pPr>
        <w:ind w:leftChars="300" w:left="630"/>
        <w:rPr>
          <w:rFonts w:ascii="楷体" w:eastAsia="楷体" w:hAnsi="楷体"/>
          <w:sz w:val="24"/>
          <w:szCs w:val="24"/>
        </w:rPr>
      </w:pPr>
      <w:r w:rsidRPr="007C1DB9">
        <w:rPr>
          <w:rFonts w:ascii="楷体" w:eastAsia="楷体" w:hAnsi="楷体" w:hint="eastAsia"/>
          <w:sz w:val="24"/>
          <w:szCs w:val="24"/>
        </w:rPr>
        <w:t>国际方面，市场焦点仍在天气，叠加美元走软，提振美豆价格。在美豆种植面积大幅减少的背景下，生长期天气仍十分关键，虽7月美农报告仍维持52单产预期，但在天气影响下，市场认为数据过于乐观后续仍有下调风险。虽美豆前两周干旱范围收窄，但7月下旬仍存在降雨减少的情况，种植情况担忧仍存，截至7月25日当周，美国大豆优良率不及预期为54%，前一周为55%，上年同期为59%。国内市场，随着当前大豆到港量增加，油厂已基本恢复开机压榨，开机及压榨水平恢复至高位，但豆粕库存仍维持低位，支撑现货报价坚挺，当前主流油厂豆粕现货报价小幅上调至4340-4420元/吨。大豆4-6月到港量较大，6月进口到港1027万吨，环比减14.5%，但远月买船进度偏慢，预计7月后进口到港将逐步下滑。下游养殖利润表现仍不佳，且在杂粕替代下养殖企业等对豆粕饲用需求增量有限，</w:t>
      </w:r>
      <w:r w:rsidRPr="007C1DB9">
        <w:rPr>
          <w:rFonts w:ascii="楷体" w:eastAsia="楷体" w:hAnsi="楷体" w:hint="eastAsia"/>
          <w:sz w:val="24"/>
          <w:szCs w:val="24"/>
        </w:rPr>
        <w:lastRenderedPageBreak/>
        <w:t>但终端企业库存偏低，补库及提货需求表现较好。菜粕当前供给相对偏紧，随着6月份后菜籽到港预计减少，油厂压榨也在逐步下滑。而需求方面，当前为水产养殖旺季，替代需求方面，随着近期菜粕价格的上涨，替代优势减弱，但整体供需表现紧张，底部仍有支撑。策略方面，短期建议谨慎看多，建议回调企稳仍偏多参与为主，或参与9-1正套</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1348435"/>
      <w:r>
        <w:rPr>
          <w:rFonts w:ascii="楷体" w:eastAsia="楷体" w:hAnsi="楷体" w:hint="eastAsia"/>
          <w:b/>
          <w:color w:val="000000" w:themeColor="text1"/>
          <w:sz w:val="24"/>
          <w:szCs w:val="24"/>
        </w:rPr>
        <w:t>油脂：</w:t>
      </w:r>
      <w:r w:rsidR="007C1DB9" w:rsidRPr="007C1DB9">
        <w:rPr>
          <w:rFonts w:ascii="楷体" w:eastAsia="楷体" w:hAnsi="楷体" w:hint="eastAsia"/>
          <w:b/>
          <w:sz w:val="24"/>
          <w:szCs w:val="24"/>
        </w:rPr>
        <w:t>维持高位震荡</w:t>
      </w:r>
      <w:bookmarkEnd w:id="46"/>
    </w:p>
    <w:p w:rsidR="003F56A5" w:rsidRDefault="007C1DB9" w:rsidP="00792D31">
      <w:pPr>
        <w:ind w:leftChars="300" w:left="630"/>
        <w:rPr>
          <w:rFonts w:ascii="楷体" w:eastAsia="楷体" w:hAnsi="楷体"/>
          <w:sz w:val="24"/>
          <w:szCs w:val="24"/>
        </w:rPr>
      </w:pPr>
      <w:r w:rsidRPr="007C1DB9">
        <w:rPr>
          <w:rFonts w:ascii="楷体" w:eastAsia="楷体" w:hAnsi="楷体" w:hint="eastAsia"/>
          <w:sz w:val="24"/>
          <w:szCs w:val="24"/>
        </w:rPr>
        <w:t>国际市场，黑海局势升级，短期预计黑海港口运输难以恢复，叠加天气升水，支撑外盘油脂油料市场价格维持高位。但三大油脂基本面仍存在一定差异，国内终端需求疲软，限制涨幅。棕榈油，印尼棕榈油5月份在供给增量大于需求下，库存持续回升，供给压力显现。但7-8月份出口税费上调，出口竞争减弱，提振马棕出口需求。据SGS公布数据显示，预计马来西亚7月1—20日棕榈油出口量为703704吨，较上月同期出口的633423吨增加11.1%。虽市场开始炒作厄尔尼诺现象，但中期无法改变产地棕榈油累库的趋势，但产量修复进度或受天气影响，仍需持续关注。国内棕榈油在6月份进口增加以及需求疲软下，库存持续回升，也限制当前价格反弹空间。因前期产地报价下滑，国内进口利润有所修复，6-7月船期买船增加，最新商业库存为66.75万吨，未来供应仍较充裕。需求端，随着气温回升利好棕榈油消费，但仅为刚需提货，未见增量。豆油延续累库趋势。随着4-7月进口大豆到港增加，油厂陆续恢复开机，当前整体开机及压榨水平稳定，在刚需补库下延续累库。需求端，在中小学及高校陆续进入暑期，且无大型节日消费提振，处于消费淡季。菜油在进口菜籽减少下，供应压力减轻。当前主产地菜籽在生长期，供应处于青黄不接的阶段，全球菜籽新作产量不确定性仍存。随着后续进口加籽到港量的减少，菜籽开机及压榨水平也有所降低，6月菜籽进口环比下滑38.5%，菜油进口21万吨。需求方面，与替代油脂价差拉大，需求清淡，当前库存已逐步回落，需求修复仍待继续关注。对于油脂维持回调后低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1348436"/>
      <w:r>
        <w:rPr>
          <w:rFonts w:ascii="楷体" w:eastAsia="楷体" w:hAnsi="楷体" w:hint="eastAsia"/>
          <w:b/>
          <w:bCs/>
          <w:color w:val="000000" w:themeColor="text1"/>
        </w:rPr>
        <w:t>玉米与淀粉：</w:t>
      </w:r>
      <w:r w:rsidR="007C1DB9" w:rsidRPr="007C1DB9">
        <w:rPr>
          <w:rFonts w:ascii="楷体" w:eastAsia="楷体" w:hAnsi="楷体" w:hint="eastAsia"/>
          <w:b/>
        </w:rPr>
        <w:t>重点关注陈化水稻抛储政策</w:t>
      </w:r>
      <w:bookmarkEnd w:id="47"/>
    </w:p>
    <w:p w:rsidR="007C1DB9" w:rsidRPr="007C1DB9" w:rsidRDefault="007C1DB9" w:rsidP="007C1DB9">
      <w:pPr>
        <w:pStyle w:val="paragraph"/>
        <w:spacing w:before="60" w:after="60"/>
        <w:ind w:leftChars="300" w:left="630"/>
        <w:rPr>
          <w:rFonts w:ascii="楷体" w:eastAsia="楷体" w:hAnsi="楷体" w:hint="eastAsia"/>
        </w:rPr>
      </w:pPr>
      <w:r w:rsidRPr="007C1DB9">
        <w:rPr>
          <w:rFonts w:ascii="楷体" w:eastAsia="楷体" w:hAnsi="楷体" w:hint="eastAsia"/>
        </w:rPr>
        <w:t>对于玉米而言，近期期现货回落主要源于市场对小麦饲用替代增量和陈化水稻抛储的担忧，而华北-东北和产销区玉米价差持续走扩之后，东北玉米贸易商心态松动，出货意愿增强。但我们仍维持谨慎乐观心态，特别是新作合约，主要原因有四，其一是下方空间受限，这主要源于陈化水稻成本支撑；其二是虽经历被动补库存，但中下游库存包括南北方港口库存和饲料企业和深加工企业玉米原料库存依然处于历史同期低位；其三是当前和下一年度产需缺口的补充存在较大变数，因此后期产区天气仍需要留意；其四是由于芽麦和饲用替代，后期小麦现货或趋于上涨。在这种情况下，我们维持谨慎看多观点，但短期受国内现货带动或继续回落调整，建议激进投资者持有前期多单，谨慎投资者等待入场机会。</w:t>
      </w:r>
    </w:p>
    <w:p w:rsidR="003F56A5" w:rsidRDefault="007C1DB9" w:rsidP="007C1DB9">
      <w:pPr>
        <w:pStyle w:val="paragraph"/>
        <w:spacing w:before="60" w:beforeAutospacing="0" w:after="60" w:afterAutospacing="0"/>
        <w:ind w:leftChars="300" w:left="630"/>
        <w:rPr>
          <w:rFonts w:ascii="楷体" w:eastAsia="楷体" w:hAnsi="楷体"/>
        </w:rPr>
      </w:pPr>
      <w:r w:rsidRPr="007C1DB9">
        <w:rPr>
          <w:rFonts w:ascii="楷体" w:eastAsia="楷体" w:hAnsi="楷体" w:hint="eastAsia"/>
        </w:rPr>
        <w:t>对于淀粉而言，近期淀粉-玉米价差波动幅度不大，主要源于市场多空交织，利空因素有二，其一是副产品价格，受蛋白粕带动淀粉副产品价格</w:t>
      </w:r>
      <w:r w:rsidRPr="007C1DB9">
        <w:rPr>
          <w:rFonts w:ascii="楷体" w:eastAsia="楷体" w:hAnsi="楷体" w:hint="eastAsia"/>
        </w:rPr>
        <w:lastRenderedPageBreak/>
        <w:t>大幅反弹，淀粉期现货生产利润改善，有望带动行业开机率回升；其二是需求端的季节性因素，在旺季备货之后或步入一段时间的需求低迷期。而利多因素同样源于两个方面，其一是原料成本端的担忧；其二是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1348437"/>
      <w:r>
        <w:rPr>
          <w:rFonts w:ascii="楷体" w:eastAsia="楷体" w:hAnsi="楷体" w:hint="eastAsia"/>
          <w:b/>
          <w:bCs/>
          <w:color w:val="000000" w:themeColor="text1"/>
        </w:rPr>
        <w:t>畜禽养殖：</w:t>
      </w:r>
      <w:r w:rsidR="007C1DB9" w:rsidRPr="007C1DB9">
        <w:rPr>
          <w:rFonts w:ascii="楷体" w:eastAsia="楷体" w:hAnsi="楷体" w:hint="eastAsia"/>
          <w:b/>
          <w:bCs/>
          <w:color w:val="000000" w:themeColor="text1"/>
        </w:rPr>
        <w:t>继续关注现货上涨的持续性</w:t>
      </w:r>
      <w:bookmarkEnd w:id="48"/>
    </w:p>
    <w:p w:rsidR="007C1DB9" w:rsidRPr="007C1DB9" w:rsidRDefault="007C1DB9" w:rsidP="007C1DB9">
      <w:pPr>
        <w:pStyle w:val="paragraph"/>
        <w:spacing w:before="60" w:after="60"/>
        <w:ind w:leftChars="300" w:left="630"/>
        <w:rPr>
          <w:rFonts w:ascii="楷体" w:eastAsia="楷体" w:hAnsi="楷体" w:hint="eastAsia"/>
        </w:rPr>
      </w:pPr>
      <w:r w:rsidRPr="007C1DB9">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阶段性反弹机会更多源于供应去化，从时间上看上述三方面的供应或逐步消化，涌益咨询公布的日度生猪屠宰量、农业农村部公布的规模以上屠宰企业生猪屠宰量和各大上市公司公布的6月生猪销量均已环比下降。随着冷冻库存消化和气温下降，现货供需有望环比改善带动期现货反弹。在这种情况下，维持谨慎看多观点，建议择机入场做多。</w:t>
      </w:r>
    </w:p>
    <w:p w:rsidR="003F56A5" w:rsidRDefault="007C1DB9" w:rsidP="007C1DB9">
      <w:pPr>
        <w:pStyle w:val="paragraph"/>
        <w:spacing w:before="60" w:beforeAutospacing="0" w:after="60" w:afterAutospacing="0"/>
        <w:ind w:leftChars="300" w:left="630"/>
        <w:rPr>
          <w:rFonts w:ascii="楷体" w:eastAsia="楷体" w:hAnsi="楷体"/>
        </w:rPr>
      </w:pPr>
      <w:r w:rsidRPr="007C1DB9">
        <w:rPr>
          <w:rFonts w:ascii="楷体" w:eastAsia="楷体" w:hAnsi="楷体" w:hint="eastAsia"/>
        </w:rPr>
        <w:t>对于鸡蛋而言，5月以来随着鸡蛋现货价格的下跌，蛋鸡养殖利润亦有显著下滑，带动养殖户补栏积极性下滑，与此同时，养殖户淘汰积极性上升，两方面因素带动供需改善不及市场之前预期，带动远月-近月价差如1-9价差和5-9价差显著走强。近期鸡蛋现货大幅反弹，近月受基差支撑因素上涨，但远月则相对弱势，这主要源于市场担心现货上涨，通过养殖利润影响淘汰和补栏积极性，继而影响远期供需。整体而言，考虑到5月以来现货下跌导致养殖户补栏积极性下降，近期虽现货反弹带动养殖利润改善，但由于高温天气因素，补栏积极性难以恢复，整体市场供需较前期应有所改善，据此维持谨慎看多观点。接下来重点留意现货走势，因其影响近月和远月表现的差异。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1348438"/>
      <w:r>
        <w:rPr>
          <w:rFonts w:ascii="楷体" w:eastAsia="楷体" w:hAnsi="楷体" w:hint="eastAsia"/>
          <w:b/>
          <w:sz w:val="24"/>
          <w:szCs w:val="24"/>
        </w:rPr>
        <w:t>郑棉：</w:t>
      </w:r>
      <w:r w:rsidR="007C1DB9" w:rsidRPr="007C1DB9">
        <w:rPr>
          <w:rFonts w:ascii="楷体" w:eastAsia="楷体" w:hAnsi="楷体" w:hint="eastAsia"/>
          <w:b/>
          <w:sz w:val="24"/>
          <w:szCs w:val="24"/>
        </w:rPr>
        <w:t>09看跌期权卖权持有，01多单持有</w:t>
      </w:r>
      <w:bookmarkEnd w:id="49"/>
    </w:p>
    <w:p w:rsidR="003F56A5" w:rsidRDefault="007C1DB9" w:rsidP="007B3290">
      <w:pPr>
        <w:ind w:leftChars="300" w:left="630"/>
        <w:rPr>
          <w:rFonts w:ascii="楷体" w:eastAsia="楷体" w:hAnsi="楷体"/>
          <w:sz w:val="24"/>
          <w:szCs w:val="24"/>
        </w:rPr>
      </w:pPr>
      <w:r w:rsidRPr="007C1DB9">
        <w:rPr>
          <w:rFonts w:ascii="楷体" w:eastAsia="楷体" w:hAnsi="楷体" w:hint="eastAsia"/>
          <w:sz w:val="24"/>
          <w:szCs w:val="24"/>
        </w:rPr>
        <w:t>美联储如期加息25个基点，这可能是年内的最后一次加息，市场对此的反映较为平静或者说微偏乐观。因连续数道调控政策出炉，郑棉的涨势相对其他商品表现较为和缓，但近期在市场情绪和中期看涨预期支撑下，回调空间非常有限。预计09继续争夺1.7万关口，前期看跌期权卖权可持有至到期。01已站稳1.7万关口，同时月线突破所有均线压制，上方空间进一步打开，低多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3AA" w:rsidRDefault="009123AA">
      <w:r>
        <w:separator/>
      </w:r>
    </w:p>
  </w:endnote>
  <w:endnote w:type="continuationSeparator" w:id="0">
    <w:p w:rsidR="009123AA" w:rsidRDefault="0091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8F86BB8" wp14:editId="3D49397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D048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D048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3AA" w:rsidRDefault="009123AA">
      <w:r>
        <w:separator/>
      </w:r>
    </w:p>
  </w:footnote>
  <w:footnote w:type="continuationSeparator" w:id="0">
    <w:p w:rsidR="009123AA" w:rsidRDefault="00912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51AD372" wp14:editId="512EBC3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D2EC9AC" wp14:editId="46FBA8D8">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C1DB9">
      <w:rPr>
        <w:rFonts w:ascii="Times New Roman" w:eastAsia="楷体" w:hAnsi="Times New Roman" w:hint="eastAsia"/>
        <w:b/>
        <w:bCs/>
        <w:noProof/>
        <w:color w:val="833C0B"/>
        <w:sz w:val="21"/>
      </w:rPr>
      <w:t>2023</w:t>
    </w:r>
    <w:r w:rsidR="007C1DB9">
      <w:rPr>
        <w:rFonts w:ascii="Times New Roman" w:eastAsia="楷体" w:hAnsi="Times New Roman" w:hint="eastAsia"/>
        <w:b/>
        <w:bCs/>
        <w:noProof/>
        <w:color w:val="833C0B"/>
        <w:sz w:val="21"/>
      </w:rPr>
      <w:t>年</w:t>
    </w:r>
    <w:r w:rsidR="007C1DB9">
      <w:rPr>
        <w:rFonts w:ascii="Times New Roman" w:eastAsia="楷体" w:hAnsi="Times New Roman" w:hint="eastAsia"/>
        <w:b/>
        <w:bCs/>
        <w:noProof/>
        <w:color w:val="833C0B"/>
        <w:sz w:val="21"/>
      </w:rPr>
      <w:t>7</w:t>
    </w:r>
    <w:r w:rsidR="007C1DB9">
      <w:rPr>
        <w:rFonts w:ascii="Times New Roman" w:eastAsia="楷体" w:hAnsi="Times New Roman" w:hint="eastAsia"/>
        <w:b/>
        <w:bCs/>
        <w:noProof/>
        <w:color w:val="833C0B"/>
        <w:sz w:val="21"/>
      </w:rPr>
      <w:t>月</w:t>
    </w:r>
    <w:r w:rsidR="007C1DB9">
      <w:rPr>
        <w:rFonts w:ascii="Times New Roman" w:eastAsia="楷体" w:hAnsi="Times New Roman" w:hint="eastAsia"/>
        <w:b/>
        <w:bCs/>
        <w:noProof/>
        <w:color w:val="833C0B"/>
        <w:sz w:val="21"/>
      </w:rPr>
      <w:t>27</w:t>
    </w:r>
    <w:r w:rsidR="007C1DB9">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5214"/>
    <w:rsid w:val="006A6067"/>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1DB9"/>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3AA"/>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47540"/>
    <w:rsid w:val="00F50569"/>
    <w:rsid w:val="00F52969"/>
    <w:rsid w:val="00F622ED"/>
    <w:rsid w:val="00F65EEA"/>
    <w:rsid w:val="00F776D3"/>
    <w:rsid w:val="00F90537"/>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C6F5B-55C0-4FC2-BCA0-CC44353F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9</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48</cp:revision>
  <cp:lastPrinted>2023-06-08T02:23:00Z</cp:lastPrinted>
  <dcterms:created xsi:type="dcterms:W3CDTF">2022-11-15T10:06:00Z</dcterms:created>
  <dcterms:modified xsi:type="dcterms:W3CDTF">2023-07-27T03:06:00Z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