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bookmarkStart w:id="1" w:name="_GoBack"/>
      <w:bookmarkEnd w:id="1"/>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9E25E0"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hyperlink w:anchor="_Toc141259302" w:history="1">
            <w:r w:rsidR="009E25E0" w:rsidRPr="006058A5">
              <w:rPr>
                <w:rStyle w:val="a9"/>
                <w:rFonts w:ascii="Times New Roman" w:eastAsia="楷体" w:hAnsi="Times New Roman"/>
                <w:b/>
                <w:noProof/>
              </w:rPr>
              <w:t>[</w:t>
            </w:r>
            <w:r w:rsidR="009E25E0" w:rsidRPr="006058A5">
              <w:rPr>
                <w:rStyle w:val="a9"/>
                <w:rFonts w:ascii="Times New Roman" w:eastAsia="楷体" w:hAnsi="Times New Roman"/>
                <w:b/>
                <w:noProof/>
              </w:rPr>
              <w:t>金融</w:t>
            </w:r>
            <w:r w:rsidR="009E25E0" w:rsidRPr="006058A5">
              <w:rPr>
                <w:rStyle w:val="a9"/>
                <w:rFonts w:ascii="Times New Roman" w:eastAsia="楷体" w:hAnsi="Times New Roman"/>
                <w:b/>
                <w:noProof/>
              </w:rPr>
              <w:t>]</w:t>
            </w:r>
          </w:hyperlink>
        </w:p>
        <w:p w:rsidR="009E25E0" w:rsidRDefault="009E25E0">
          <w:pPr>
            <w:pStyle w:val="23"/>
            <w:tabs>
              <w:tab w:val="right" w:leader="dot" w:pos="8296"/>
            </w:tabs>
            <w:rPr>
              <w:rFonts w:eastAsiaTheme="minorEastAsia"/>
              <w:noProof/>
              <w:szCs w:val="22"/>
            </w:rPr>
          </w:pPr>
          <w:hyperlink w:anchor="_Toc141259303" w:history="1">
            <w:r w:rsidRPr="006058A5">
              <w:rPr>
                <w:rStyle w:val="a9"/>
                <w:rFonts w:ascii="Times New Roman" w:eastAsia="楷体" w:hAnsi="Times New Roman"/>
                <w:b/>
                <w:noProof/>
              </w:rPr>
              <w:t>股指：低多</w:t>
            </w:r>
            <w:r w:rsidRPr="006058A5">
              <w:rPr>
                <w:rStyle w:val="a9"/>
                <w:rFonts w:ascii="Times New Roman" w:eastAsia="楷体" w:hAnsi="Times New Roman"/>
                <w:b/>
                <w:noProof/>
              </w:rPr>
              <w:t>IF</w:t>
            </w:r>
          </w:hyperlink>
        </w:p>
        <w:p w:rsidR="009E25E0" w:rsidRDefault="009E25E0">
          <w:pPr>
            <w:pStyle w:val="11"/>
            <w:tabs>
              <w:tab w:val="right" w:leader="dot" w:pos="8296"/>
            </w:tabs>
            <w:rPr>
              <w:rFonts w:eastAsiaTheme="minorEastAsia"/>
              <w:noProof/>
              <w:szCs w:val="22"/>
            </w:rPr>
          </w:pPr>
          <w:hyperlink w:anchor="_Toc141259304" w:history="1">
            <w:r w:rsidRPr="006058A5">
              <w:rPr>
                <w:rStyle w:val="a9"/>
                <w:rFonts w:ascii="Times New Roman" w:eastAsia="楷体" w:hAnsi="Times New Roman"/>
                <w:b/>
                <w:noProof/>
              </w:rPr>
              <w:t>[</w:t>
            </w:r>
            <w:r w:rsidRPr="006058A5">
              <w:rPr>
                <w:rStyle w:val="a9"/>
                <w:rFonts w:ascii="Times New Roman" w:eastAsia="楷体" w:hAnsi="Times New Roman"/>
                <w:b/>
                <w:noProof/>
              </w:rPr>
              <w:t>贵金属</w:t>
            </w:r>
            <w:r w:rsidRPr="006058A5">
              <w:rPr>
                <w:rStyle w:val="a9"/>
                <w:rFonts w:ascii="Times New Roman" w:eastAsia="楷体" w:hAnsi="Times New Roman"/>
                <w:b/>
                <w:noProof/>
              </w:rPr>
              <w:t>]</w:t>
            </w:r>
          </w:hyperlink>
        </w:p>
        <w:p w:rsidR="009E25E0" w:rsidRDefault="009E25E0">
          <w:pPr>
            <w:pStyle w:val="23"/>
            <w:tabs>
              <w:tab w:val="right" w:leader="dot" w:pos="8296"/>
            </w:tabs>
            <w:rPr>
              <w:rFonts w:eastAsiaTheme="minorEastAsia"/>
              <w:noProof/>
              <w:szCs w:val="22"/>
            </w:rPr>
          </w:pPr>
          <w:hyperlink w:anchor="_Toc141259305" w:history="1">
            <w:r w:rsidRPr="006058A5">
              <w:rPr>
                <w:rStyle w:val="a9"/>
                <w:rFonts w:ascii="Times New Roman" w:eastAsia="楷体" w:hAnsi="Times New Roman"/>
                <w:b/>
                <w:noProof/>
              </w:rPr>
              <w:t>贵金属：美国消费者信心指数上升，银价小幅反弹</w:t>
            </w:r>
          </w:hyperlink>
        </w:p>
        <w:p w:rsidR="009E25E0" w:rsidRDefault="009E25E0">
          <w:pPr>
            <w:pStyle w:val="11"/>
            <w:tabs>
              <w:tab w:val="right" w:leader="dot" w:pos="8296"/>
            </w:tabs>
            <w:rPr>
              <w:rFonts w:eastAsiaTheme="minorEastAsia"/>
              <w:noProof/>
              <w:szCs w:val="22"/>
            </w:rPr>
          </w:pPr>
          <w:hyperlink w:anchor="_Toc141259306" w:history="1">
            <w:r w:rsidRPr="006058A5">
              <w:rPr>
                <w:rStyle w:val="a9"/>
                <w:rFonts w:ascii="Times New Roman" w:eastAsia="楷体" w:hAnsi="Times New Roman"/>
                <w:b/>
                <w:noProof/>
              </w:rPr>
              <w:t>[</w:t>
            </w:r>
            <w:r w:rsidRPr="006058A5">
              <w:rPr>
                <w:rStyle w:val="a9"/>
                <w:rFonts w:ascii="Times New Roman" w:eastAsia="楷体" w:hAnsi="Times New Roman"/>
                <w:b/>
                <w:noProof/>
              </w:rPr>
              <w:t>金属</w:t>
            </w:r>
            <w:r w:rsidRPr="006058A5">
              <w:rPr>
                <w:rStyle w:val="a9"/>
                <w:rFonts w:ascii="Times New Roman" w:eastAsia="楷体" w:hAnsi="Times New Roman"/>
                <w:b/>
                <w:noProof/>
              </w:rPr>
              <w:t>]</w:t>
            </w:r>
          </w:hyperlink>
        </w:p>
        <w:p w:rsidR="009E25E0" w:rsidRDefault="009E25E0">
          <w:pPr>
            <w:pStyle w:val="23"/>
            <w:tabs>
              <w:tab w:val="right" w:leader="dot" w:pos="8296"/>
            </w:tabs>
            <w:rPr>
              <w:rFonts w:eastAsiaTheme="minorEastAsia"/>
              <w:noProof/>
              <w:szCs w:val="22"/>
            </w:rPr>
          </w:pPr>
          <w:hyperlink w:anchor="_Toc141259307" w:history="1">
            <w:r w:rsidRPr="006058A5">
              <w:rPr>
                <w:rStyle w:val="a9"/>
                <w:rFonts w:ascii="楷体" w:eastAsia="楷体" w:hAnsi="楷体"/>
                <w:b/>
                <w:noProof/>
              </w:rPr>
              <w:t>碳酸锂：期货正式上市，锂价或扩大跌幅</w:t>
            </w:r>
          </w:hyperlink>
        </w:p>
        <w:p w:rsidR="009E25E0" w:rsidRDefault="009E25E0">
          <w:pPr>
            <w:pStyle w:val="23"/>
            <w:tabs>
              <w:tab w:val="right" w:leader="dot" w:pos="8296"/>
            </w:tabs>
            <w:rPr>
              <w:rFonts w:eastAsiaTheme="minorEastAsia"/>
              <w:noProof/>
              <w:szCs w:val="22"/>
            </w:rPr>
          </w:pPr>
          <w:hyperlink w:anchor="_Toc141259308" w:history="1">
            <w:r w:rsidRPr="006058A5">
              <w:rPr>
                <w:rStyle w:val="a9"/>
                <w:rFonts w:ascii="楷体" w:eastAsia="楷体" w:hAnsi="楷体"/>
                <w:b/>
                <w:noProof/>
              </w:rPr>
              <w:t>螺纹钢：期现小级别共振，盘面或继续震荡上行</w:t>
            </w:r>
          </w:hyperlink>
        </w:p>
        <w:p w:rsidR="009E25E0" w:rsidRDefault="009E25E0">
          <w:pPr>
            <w:pStyle w:val="23"/>
            <w:tabs>
              <w:tab w:val="right" w:leader="dot" w:pos="8296"/>
            </w:tabs>
            <w:rPr>
              <w:rFonts w:eastAsiaTheme="minorEastAsia"/>
              <w:noProof/>
              <w:szCs w:val="22"/>
            </w:rPr>
          </w:pPr>
          <w:hyperlink w:anchor="_Toc141259309" w:history="1">
            <w:r w:rsidRPr="006058A5">
              <w:rPr>
                <w:rStyle w:val="a9"/>
                <w:rFonts w:ascii="楷体" w:eastAsia="楷体" w:hAnsi="楷体"/>
                <w:b/>
                <w:noProof/>
              </w:rPr>
              <w:t>焦炭：成本支撑强，现货价格偏强运行</w:t>
            </w:r>
          </w:hyperlink>
        </w:p>
        <w:p w:rsidR="009E25E0" w:rsidRDefault="009E25E0">
          <w:pPr>
            <w:pStyle w:val="23"/>
            <w:tabs>
              <w:tab w:val="right" w:leader="dot" w:pos="8296"/>
            </w:tabs>
            <w:rPr>
              <w:rFonts w:eastAsiaTheme="minorEastAsia"/>
              <w:noProof/>
              <w:szCs w:val="22"/>
            </w:rPr>
          </w:pPr>
          <w:hyperlink w:anchor="_Toc141259310" w:history="1">
            <w:r w:rsidRPr="006058A5">
              <w:rPr>
                <w:rStyle w:val="a9"/>
                <w:rFonts w:ascii="楷体" w:eastAsia="楷体" w:hAnsi="楷体"/>
                <w:b/>
                <w:noProof/>
              </w:rPr>
              <w:t>焦煤：蒙煤通关正常化，或继续偏强运行</w:t>
            </w:r>
          </w:hyperlink>
        </w:p>
        <w:p w:rsidR="009E25E0" w:rsidRDefault="009E25E0">
          <w:pPr>
            <w:pStyle w:val="23"/>
            <w:tabs>
              <w:tab w:val="right" w:leader="dot" w:pos="8296"/>
            </w:tabs>
            <w:rPr>
              <w:rFonts w:eastAsiaTheme="minorEastAsia"/>
              <w:noProof/>
              <w:szCs w:val="22"/>
            </w:rPr>
          </w:pPr>
          <w:hyperlink w:anchor="_Toc141259311" w:history="1">
            <w:r w:rsidRPr="006058A5">
              <w:rPr>
                <w:rStyle w:val="a9"/>
                <w:rFonts w:ascii="楷体" w:eastAsia="楷体" w:hAnsi="楷体"/>
                <w:b/>
                <w:noProof/>
              </w:rPr>
              <w:t>铜：震荡偏强运行，关注联储议息会议</w:t>
            </w:r>
          </w:hyperlink>
        </w:p>
        <w:p w:rsidR="009E25E0" w:rsidRDefault="009E25E0">
          <w:pPr>
            <w:pStyle w:val="23"/>
            <w:tabs>
              <w:tab w:val="right" w:leader="dot" w:pos="8296"/>
            </w:tabs>
            <w:rPr>
              <w:rFonts w:eastAsiaTheme="minorEastAsia"/>
              <w:noProof/>
              <w:szCs w:val="22"/>
            </w:rPr>
          </w:pPr>
          <w:hyperlink w:anchor="_Toc141259312" w:history="1">
            <w:r w:rsidRPr="006058A5">
              <w:rPr>
                <w:rStyle w:val="a9"/>
                <w:rFonts w:ascii="楷体" w:eastAsia="楷体" w:hAnsi="楷体"/>
                <w:b/>
                <w:noProof/>
              </w:rPr>
              <w:t>铝：价格上行空间受限，关注现实需求</w:t>
            </w:r>
          </w:hyperlink>
        </w:p>
        <w:p w:rsidR="009E25E0" w:rsidRDefault="009E25E0">
          <w:pPr>
            <w:pStyle w:val="23"/>
            <w:tabs>
              <w:tab w:val="right" w:leader="dot" w:pos="8296"/>
            </w:tabs>
            <w:rPr>
              <w:rFonts w:eastAsiaTheme="minorEastAsia"/>
              <w:noProof/>
              <w:szCs w:val="22"/>
            </w:rPr>
          </w:pPr>
          <w:hyperlink w:anchor="_Toc141259313" w:history="1">
            <w:r w:rsidRPr="006058A5">
              <w:rPr>
                <w:rStyle w:val="a9"/>
                <w:rFonts w:ascii="楷体" w:eastAsia="楷体" w:hAnsi="楷体"/>
                <w:b/>
                <w:noProof/>
              </w:rPr>
              <w:t>锌：宏观利多情绪影响，锌价或有上行动力</w:t>
            </w:r>
          </w:hyperlink>
        </w:p>
        <w:p w:rsidR="009E25E0" w:rsidRDefault="009E25E0">
          <w:pPr>
            <w:pStyle w:val="23"/>
            <w:tabs>
              <w:tab w:val="right" w:leader="dot" w:pos="8296"/>
            </w:tabs>
            <w:rPr>
              <w:rFonts w:eastAsiaTheme="minorEastAsia"/>
              <w:noProof/>
              <w:szCs w:val="22"/>
            </w:rPr>
          </w:pPr>
          <w:hyperlink w:anchor="_Toc141259314" w:history="1">
            <w:r w:rsidRPr="006058A5">
              <w:rPr>
                <w:rStyle w:val="a9"/>
                <w:rFonts w:ascii="楷体" w:eastAsia="楷体" w:hAnsi="楷体"/>
                <w:b/>
                <w:noProof/>
              </w:rPr>
              <w:t>镍：低库存仍支撑价格维持区间震荡</w:t>
            </w:r>
          </w:hyperlink>
        </w:p>
        <w:p w:rsidR="009E25E0" w:rsidRDefault="009E25E0">
          <w:pPr>
            <w:pStyle w:val="23"/>
            <w:tabs>
              <w:tab w:val="right" w:leader="dot" w:pos="8296"/>
            </w:tabs>
            <w:rPr>
              <w:rFonts w:eastAsiaTheme="minorEastAsia"/>
              <w:noProof/>
              <w:szCs w:val="22"/>
            </w:rPr>
          </w:pPr>
          <w:hyperlink w:anchor="_Toc141259315" w:history="1">
            <w:r w:rsidRPr="006058A5">
              <w:rPr>
                <w:rStyle w:val="a9"/>
                <w:rFonts w:ascii="楷体" w:eastAsia="楷体" w:hAnsi="楷体"/>
                <w:b/>
                <w:noProof/>
              </w:rPr>
              <w:t>铅：价格走势震荡偏强，关注需求变化</w:t>
            </w:r>
          </w:hyperlink>
        </w:p>
        <w:p w:rsidR="009E25E0" w:rsidRDefault="009E25E0">
          <w:pPr>
            <w:pStyle w:val="23"/>
            <w:tabs>
              <w:tab w:val="right" w:leader="dot" w:pos="8296"/>
            </w:tabs>
            <w:rPr>
              <w:rFonts w:eastAsiaTheme="minorEastAsia"/>
              <w:noProof/>
              <w:szCs w:val="22"/>
            </w:rPr>
          </w:pPr>
          <w:hyperlink w:anchor="_Toc141259316" w:history="1">
            <w:r w:rsidRPr="006058A5">
              <w:rPr>
                <w:rStyle w:val="a9"/>
                <w:rFonts w:ascii="楷体" w:eastAsia="楷体" w:hAnsi="楷体"/>
                <w:b/>
                <w:noProof/>
              </w:rPr>
              <w:t>不锈钢：成本支撑刚性，不锈钢震荡偏强运行</w:t>
            </w:r>
          </w:hyperlink>
        </w:p>
        <w:p w:rsidR="009E25E0" w:rsidRDefault="009E25E0">
          <w:pPr>
            <w:pStyle w:val="23"/>
            <w:tabs>
              <w:tab w:val="right" w:leader="dot" w:pos="8296"/>
            </w:tabs>
            <w:rPr>
              <w:rFonts w:eastAsiaTheme="minorEastAsia"/>
              <w:noProof/>
              <w:szCs w:val="22"/>
            </w:rPr>
          </w:pPr>
          <w:hyperlink w:anchor="_Toc141259317" w:history="1">
            <w:r w:rsidRPr="006058A5">
              <w:rPr>
                <w:rStyle w:val="a9"/>
                <w:rFonts w:ascii="楷体" w:eastAsia="楷体" w:hAnsi="楷体"/>
                <w:b/>
                <w:noProof/>
              </w:rPr>
              <w:t>工业硅：单边驱动动能不足，盘面以震荡对待</w:t>
            </w:r>
          </w:hyperlink>
        </w:p>
        <w:p w:rsidR="009E25E0" w:rsidRDefault="009E25E0">
          <w:pPr>
            <w:pStyle w:val="11"/>
            <w:tabs>
              <w:tab w:val="right" w:leader="dot" w:pos="8296"/>
            </w:tabs>
            <w:rPr>
              <w:rFonts w:eastAsiaTheme="minorEastAsia"/>
              <w:noProof/>
              <w:szCs w:val="22"/>
            </w:rPr>
          </w:pPr>
          <w:hyperlink w:anchor="_Toc141259318" w:history="1">
            <w:r w:rsidRPr="006058A5">
              <w:rPr>
                <w:rStyle w:val="a9"/>
                <w:rFonts w:ascii="Times New Roman" w:eastAsia="楷体" w:hAnsi="Times New Roman"/>
                <w:b/>
                <w:noProof/>
              </w:rPr>
              <w:t>[</w:t>
            </w:r>
            <w:r w:rsidRPr="006058A5">
              <w:rPr>
                <w:rStyle w:val="a9"/>
                <w:rFonts w:ascii="Times New Roman" w:eastAsia="楷体" w:hAnsi="Times New Roman"/>
                <w:b/>
                <w:noProof/>
              </w:rPr>
              <w:t>化工</w:t>
            </w:r>
            <w:r w:rsidRPr="006058A5">
              <w:rPr>
                <w:rStyle w:val="a9"/>
                <w:rFonts w:ascii="Times New Roman" w:eastAsia="楷体" w:hAnsi="Times New Roman"/>
                <w:b/>
                <w:noProof/>
              </w:rPr>
              <w:t>]</w:t>
            </w:r>
          </w:hyperlink>
        </w:p>
        <w:p w:rsidR="009E25E0" w:rsidRDefault="009E25E0">
          <w:pPr>
            <w:pStyle w:val="23"/>
            <w:tabs>
              <w:tab w:val="right" w:leader="dot" w:pos="8296"/>
            </w:tabs>
            <w:rPr>
              <w:rFonts w:eastAsiaTheme="minorEastAsia"/>
              <w:noProof/>
              <w:szCs w:val="22"/>
            </w:rPr>
          </w:pPr>
          <w:hyperlink w:anchor="_Toc141259319" w:history="1">
            <w:r w:rsidRPr="006058A5">
              <w:rPr>
                <w:rStyle w:val="a9"/>
                <w:rFonts w:ascii="Times New Roman" w:eastAsia="楷体" w:hAnsi="Times New Roman"/>
                <w:b/>
                <w:noProof/>
              </w:rPr>
              <w:t>天然橡胶</w:t>
            </w:r>
            <w:r w:rsidRPr="006058A5">
              <w:rPr>
                <w:rStyle w:val="a9"/>
                <w:rFonts w:ascii="Times New Roman" w:eastAsia="楷体" w:hAnsi="Times New Roman"/>
                <w:b/>
                <w:noProof/>
              </w:rPr>
              <w:t>:</w:t>
            </w:r>
            <w:r w:rsidRPr="006058A5">
              <w:rPr>
                <w:rStyle w:val="a9"/>
                <w:rFonts w:ascii="楷体" w:eastAsia="楷体" w:hAnsi="楷体"/>
                <w:b/>
                <w:noProof/>
              </w:rPr>
              <w:t xml:space="preserve"> 短期无明显利好指引 RU或低位震荡为主</w:t>
            </w:r>
          </w:hyperlink>
        </w:p>
        <w:p w:rsidR="009E25E0" w:rsidRDefault="009E25E0">
          <w:pPr>
            <w:pStyle w:val="23"/>
            <w:tabs>
              <w:tab w:val="right" w:leader="dot" w:pos="8296"/>
            </w:tabs>
            <w:rPr>
              <w:rFonts w:eastAsiaTheme="minorEastAsia"/>
              <w:noProof/>
              <w:szCs w:val="22"/>
            </w:rPr>
          </w:pPr>
          <w:hyperlink w:anchor="_Toc141259320" w:history="1">
            <w:r w:rsidRPr="006058A5">
              <w:rPr>
                <w:rStyle w:val="a9"/>
                <w:rFonts w:ascii="楷体" w:eastAsia="楷体" w:hAnsi="楷体"/>
                <w:b/>
                <w:noProof/>
              </w:rPr>
              <w:t>PTA：成本端驱动偏强</w:t>
            </w:r>
          </w:hyperlink>
        </w:p>
        <w:p w:rsidR="009E25E0" w:rsidRDefault="009E25E0">
          <w:pPr>
            <w:pStyle w:val="23"/>
            <w:tabs>
              <w:tab w:val="right" w:leader="dot" w:pos="8296"/>
            </w:tabs>
            <w:rPr>
              <w:rFonts w:eastAsiaTheme="minorEastAsia"/>
              <w:noProof/>
              <w:szCs w:val="22"/>
            </w:rPr>
          </w:pPr>
          <w:hyperlink w:anchor="_Toc141259321" w:history="1">
            <w:r w:rsidRPr="006058A5">
              <w:rPr>
                <w:rStyle w:val="a9"/>
                <w:rFonts w:ascii="楷体" w:eastAsia="楷体" w:hAnsi="楷体"/>
                <w:b/>
                <w:noProof/>
              </w:rPr>
              <w:t>PVC：高库存+弱复苏 驱动不足</w:t>
            </w:r>
          </w:hyperlink>
        </w:p>
        <w:p w:rsidR="009E25E0" w:rsidRDefault="009E25E0">
          <w:pPr>
            <w:pStyle w:val="23"/>
            <w:tabs>
              <w:tab w:val="right" w:leader="dot" w:pos="8296"/>
            </w:tabs>
            <w:rPr>
              <w:rFonts w:eastAsiaTheme="minorEastAsia"/>
              <w:noProof/>
              <w:szCs w:val="22"/>
            </w:rPr>
          </w:pPr>
          <w:hyperlink w:anchor="_Toc141259322" w:history="1">
            <w:r w:rsidRPr="006058A5">
              <w:rPr>
                <w:rStyle w:val="a9"/>
                <w:rFonts w:ascii="楷体" w:eastAsia="楷体" w:hAnsi="楷体"/>
                <w:b/>
                <w:noProof/>
              </w:rPr>
              <w:t>聚烯烃：成本支撑增强，聚烯烃或窄幅整理为主</w:t>
            </w:r>
          </w:hyperlink>
        </w:p>
        <w:p w:rsidR="009E25E0" w:rsidRDefault="009E25E0">
          <w:pPr>
            <w:pStyle w:val="23"/>
            <w:tabs>
              <w:tab w:val="right" w:leader="dot" w:pos="8296"/>
            </w:tabs>
            <w:rPr>
              <w:rFonts w:eastAsiaTheme="minorEastAsia"/>
              <w:noProof/>
              <w:szCs w:val="22"/>
            </w:rPr>
          </w:pPr>
          <w:hyperlink w:anchor="_Toc141259323" w:history="1">
            <w:r w:rsidRPr="006058A5">
              <w:rPr>
                <w:rStyle w:val="a9"/>
                <w:rFonts w:ascii="楷体" w:eastAsia="楷体" w:hAnsi="楷体"/>
                <w:b/>
                <w:noProof/>
              </w:rPr>
              <w:t>MEG：成本端提振 短期仍有支撑</w:t>
            </w:r>
          </w:hyperlink>
        </w:p>
        <w:p w:rsidR="009E25E0" w:rsidRDefault="009E25E0">
          <w:pPr>
            <w:pStyle w:val="23"/>
            <w:tabs>
              <w:tab w:val="right" w:leader="dot" w:pos="8296"/>
            </w:tabs>
            <w:rPr>
              <w:rFonts w:eastAsiaTheme="minorEastAsia"/>
              <w:noProof/>
              <w:szCs w:val="22"/>
            </w:rPr>
          </w:pPr>
          <w:hyperlink w:anchor="_Toc141259324" w:history="1">
            <w:r w:rsidRPr="006058A5">
              <w:rPr>
                <w:rStyle w:val="a9"/>
                <w:rFonts w:ascii="楷体" w:eastAsia="楷体" w:hAnsi="楷体"/>
                <w:b/>
                <w:noProof/>
              </w:rPr>
              <w:t>玻璃：现货出现滞涨，等待回调后低多机会</w:t>
            </w:r>
          </w:hyperlink>
        </w:p>
        <w:p w:rsidR="009E25E0" w:rsidRDefault="009E25E0">
          <w:pPr>
            <w:pStyle w:val="23"/>
            <w:tabs>
              <w:tab w:val="right" w:leader="dot" w:pos="8296"/>
            </w:tabs>
            <w:rPr>
              <w:rFonts w:eastAsiaTheme="minorEastAsia"/>
              <w:noProof/>
              <w:szCs w:val="22"/>
            </w:rPr>
          </w:pPr>
          <w:hyperlink w:anchor="_Toc141259325" w:history="1">
            <w:r w:rsidRPr="006058A5">
              <w:rPr>
                <w:rStyle w:val="a9"/>
                <w:rFonts w:ascii="楷体" w:eastAsia="楷体" w:hAnsi="楷体"/>
                <w:b/>
                <w:noProof/>
              </w:rPr>
              <w:t>纯碱：现货紧缺，短期偏强震荡</w:t>
            </w:r>
          </w:hyperlink>
        </w:p>
        <w:p w:rsidR="009E25E0" w:rsidRDefault="009E25E0">
          <w:pPr>
            <w:pStyle w:val="11"/>
            <w:tabs>
              <w:tab w:val="right" w:leader="dot" w:pos="8296"/>
            </w:tabs>
            <w:rPr>
              <w:rFonts w:eastAsiaTheme="minorEastAsia"/>
              <w:noProof/>
              <w:szCs w:val="22"/>
            </w:rPr>
          </w:pPr>
          <w:hyperlink w:anchor="_Toc141259326" w:history="1">
            <w:r w:rsidRPr="006058A5">
              <w:rPr>
                <w:rStyle w:val="a9"/>
                <w:rFonts w:ascii="Times New Roman" w:eastAsia="楷体" w:hAnsi="Times New Roman"/>
                <w:b/>
                <w:noProof/>
              </w:rPr>
              <w:t>[</w:t>
            </w:r>
            <w:r w:rsidRPr="006058A5">
              <w:rPr>
                <w:rStyle w:val="a9"/>
                <w:rFonts w:ascii="Times New Roman" w:eastAsia="楷体" w:hAnsi="Times New Roman"/>
                <w:b/>
                <w:noProof/>
              </w:rPr>
              <w:t>农产品</w:t>
            </w:r>
            <w:r w:rsidRPr="006058A5">
              <w:rPr>
                <w:rStyle w:val="a9"/>
                <w:rFonts w:ascii="Times New Roman" w:eastAsia="楷体" w:hAnsi="Times New Roman"/>
                <w:b/>
                <w:noProof/>
              </w:rPr>
              <w:t>]</w:t>
            </w:r>
          </w:hyperlink>
        </w:p>
        <w:p w:rsidR="009E25E0" w:rsidRDefault="009E25E0">
          <w:pPr>
            <w:pStyle w:val="23"/>
            <w:tabs>
              <w:tab w:val="right" w:leader="dot" w:pos="8296"/>
            </w:tabs>
            <w:rPr>
              <w:rFonts w:eastAsiaTheme="minorEastAsia"/>
              <w:noProof/>
              <w:szCs w:val="22"/>
            </w:rPr>
          </w:pPr>
          <w:hyperlink w:anchor="_Toc141259327" w:history="1">
            <w:r w:rsidRPr="006058A5">
              <w:rPr>
                <w:rStyle w:val="a9"/>
                <w:rFonts w:ascii="楷体" w:eastAsia="楷体" w:hAnsi="楷体"/>
                <w:b/>
                <w:noProof/>
              </w:rPr>
              <w:t>豆粕/菜粕：短期维持谨慎看多观点</w:t>
            </w:r>
          </w:hyperlink>
        </w:p>
        <w:p w:rsidR="009E25E0" w:rsidRDefault="009E25E0">
          <w:pPr>
            <w:pStyle w:val="23"/>
            <w:tabs>
              <w:tab w:val="right" w:leader="dot" w:pos="8296"/>
            </w:tabs>
            <w:rPr>
              <w:rFonts w:eastAsiaTheme="minorEastAsia"/>
              <w:noProof/>
              <w:szCs w:val="22"/>
            </w:rPr>
          </w:pPr>
          <w:hyperlink w:anchor="_Toc141259328" w:history="1">
            <w:r w:rsidRPr="006058A5">
              <w:rPr>
                <w:rStyle w:val="a9"/>
                <w:rFonts w:ascii="楷体" w:eastAsia="楷体" w:hAnsi="楷体"/>
                <w:b/>
                <w:noProof/>
              </w:rPr>
              <w:t>油脂：维持高位震荡</w:t>
            </w:r>
          </w:hyperlink>
        </w:p>
        <w:p w:rsidR="009E25E0" w:rsidRDefault="009E25E0">
          <w:pPr>
            <w:pStyle w:val="23"/>
            <w:tabs>
              <w:tab w:val="right" w:leader="dot" w:pos="8296"/>
            </w:tabs>
            <w:rPr>
              <w:rFonts w:eastAsiaTheme="minorEastAsia"/>
              <w:noProof/>
              <w:szCs w:val="22"/>
            </w:rPr>
          </w:pPr>
          <w:hyperlink w:anchor="_Toc141259329" w:history="1">
            <w:r w:rsidRPr="006058A5">
              <w:rPr>
                <w:rStyle w:val="a9"/>
                <w:rFonts w:ascii="楷体" w:eastAsia="楷体" w:hAnsi="楷体"/>
                <w:b/>
                <w:bCs/>
                <w:noProof/>
              </w:rPr>
              <w:t>玉米与淀粉：</w:t>
            </w:r>
            <w:r w:rsidRPr="006058A5">
              <w:rPr>
                <w:rStyle w:val="a9"/>
                <w:rFonts w:ascii="楷体" w:eastAsia="楷体" w:hAnsi="楷体"/>
                <w:b/>
                <w:noProof/>
              </w:rPr>
              <w:t>夜盘近月减仓反弹，关注陈化水稻抛储政策</w:t>
            </w:r>
          </w:hyperlink>
        </w:p>
        <w:p w:rsidR="009E25E0" w:rsidRDefault="009E25E0">
          <w:pPr>
            <w:pStyle w:val="23"/>
            <w:tabs>
              <w:tab w:val="right" w:leader="dot" w:pos="8296"/>
            </w:tabs>
            <w:rPr>
              <w:rFonts w:eastAsiaTheme="minorEastAsia"/>
              <w:noProof/>
              <w:szCs w:val="22"/>
            </w:rPr>
          </w:pPr>
          <w:hyperlink w:anchor="_Toc141259330" w:history="1">
            <w:r w:rsidRPr="006058A5">
              <w:rPr>
                <w:rStyle w:val="a9"/>
                <w:rFonts w:ascii="楷体" w:eastAsia="楷体" w:hAnsi="楷体"/>
                <w:b/>
                <w:bCs/>
                <w:noProof/>
              </w:rPr>
              <w:t>畜禽养殖：关注现货上涨的持续性</w:t>
            </w:r>
          </w:hyperlink>
        </w:p>
        <w:p w:rsidR="009E25E0" w:rsidRDefault="009E25E0">
          <w:pPr>
            <w:pStyle w:val="23"/>
            <w:tabs>
              <w:tab w:val="right" w:leader="dot" w:pos="8296"/>
            </w:tabs>
            <w:rPr>
              <w:rFonts w:eastAsiaTheme="minorEastAsia"/>
              <w:noProof/>
              <w:szCs w:val="22"/>
            </w:rPr>
          </w:pPr>
          <w:hyperlink w:anchor="_Toc141259331" w:history="1">
            <w:r w:rsidRPr="006058A5">
              <w:rPr>
                <w:rStyle w:val="a9"/>
                <w:rFonts w:ascii="楷体" w:eastAsia="楷体" w:hAnsi="楷体"/>
                <w:b/>
                <w:noProof/>
              </w:rPr>
              <w:t>郑棉：09看跌期权卖权持有或观望，01在16800附近低多</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125930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1259303"/>
      <w:bookmarkEnd w:id="4"/>
      <w:r>
        <w:rPr>
          <w:rFonts w:ascii="Times New Roman" w:eastAsia="楷体" w:hAnsi="Times New Roman" w:hint="eastAsia"/>
          <w:b/>
          <w:color w:val="000000" w:themeColor="text1"/>
          <w:sz w:val="24"/>
          <w:szCs w:val="24"/>
        </w:rPr>
        <w:t>股指：</w:t>
      </w:r>
      <w:bookmarkEnd w:id="6"/>
      <w:bookmarkEnd w:id="7"/>
      <w:r w:rsidR="006A6067" w:rsidRPr="006A6067">
        <w:rPr>
          <w:rFonts w:ascii="Times New Roman" w:eastAsia="楷体" w:hAnsi="Times New Roman" w:hint="eastAsia"/>
          <w:b/>
          <w:color w:val="000000" w:themeColor="text1"/>
          <w:sz w:val="24"/>
          <w:szCs w:val="24"/>
        </w:rPr>
        <w:t>低多</w:t>
      </w:r>
      <w:r w:rsidR="006A6067" w:rsidRPr="006A6067">
        <w:rPr>
          <w:rFonts w:ascii="Times New Roman" w:eastAsia="楷体" w:hAnsi="Times New Roman" w:hint="eastAsia"/>
          <w:b/>
          <w:color w:val="000000" w:themeColor="text1"/>
          <w:sz w:val="24"/>
          <w:szCs w:val="24"/>
        </w:rPr>
        <w:t>IF</w:t>
      </w:r>
      <w:bookmarkEnd w:id="8"/>
    </w:p>
    <w:p w:rsidR="003F56A5" w:rsidRDefault="006A6067" w:rsidP="00D14B3E">
      <w:pPr>
        <w:ind w:leftChars="300" w:left="630"/>
        <w:rPr>
          <w:rFonts w:ascii="Times New Roman" w:eastAsia="楷体" w:hAnsi="Times New Roman"/>
          <w:color w:val="000000" w:themeColor="text1"/>
          <w:sz w:val="24"/>
          <w:szCs w:val="24"/>
        </w:rPr>
      </w:pPr>
      <w:r w:rsidRPr="006A6067">
        <w:rPr>
          <w:rFonts w:ascii="Times New Roman" w:eastAsia="楷体" w:hAnsi="Times New Roman" w:hint="eastAsia"/>
          <w:color w:val="000000" w:themeColor="text1"/>
          <w:sz w:val="24"/>
          <w:szCs w:val="24"/>
        </w:rPr>
        <w:t xml:space="preserve">7 </w:t>
      </w:r>
      <w:r w:rsidRPr="006A6067">
        <w:rPr>
          <w:rFonts w:ascii="Times New Roman" w:eastAsia="楷体" w:hAnsi="Times New Roman" w:hint="eastAsia"/>
          <w:color w:val="000000" w:themeColor="text1"/>
          <w:sz w:val="24"/>
          <w:szCs w:val="24"/>
        </w:rPr>
        <w:t>月政治局会议举措重点在扩大内需和提振信心，而非短期刺激，房地产与地方债务表</w:t>
      </w:r>
      <w:r w:rsidRPr="006A6067">
        <w:rPr>
          <w:rFonts w:ascii="Times New Roman" w:eastAsia="楷体" w:hAnsi="Times New Roman" w:hint="eastAsia"/>
          <w:color w:val="000000" w:themeColor="text1"/>
          <w:sz w:val="24"/>
          <w:szCs w:val="24"/>
        </w:rPr>
        <w:t xml:space="preserve"> </w:t>
      </w:r>
      <w:r w:rsidRPr="006A6067">
        <w:rPr>
          <w:rFonts w:ascii="Times New Roman" w:eastAsia="楷体" w:hAnsi="Times New Roman" w:hint="eastAsia"/>
          <w:color w:val="000000" w:themeColor="text1"/>
          <w:sz w:val="24"/>
          <w:szCs w:val="24"/>
        </w:rPr>
        <w:t>述调整，政策定调积极，不确定性下降，短线跟随市场情绪轻仓做多，市场乐观预期发酵后续还需标示性事件和关键验证催化</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125930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1259305"/>
      <w:r>
        <w:rPr>
          <w:rFonts w:ascii="Times New Roman" w:eastAsia="楷体" w:hAnsi="Times New Roman" w:hint="eastAsia"/>
          <w:b/>
          <w:color w:val="000000" w:themeColor="text1"/>
          <w:sz w:val="24"/>
          <w:szCs w:val="24"/>
        </w:rPr>
        <w:t>贵金属：</w:t>
      </w:r>
      <w:r w:rsidR="006A6067" w:rsidRPr="006A6067">
        <w:rPr>
          <w:rFonts w:ascii="Times New Roman" w:eastAsia="楷体" w:hAnsi="Times New Roman" w:hint="eastAsia"/>
          <w:b/>
          <w:color w:val="000000" w:themeColor="text1"/>
          <w:sz w:val="24"/>
          <w:szCs w:val="24"/>
        </w:rPr>
        <w:t>美国消费者信心指数上升，银价小幅反弹</w:t>
      </w:r>
      <w:bookmarkEnd w:id="10"/>
    </w:p>
    <w:p w:rsidR="003F56A5" w:rsidRDefault="006A6067">
      <w:pPr>
        <w:ind w:leftChars="300" w:left="630"/>
        <w:rPr>
          <w:rFonts w:ascii="Times New Roman" w:eastAsia="楷体" w:hAnsi="Times New Roman"/>
          <w:sz w:val="24"/>
          <w:szCs w:val="24"/>
        </w:rPr>
      </w:pPr>
      <w:r w:rsidRPr="006A6067">
        <w:rPr>
          <w:rFonts w:ascii="Times New Roman" w:eastAsia="楷体" w:hAnsi="Times New Roman" w:hint="eastAsia"/>
          <w:color w:val="000000" w:themeColor="text1"/>
          <w:sz w:val="24"/>
          <w:szCs w:val="24"/>
        </w:rPr>
        <w:t>美国</w:t>
      </w:r>
      <w:r w:rsidRPr="006A6067">
        <w:rPr>
          <w:rFonts w:ascii="Times New Roman" w:eastAsia="楷体" w:hAnsi="Times New Roman" w:hint="eastAsia"/>
          <w:color w:val="000000" w:themeColor="text1"/>
          <w:sz w:val="24"/>
          <w:szCs w:val="24"/>
        </w:rPr>
        <w:t>7</w:t>
      </w:r>
      <w:r w:rsidRPr="006A6067">
        <w:rPr>
          <w:rFonts w:ascii="Times New Roman" w:eastAsia="楷体" w:hAnsi="Times New Roman" w:hint="eastAsia"/>
          <w:color w:val="000000" w:themeColor="text1"/>
          <w:sz w:val="24"/>
          <w:szCs w:val="24"/>
        </w:rPr>
        <w:t>月谘商会消费者信心指数为</w:t>
      </w:r>
      <w:r w:rsidRPr="006A6067">
        <w:rPr>
          <w:rFonts w:ascii="Times New Roman" w:eastAsia="楷体" w:hAnsi="Times New Roman" w:hint="eastAsia"/>
          <w:color w:val="000000" w:themeColor="text1"/>
          <w:sz w:val="24"/>
          <w:szCs w:val="24"/>
        </w:rPr>
        <w:t>117</w:t>
      </w:r>
      <w:r w:rsidRPr="006A6067">
        <w:rPr>
          <w:rFonts w:ascii="Times New Roman" w:eastAsia="楷体" w:hAnsi="Times New Roman" w:hint="eastAsia"/>
          <w:color w:val="000000" w:themeColor="text1"/>
          <w:sz w:val="24"/>
          <w:szCs w:val="24"/>
        </w:rPr>
        <w:t>，创</w:t>
      </w:r>
      <w:r w:rsidRPr="006A6067">
        <w:rPr>
          <w:rFonts w:ascii="Times New Roman" w:eastAsia="楷体" w:hAnsi="Times New Roman" w:hint="eastAsia"/>
          <w:color w:val="000000" w:themeColor="text1"/>
          <w:sz w:val="24"/>
          <w:szCs w:val="24"/>
        </w:rPr>
        <w:t>2021</w:t>
      </w:r>
      <w:r w:rsidRPr="006A6067">
        <w:rPr>
          <w:rFonts w:ascii="Times New Roman" w:eastAsia="楷体" w:hAnsi="Times New Roman" w:hint="eastAsia"/>
          <w:color w:val="000000" w:themeColor="text1"/>
          <w:sz w:val="24"/>
          <w:szCs w:val="24"/>
        </w:rPr>
        <w:t>年</w:t>
      </w:r>
      <w:r w:rsidRPr="006A6067">
        <w:rPr>
          <w:rFonts w:ascii="Times New Roman" w:eastAsia="楷体" w:hAnsi="Times New Roman" w:hint="eastAsia"/>
          <w:color w:val="000000" w:themeColor="text1"/>
          <w:sz w:val="24"/>
          <w:szCs w:val="24"/>
        </w:rPr>
        <w:t>7</w:t>
      </w:r>
      <w:r w:rsidRPr="006A6067">
        <w:rPr>
          <w:rFonts w:ascii="Times New Roman" w:eastAsia="楷体" w:hAnsi="Times New Roman" w:hint="eastAsia"/>
          <w:color w:val="000000" w:themeColor="text1"/>
          <w:sz w:val="24"/>
          <w:szCs w:val="24"/>
        </w:rPr>
        <w:t>月以来新高，高于预期及小幅上修后的前值。</w:t>
      </w:r>
      <w:r w:rsidRPr="006A6067">
        <w:rPr>
          <w:rFonts w:ascii="Times New Roman" w:eastAsia="楷体" w:hAnsi="Times New Roman" w:hint="eastAsia"/>
          <w:color w:val="000000" w:themeColor="text1"/>
          <w:sz w:val="24"/>
          <w:szCs w:val="24"/>
        </w:rPr>
        <w:t>IMF7</w:t>
      </w:r>
      <w:r w:rsidRPr="006A6067">
        <w:rPr>
          <w:rFonts w:ascii="Times New Roman" w:eastAsia="楷体" w:hAnsi="Times New Roman" w:hint="eastAsia"/>
          <w:color w:val="000000" w:themeColor="text1"/>
          <w:sz w:val="24"/>
          <w:szCs w:val="24"/>
        </w:rPr>
        <w:t>月《世界经济展望报告》将年内经济增速预期调升</w:t>
      </w:r>
      <w:r w:rsidRPr="006A6067">
        <w:rPr>
          <w:rFonts w:ascii="Times New Roman" w:eastAsia="楷体" w:hAnsi="Times New Roman" w:hint="eastAsia"/>
          <w:color w:val="000000" w:themeColor="text1"/>
          <w:sz w:val="24"/>
          <w:szCs w:val="24"/>
        </w:rPr>
        <w:t>0.2</w:t>
      </w:r>
      <w:r w:rsidRPr="006A6067">
        <w:rPr>
          <w:rFonts w:ascii="Times New Roman" w:eastAsia="楷体" w:hAnsi="Times New Roman" w:hint="eastAsia"/>
          <w:color w:val="000000" w:themeColor="text1"/>
          <w:sz w:val="24"/>
          <w:szCs w:val="24"/>
        </w:rPr>
        <w:t>个百分点至</w:t>
      </w:r>
      <w:r w:rsidRPr="006A6067">
        <w:rPr>
          <w:rFonts w:ascii="Times New Roman" w:eastAsia="楷体" w:hAnsi="Times New Roman" w:hint="eastAsia"/>
          <w:color w:val="000000" w:themeColor="text1"/>
          <w:sz w:val="24"/>
          <w:szCs w:val="24"/>
        </w:rPr>
        <w:t>3%</w:t>
      </w:r>
      <w:r w:rsidRPr="006A6067">
        <w:rPr>
          <w:rFonts w:ascii="Times New Roman" w:eastAsia="楷体" w:hAnsi="Times New Roman" w:hint="eastAsia"/>
          <w:color w:val="000000" w:themeColor="text1"/>
          <w:sz w:val="24"/>
          <w:szCs w:val="24"/>
        </w:rPr>
        <w:t>，维持对明年经济增速预期不变。人民币汇率小幅调升，昨夜沪金偏弱震荡，沪银小幅反弹。美联储本周开启</w:t>
      </w:r>
      <w:r w:rsidRPr="006A6067">
        <w:rPr>
          <w:rFonts w:ascii="Times New Roman" w:eastAsia="楷体" w:hAnsi="Times New Roman" w:hint="eastAsia"/>
          <w:color w:val="000000" w:themeColor="text1"/>
          <w:sz w:val="24"/>
          <w:szCs w:val="24"/>
        </w:rPr>
        <w:t>7</w:t>
      </w:r>
      <w:r w:rsidRPr="006A6067">
        <w:rPr>
          <w:rFonts w:ascii="Times New Roman" w:eastAsia="楷体" w:hAnsi="Times New Roman" w:hint="eastAsia"/>
          <w:color w:val="000000" w:themeColor="text1"/>
          <w:sz w:val="24"/>
          <w:szCs w:val="24"/>
        </w:rPr>
        <w:t>月议息会议，当前市场完全计入了</w:t>
      </w:r>
      <w:r w:rsidRPr="006A6067">
        <w:rPr>
          <w:rFonts w:ascii="Times New Roman" w:eastAsia="楷体" w:hAnsi="Times New Roman" w:hint="eastAsia"/>
          <w:color w:val="000000" w:themeColor="text1"/>
          <w:sz w:val="24"/>
          <w:szCs w:val="24"/>
        </w:rPr>
        <w:t>7</w:t>
      </w:r>
      <w:r w:rsidRPr="006A6067">
        <w:rPr>
          <w:rFonts w:ascii="Times New Roman" w:eastAsia="楷体" w:hAnsi="Times New Roman" w:hint="eastAsia"/>
          <w:color w:val="000000" w:themeColor="text1"/>
          <w:sz w:val="24"/>
          <w:szCs w:val="24"/>
        </w:rPr>
        <w:t>月加息</w:t>
      </w:r>
      <w:r w:rsidRPr="006A6067">
        <w:rPr>
          <w:rFonts w:ascii="Times New Roman" w:eastAsia="楷体" w:hAnsi="Times New Roman" w:hint="eastAsia"/>
          <w:color w:val="000000" w:themeColor="text1"/>
          <w:sz w:val="24"/>
          <w:szCs w:val="24"/>
        </w:rPr>
        <w:t>25bp</w:t>
      </w:r>
      <w:r w:rsidRPr="006A6067">
        <w:rPr>
          <w:rFonts w:ascii="Times New Roman" w:eastAsia="楷体" w:hAnsi="Times New Roman" w:hint="eastAsia"/>
          <w:color w:val="000000" w:themeColor="text1"/>
          <w:sz w:val="24"/>
          <w:szCs w:val="24"/>
        </w:rPr>
        <w:t>的预期，市场预计</w:t>
      </w:r>
      <w:r w:rsidRPr="006A6067">
        <w:rPr>
          <w:rFonts w:ascii="Times New Roman" w:eastAsia="楷体" w:hAnsi="Times New Roman" w:hint="eastAsia"/>
          <w:color w:val="000000" w:themeColor="text1"/>
          <w:sz w:val="24"/>
          <w:szCs w:val="24"/>
        </w:rPr>
        <w:t>7</w:t>
      </w:r>
      <w:r w:rsidRPr="006A6067">
        <w:rPr>
          <w:rFonts w:ascii="Times New Roman" w:eastAsia="楷体" w:hAnsi="Times New Roman" w:hint="eastAsia"/>
          <w:color w:val="000000" w:themeColor="text1"/>
          <w:sz w:val="24"/>
          <w:szCs w:val="24"/>
        </w:rPr>
        <w:t>月或为本轮紧缩周期最后一次加息，明年二季度后有望降息。待联储利空落地后，沪金、沪银可逢低试多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125930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1259307"/>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Pr="00F50569">
        <w:rPr>
          <w:rFonts w:ascii="楷体" w:eastAsia="楷体" w:hAnsi="楷体" w:hint="eastAsia"/>
          <w:b/>
          <w:color w:val="000000" w:themeColor="text1"/>
          <w:sz w:val="24"/>
          <w:szCs w:val="24"/>
        </w:rPr>
        <w:t>期货正式上市，锂价或扩大跌幅</w:t>
      </w:r>
      <w:bookmarkEnd w:id="18"/>
    </w:p>
    <w:p w:rsidR="00F50569" w:rsidRDefault="00F50569" w:rsidP="00F50569">
      <w:pPr>
        <w:ind w:leftChars="300" w:left="630"/>
        <w:rPr>
          <w:rFonts w:ascii="楷体" w:eastAsia="楷体" w:hAnsi="楷体"/>
          <w:color w:val="000000" w:themeColor="text1"/>
          <w:sz w:val="24"/>
          <w:szCs w:val="24"/>
        </w:rPr>
      </w:pPr>
      <w:r w:rsidRPr="00F50569">
        <w:rPr>
          <w:rFonts w:ascii="楷体" w:eastAsia="楷体" w:hAnsi="楷体" w:hint="eastAsia"/>
          <w:color w:val="000000" w:themeColor="text1"/>
          <w:sz w:val="24"/>
          <w:szCs w:val="24"/>
        </w:rPr>
        <w:t>碳酸锂期货将于今日正式上市交易，首批上市交易合约挂牌基准价均为24.60万元/吨。上市首日，碳酸锂期货合约交易保证金水平为合约价值的9%，涨跌停板幅度为挂牌基准价的±14%。电池级碳酸锂现货价连跌7日，当前暂报293500元/吨。挂牌基准价低于当前现货价，一定程度上反映了下半年碳酸锂供应增速相对更大，产业内部相对看空的价格预期。碳酸锂上市首日，在市场资金博弈下存在高开的概率，但相对于部分产能而言盘面仍有一定的利润空间，因此建议以逢高做空为主，锂价或扩大跌幅。碳酸锂生产企业可尝试进行卖出套保策略，锁定当前生产利润，规避未来锂价持续走弱风险。考虑到远月合约流动性，且由于标准仓单每年3月、7月、11月最后一个交易日注销，可考虑多近月（LC2401）、空远月（LC2403）的跨期套利策略</w:t>
      </w:r>
      <w:r>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1259308"/>
      <w:r>
        <w:rPr>
          <w:rFonts w:ascii="楷体" w:eastAsia="楷体" w:hAnsi="楷体" w:hint="eastAsia"/>
          <w:b/>
          <w:color w:val="000000" w:themeColor="text1"/>
          <w:sz w:val="24"/>
          <w:szCs w:val="24"/>
        </w:rPr>
        <w:t>螺纹钢：</w:t>
      </w:r>
      <w:bookmarkEnd w:id="16"/>
      <w:bookmarkEnd w:id="17"/>
      <w:r w:rsidR="006A6067" w:rsidRPr="006A6067">
        <w:rPr>
          <w:rFonts w:ascii="楷体" w:eastAsia="楷体" w:hAnsi="楷体" w:hint="eastAsia"/>
          <w:b/>
          <w:color w:val="000000" w:themeColor="text1"/>
          <w:sz w:val="24"/>
          <w:szCs w:val="24"/>
        </w:rPr>
        <w:t>期现小级别共振，盘面或继续震荡上行</w:t>
      </w:r>
      <w:bookmarkEnd w:id="19"/>
    </w:p>
    <w:p w:rsidR="003F56A5" w:rsidRDefault="006A6067" w:rsidP="00201944">
      <w:pPr>
        <w:ind w:leftChars="300" w:left="630"/>
        <w:rPr>
          <w:rFonts w:ascii="楷体" w:eastAsia="楷体" w:hAnsi="楷体"/>
          <w:color w:val="000000" w:themeColor="text1"/>
          <w:sz w:val="24"/>
          <w:szCs w:val="24"/>
        </w:rPr>
      </w:pPr>
      <w:r w:rsidRPr="006A6067">
        <w:rPr>
          <w:rFonts w:ascii="楷体" w:eastAsia="楷体" w:hAnsi="楷体" w:hint="eastAsia"/>
          <w:color w:val="000000" w:themeColor="text1"/>
          <w:sz w:val="24"/>
          <w:szCs w:val="24"/>
        </w:rPr>
        <w:t>政策利好刺激市场情绪，后续经济总量或继续环比上行，目前现货库存结构相对健康，旺季前或有小幅度补库。预计钢价或继续震荡上行，预计区间（3830,3920）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1259309"/>
      <w:r>
        <w:rPr>
          <w:rFonts w:ascii="楷体" w:eastAsia="楷体" w:hAnsi="楷体" w:hint="eastAsia"/>
          <w:b/>
          <w:color w:val="000000" w:themeColor="text1"/>
          <w:sz w:val="24"/>
          <w:szCs w:val="24"/>
        </w:rPr>
        <w:t>焦炭：</w:t>
      </w:r>
      <w:bookmarkEnd w:id="20"/>
      <w:bookmarkEnd w:id="21"/>
      <w:r w:rsidR="006A6067" w:rsidRPr="006A6067">
        <w:rPr>
          <w:rFonts w:ascii="楷体" w:eastAsia="楷体" w:hAnsi="楷体" w:hint="eastAsia"/>
          <w:b/>
          <w:color w:val="000000" w:themeColor="text1"/>
          <w:sz w:val="24"/>
          <w:szCs w:val="24"/>
        </w:rPr>
        <w:t>成本支撑强，现货价格偏强运行</w:t>
      </w:r>
      <w:bookmarkEnd w:id="22"/>
    </w:p>
    <w:p w:rsidR="003F56A5" w:rsidRDefault="006A6067" w:rsidP="00572E35">
      <w:pPr>
        <w:ind w:leftChars="300" w:left="630"/>
        <w:rPr>
          <w:rFonts w:ascii="楷体" w:eastAsia="楷体" w:hAnsi="楷体"/>
          <w:color w:val="000000" w:themeColor="text1"/>
          <w:sz w:val="24"/>
          <w:szCs w:val="24"/>
        </w:rPr>
      </w:pPr>
      <w:r w:rsidRPr="006A6067">
        <w:rPr>
          <w:rFonts w:ascii="楷体" w:eastAsia="楷体" w:hAnsi="楷体" w:hint="eastAsia"/>
          <w:color w:val="000000" w:themeColor="text1"/>
          <w:sz w:val="24"/>
          <w:szCs w:val="24"/>
        </w:rPr>
        <w:t>港口现货价格偏稳运行，煤矿供应短期或继续保持偏低状态，焦炭供需缺口仍处于高位，盘面兑现较多涨幅，预计焦炭价格高位偏强震荡，继续突</w:t>
      </w:r>
      <w:r w:rsidRPr="006A6067">
        <w:rPr>
          <w:rFonts w:ascii="楷体" w:eastAsia="楷体" w:hAnsi="楷体" w:hint="eastAsia"/>
          <w:color w:val="000000" w:themeColor="text1"/>
          <w:sz w:val="24"/>
          <w:szCs w:val="24"/>
        </w:rPr>
        <w:lastRenderedPageBreak/>
        <w:t>破或需钢厂补库驱动，预计震荡区间（2260，2340）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1259310"/>
      <w:r>
        <w:rPr>
          <w:rFonts w:ascii="楷体" w:eastAsia="楷体" w:hAnsi="楷体" w:hint="eastAsia"/>
          <w:b/>
          <w:color w:val="000000" w:themeColor="text1"/>
          <w:sz w:val="24"/>
          <w:szCs w:val="24"/>
        </w:rPr>
        <w:t>焦煤：</w:t>
      </w:r>
      <w:r w:rsidR="006A6067" w:rsidRPr="006A6067">
        <w:rPr>
          <w:rFonts w:ascii="楷体" w:eastAsia="楷体" w:hAnsi="楷体" w:hint="eastAsia"/>
          <w:b/>
          <w:sz w:val="24"/>
          <w:szCs w:val="24"/>
        </w:rPr>
        <w:t>蒙煤通关正常化，或继续偏强运行</w:t>
      </w:r>
      <w:bookmarkEnd w:id="23"/>
    </w:p>
    <w:p w:rsidR="003F56A5" w:rsidRDefault="006A6067">
      <w:pPr>
        <w:ind w:leftChars="300" w:left="630"/>
        <w:rPr>
          <w:rFonts w:ascii="楷体" w:eastAsia="楷体" w:hAnsi="楷体"/>
          <w:bCs/>
          <w:sz w:val="24"/>
          <w:szCs w:val="24"/>
        </w:rPr>
      </w:pPr>
      <w:r w:rsidRPr="006A6067">
        <w:rPr>
          <w:rFonts w:ascii="楷体" w:eastAsia="楷体" w:hAnsi="楷体" w:hint="eastAsia"/>
          <w:sz w:val="24"/>
          <w:szCs w:val="24"/>
        </w:rPr>
        <w:t>蒙煤继续补涨，当前山西与蒙煤现货价差相对合理。供需共振拉动去库，短期或持续去库，总库存低位下，价格或继续偏强运行。煤矿或有所复产，独立驱动转弱，但成材较好下价格较难大幅度下跌，预计价格或在（1470,1550）区间偏强震荡</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1259311"/>
      <w:r>
        <w:rPr>
          <w:rFonts w:ascii="楷体" w:eastAsia="楷体" w:hAnsi="楷体" w:hint="eastAsia"/>
          <w:b/>
          <w:color w:val="000000" w:themeColor="text1"/>
          <w:sz w:val="24"/>
          <w:szCs w:val="24"/>
        </w:rPr>
        <w:t>铜：</w:t>
      </w:r>
      <w:bookmarkEnd w:id="24"/>
      <w:bookmarkEnd w:id="25"/>
      <w:r w:rsidR="006A6067" w:rsidRPr="006A6067">
        <w:rPr>
          <w:rFonts w:ascii="楷体" w:eastAsia="楷体" w:hAnsi="楷体" w:hint="eastAsia"/>
          <w:b/>
          <w:color w:val="000000" w:themeColor="text1"/>
          <w:sz w:val="24"/>
          <w:szCs w:val="24"/>
        </w:rPr>
        <w:t>震荡偏强运行，关注联储议息会议</w:t>
      </w:r>
      <w:bookmarkEnd w:id="26"/>
    </w:p>
    <w:p w:rsidR="006A6067" w:rsidRPr="006A6067" w:rsidRDefault="006A6067" w:rsidP="006A6067">
      <w:pPr>
        <w:ind w:leftChars="300" w:left="630"/>
        <w:rPr>
          <w:rFonts w:ascii="楷体" w:eastAsia="楷体" w:hAnsi="楷体" w:hint="eastAsia"/>
          <w:color w:val="000000" w:themeColor="text1"/>
          <w:sz w:val="24"/>
          <w:szCs w:val="24"/>
        </w:rPr>
      </w:pPr>
      <w:r w:rsidRPr="006A6067">
        <w:rPr>
          <w:rFonts w:ascii="楷体" w:eastAsia="楷体" w:hAnsi="楷体" w:hint="eastAsia"/>
          <w:color w:val="000000" w:themeColor="text1"/>
          <w:sz w:val="24"/>
          <w:szCs w:val="24"/>
        </w:rPr>
        <w:t>(1)库存：7月25日，SHFE仓单库存25048吨，减2936吨；LME仓单库存60775吨，增550吨。</w:t>
      </w:r>
    </w:p>
    <w:p w:rsidR="006A6067" w:rsidRPr="006A6067" w:rsidRDefault="006A6067" w:rsidP="006A6067">
      <w:pPr>
        <w:ind w:leftChars="300" w:left="630"/>
        <w:rPr>
          <w:rFonts w:ascii="楷体" w:eastAsia="楷体" w:hAnsi="楷体" w:hint="eastAsia"/>
          <w:color w:val="000000" w:themeColor="text1"/>
          <w:sz w:val="24"/>
          <w:szCs w:val="24"/>
        </w:rPr>
      </w:pPr>
      <w:r w:rsidRPr="006A6067">
        <w:rPr>
          <w:rFonts w:ascii="楷体" w:eastAsia="楷体" w:hAnsi="楷体" w:hint="eastAsia"/>
          <w:color w:val="000000" w:themeColor="text1"/>
          <w:sz w:val="24"/>
          <w:szCs w:val="24"/>
        </w:rPr>
        <w:t>(2)精废价差：7月25日，Mysteel精废价差1732，扩大2。目前价差在合理价差1388之上。</w:t>
      </w:r>
    </w:p>
    <w:p w:rsidR="00127803" w:rsidRPr="00127803" w:rsidRDefault="006A6067" w:rsidP="006A6067">
      <w:pPr>
        <w:ind w:leftChars="300" w:left="630"/>
        <w:rPr>
          <w:rFonts w:ascii="楷体" w:eastAsia="楷体" w:hAnsi="楷体"/>
          <w:color w:val="000000" w:themeColor="text1"/>
          <w:sz w:val="24"/>
          <w:szCs w:val="24"/>
        </w:rPr>
      </w:pPr>
      <w:r w:rsidRPr="006A6067">
        <w:rPr>
          <w:rFonts w:ascii="楷体" w:eastAsia="楷体" w:hAnsi="楷体" w:hint="eastAsia"/>
          <w:color w:val="000000" w:themeColor="text1"/>
          <w:sz w:val="24"/>
          <w:szCs w:val="24"/>
        </w:rPr>
        <w:t>综述：本周国内会议释放利好政策，市场对经济整体企稳回升的预期明显升温，股市和商品市场均现明显上涨，在政策预期及由此带来的需求增量被证伪前预期价格维持偏强运行，周内仍需关注美联储7月议息会议的结果及官员对后期货币政策的表态</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2C73FE" w:rsidRDefault="00CC3FFA" w:rsidP="002C73FE">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1259312"/>
      <w:r>
        <w:rPr>
          <w:rFonts w:ascii="楷体" w:eastAsia="楷体" w:hAnsi="楷体" w:hint="eastAsia"/>
          <w:b/>
          <w:color w:val="000000" w:themeColor="text1"/>
          <w:sz w:val="24"/>
          <w:szCs w:val="24"/>
        </w:rPr>
        <w:t>铝：</w:t>
      </w:r>
      <w:bookmarkEnd w:id="27"/>
      <w:bookmarkEnd w:id="28"/>
      <w:r w:rsidR="006A6067" w:rsidRPr="006A6067">
        <w:rPr>
          <w:rFonts w:ascii="楷体" w:eastAsia="楷体" w:hAnsi="楷体" w:hint="eastAsia"/>
          <w:b/>
          <w:color w:val="000000" w:themeColor="text1"/>
          <w:sz w:val="24"/>
          <w:szCs w:val="24"/>
        </w:rPr>
        <w:t>价格上行空间受限，关注现实需求</w:t>
      </w:r>
      <w:bookmarkEnd w:id="29"/>
    </w:p>
    <w:p w:rsidR="003F56A5" w:rsidRDefault="006A6067" w:rsidP="00127803">
      <w:pPr>
        <w:ind w:leftChars="300" w:left="630"/>
        <w:rPr>
          <w:rFonts w:ascii="楷体" w:eastAsia="楷体" w:hAnsi="楷体"/>
          <w:color w:val="000000" w:themeColor="text1"/>
          <w:sz w:val="24"/>
          <w:szCs w:val="24"/>
        </w:rPr>
      </w:pPr>
      <w:r w:rsidRPr="006A6067">
        <w:rPr>
          <w:rFonts w:ascii="楷体" w:eastAsia="楷体" w:hAnsi="楷体" w:hint="eastAsia"/>
          <w:color w:val="000000" w:themeColor="text1"/>
          <w:sz w:val="24"/>
          <w:szCs w:val="24"/>
        </w:rPr>
        <w:t>进口铅精矿供应维持偏紧态势，废电瓶价格继续上涨，成本端支撑铅价。原生铅企业检修影响降低，铅锭供应阶段性恢复；再生铅利润边际好转，再生铅企业开工率回升；沪铅近日涨势较猛，现货市场货源较少；下游蓄电池企业开工企稳，市场存在三季度消费传统旺季预期。成本坚挺叠加消费向好预期支撑沪铅，但现实需求可能恢复有限，中期铅供应预计偏宽松，铅价上行空间受限</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1259313"/>
      <w:r>
        <w:rPr>
          <w:rFonts w:ascii="楷体" w:eastAsia="楷体" w:hAnsi="楷体" w:hint="eastAsia"/>
          <w:b/>
          <w:color w:val="000000" w:themeColor="text1"/>
          <w:sz w:val="24"/>
          <w:szCs w:val="24"/>
        </w:rPr>
        <w:t>锌：</w:t>
      </w:r>
      <w:r w:rsidR="006A6067" w:rsidRPr="006A6067">
        <w:rPr>
          <w:rFonts w:ascii="楷体" w:eastAsia="楷体" w:hAnsi="楷体" w:hint="eastAsia"/>
          <w:b/>
          <w:color w:val="000000" w:themeColor="text1"/>
          <w:sz w:val="24"/>
          <w:szCs w:val="24"/>
        </w:rPr>
        <w:t>宏观利多情绪影响，锌价或有上行动力</w:t>
      </w:r>
      <w:bookmarkEnd w:id="30"/>
    </w:p>
    <w:p w:rsidR="003F56A5" w:rsidRDefault="006A6067" w:rsidP="000B0648">
      <w:pPr>
        <w:ind w:leftChars="300" w:left="630"/>
        <w:rPr>
          <w:rFonts w:ascii="楷体" w:eastAsia="楷体" w:hAnsi="楷体"/>
          <w:color w:val="000000" w:themeColor="text1"/>
          <w:sz w:val="24"/>
          <w:szCs w:val="24"/>
        </w:rPr>
      </w:pPr>
      <w:r w:rsidRPr="006A6067">
        <w:rPr>
          <w:rFonts w:ascii="楷体" w:eastAsia="楷体" w:hAnsi="楷体" w:hint="eastAsia"/>
          <w:color w:val="000000" w:themeColor="text1"/>
          <w:sz w:val="24"/>
          <w:szCs w:val="24"/>
        </w:rPr>
        <w:t>持续关注本周欧美央行利率决议，国家政治局经济会议召开，针对房地产政策要求适时调整优化，市场交投情绪提振。6月国内精炼锌产量为55.25万吨，产量走低但仍位于季节性偏高位置，原料市场较为宽裕，产量环比回落程度不及预期，7、8月仍为需求淡季，国内冶炼企业多计划检修，精炼锌产出或边际缩量，但在冶炼利润修复的情况之下，冶炼收缩程度有限。整体来看，锌的基本面格局仍偏向供应过剩、需求弱修复，但近期交易更多受宏观情绪影响走势偏强</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1259314"/>
      <w:r>
        <w:rPr>
          <w:rFonts w:ascii="楷体" w:eastAsia="楷体" w:hAnsi="楷体" w:hint="eastAsia"/>
          <w:b/>
          <w:color w:val="000000" w:themeColor="text1"/>
          <w:sz w:val="24"/>
          <w:szCs w:val="24"/>
        </w:rPr>
        <w:t>镍：</w:t>
      </w:r>
      <w:r w:rsidR="00D14B3E" w:rsidRPr="00D14B3E">
        <w:rPr>
          <w:rFonts w:ascii="楷体" w:eastAsia="楷体" w:hAnsi="楷体" w:hint="eastAsia"/>
          <w:b/>
          <w:color w:val="000000" w:themeColor="text1"/>
          <w:sz w:val="24"/>
          <w:szCs w:val="24"/>
        </w:rPr>
        <w:t>低库存仍支撑价格维持区间震荡</w:t>
      </w:r>
      <w:bookmarkEnd w:id="31"/>
    </w:p>
    <w:p w:rsidR="003F56A5" w:rsidRDefault="00D14B3E">
      <w:pPr>
        <w:ind w:leftChars="300" w:left="630"/>
        <w:rPr>
          <w:rFonts w:ascii="楷体" w:eastAsia="楷体" w:hAnsi="楷体"/>
          <w:color w:val="000000" w:themeColor="text1"/>
          <w:sz w:val="24"/>
          <w:szCs w:val="24"/>
        </w:rPr>
      </w:pPr>
      <w:r w:rsidRPr="00D14B3E">
        <w:rPr>
          <w:rFonts w:ascii="楷体" w:eastAsia="楷体" w:hAnsi="楷体" w:hint="eastAsia"/>
          <w:color w:val="000000" w:themeColor="text1"/>
          <w:sz w:val="24"/>
          <w:szCs w:val="24"/>
        </w:rPr>
        <w:t>近期镍价维持区间震荡，核心逻辑没变，供应过剩压制反弹空间，但低库存维持对价格仍有支撑，按当前08合约持仓量依旧存在挤仓风险。短期价格跟随宏观情绪波动，等待基本面矛盾积累。操作上，反弹过程逐步布局空单，上方安全边际可参考2309合约压力位17.5万一线</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1259315"/>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1D7D0A" w:rsidRPr="001D7D0A">
        <w:rPr>
          <w:rFonts w:ascii="楷体" w:eastAsia="楷体" w:hAnsi="楷体" w:hint="eastAsia"/>
          <w:b/>
          <w:color w:val="000000" w:themeColor="text1"/>
          <w:sz w:val="24"/>
          <w:szCs w:val="24"/>
        </w:rPr>
        <w:t>价格走势震荡偏强，关注需求变化</w:t>
      </w:r>
      <w:bookmarkEnd w:id="32"/>
    </w:p>
    <w:p w:rsidR="008B13D2" w:rsidRPr="008B13D2" w:rsidRDefault="001D7D0A" w:rsidP="008B13D2">
      <w:pPr>
        <w:ind w:leftChars="300" w:left="630"/>
        <w:rPr>
          <w:rFonts w:ascii="楷体" w:eastAsia="楷体" w:hAnsi="楷体"/>
          <w:color w:val="000000" w:themeColor="text1"/>
          <w:sz w:val="24"/>
          <w:szCs w:val="24"/>
        </w:rPr>
      </w:pPr>
      <w:r w:rsidRPr="001D7D0A">
        <w:rPr>
          <w:rFonts w:ascii="楷体" w:eastAsia="楷体" w:hAnsi="楷体" w:hint="eastAsia"/>
          <w:color w:val="000000" w:themeColor="text1"/>
          <w:sz w:val="24"/>
          <w:szCs w:val="24"/>
        </w:rPr>
        <w:t>宏观情绪利多持续释放，进口铅精矿供应维持偏紧态势，废电瓶价格居高不下，成本端支撑铅价。原生铅企业检修影响降低，铅锭供应阶段性恢复；</w:t>
      </w:r>
      <w:r w:rsidRPr="001D7D0A">
        <w:rPr>
          <w:rFonts w:ascii="楷体" w:eastAsia="楷体" w:hAnsi="楷体" w:hint="eastAsia"/>
          <w:color w:val="000000" w:themeColor="text1"/>
          <w:sz w:val="24"/>
          <w:szCs w:val="24"/>
        </w:rPr>
        <w:lastRenderedPageBreak/>
        <w:t>再生铅利润边际好转，再生铅企业开工率回升；沪铅近日涨势较猛，现货市场货源较少；下游消费缓慢修复中，市场对三季度消费传统旺季预期较强。成本坚挺叠加消费向好预期支撑沪铅，但需关注现实需求改善情况</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1259316"/>
      <w:r>
        <w:rPr>
          <w:rFonts w:ascii="楷体" w:eastAsia="楷体" w:hAnsi="楷体" w:hint="eastAsia"/>
          <w:b/>
          <w:color w:val="000000" w:themeColor="text1"/>
          <w:sz w:val="24"/>
          <w:szCs w:val="24"/>
        </w:rPr>
        <w:t>不锈钢：</w:t>
      </w:r>
      <w:r w:rsidR="001D7D0A" w:rsidRPr="001D7D0A">
        <w:rPr>
          <w:rFonts w:ascii="楷体" w:eastAsia="楷体" w:hAnsi="楷体" w:hint="eastAsia"/>
          <w:b/>
          <w:color w:val="000000" w:themeColor="text1"/>
          <w:sz w:val="24"/>
          <w:szCs w:val="24"/>
        </w:rPr>
        <w:t>成本支撑刚性，不锈钢震荡偏强运行</w:t>
      </w:r>
      <w:bookmarkEnd w:id="33"/>
    </w:p>
    <w:p w:rsidR="003F56A5" w:rsidRDefault="001D7D0A">
      <w:pPr>
        <w:ind w:leftChars="300" w:left="630"/>
        <w:rPr>
          <w:rFonts w:ascii="楷体" w:eastAsia="楷体" w:hAnsi="楷体"/>
          <w:color w:val="000000" w:themeColor="text1"/>
          <w:sz w:val="24"/>
          <w:szCs w:val="24"/>
        </w:rPr>
      </w:pPr>
      <w:r w:rsidRPr="001D7D0A">
        <w:rPr>
          <w:rFonts w:ascii="楷体" w:eastAsia="楷体" w:hAnsi="楷体" w:hint="eastAsia"/>
          <w:color w:val="000000" w:themeColor="text1"/>
          <w:sz w:val="24"/>
          <w:szCs w:val="24"/>
        </w:rPr>
        <w:t>近日镍铁价格小幅上抬，成本端对不锈钢价存支撑，且镍铁收储消息仍有不确定性，短期市场情绪或仍有反复。库存方面，当前不锈钢社会库存延续增势，需求相对疲弱，钢厂利润扩大情况下有利于钢厂产量释放，反过来压制价格。操作上不建议继续追高，等待进一步消息面指引</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1259317"/>
      <w:r>
        <w:rPr>
          <w:rFonts w:ascii="楷体" w:eastAsia="楷体" w:hAnsi="楷体" w:hint="eastAsia"/>
          <w:b/>
          <w:color w:val="000000" w:themeColor="text1"/>
          <w:sz w:val="24"/>
          <w:szCs w:val="24"/>
        </w:rPr>
        <w:t>工业硅：</w:t>
      </w:r>
      <w:r w:rsidR="006A6067" w:rsidRPr="006A6067">
        <w:rPr>
          <w:rFonts w:ascii="楷体" w:eastAsia="楷体" w:hAnsi="楷体" w:hint="eastAsia"/>
          <w:b/>
          <w:sz w:val="24"/>
          <w:szCs w:val="24"/>
        </w:rPr>
        <w:t>单边驱动动能不足，盘面以震荡对待</w:t>
      </w:r>
      <w:bookmarkEnd w:id="34"/>
    </w:p>
    <w:p w:rsidR="003F56A5" w:rsidRDefault="006A6067" w:rsidP="00827E8A">
      <w:pPr>
        <w:ind w:leftChars="300" w:left="630"/>
        <w:rPr>
          <w:rFonts w:ascii="楷体" w:eastAsia="楷体" w:hAnsi="楷体"/>
          <w:sz w:val="24"/>
          <w:szCs w:val="24"/>
        </w:rPr>
      </w:pPr>
      <w:r w:rsidRPr="006A6067">
        <w:rPr>
          <w:rFonts w:ascii="楷体" w:eastAsia="楷体" w:hAnsi="楷体" w:hint="eastAsia"/>
          <w:sz w:val="24"/>
          <w:szCs w:val="24"/>
        </w:rPr>
        <w:t>7月25日，Si2309主力合约呈反弹走势，收盘价13555元/吨，较上一收盘价涨跌幅＋0.86%。供应方面，云南、新疆维持复产节奏，供应整体增加，但四川复产不及预期;需求方面，下游终端实际需求维持弱势，暂无改善，而多晶硅新增产能有望投产，存在改善预期。综合而言，基本面维持偏弱，盘面多空博弈加剧，单边驱动动能不足，短期市场或将阶段性进入震荡行情。预计09合约运行区间（13100，13800），建议以波段操作为主</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125931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5B790A" w:rsidRDefault="00CC3FFA" w:rsidP="005B790A">
      <w:pPr>
        <w:ind w:firstLineChars="200" w:firstLine="482"/>
        <w:outlineLvl w:val="1"/>
        <w:rPr>
          <w:rFonts w:ascii="楷体" w:eastAsia="楷体" w:hAnsi="楷体"/>
          <w:b/>
          <w:sz w:val="24"/>
          <w:szCs w:val="24"/>
        </w:rPr>
      </w:pPr>
      <w:bookmarkStart w:id="37" w:name="_Toc141259319"/>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6A6067" w:rsidRPr="006A6067">
        <w:rPr>
          <w:rFonts w:ascii="楷体" w:eastAsia="楷体" w:hAnsi="楷体" w:hint="eastAsia"/>
          <w:b/>
          <w:sz w:val="24"/>
          <w:szCs w:val="24"/>
        </w:rPr>
        <w:t>短期无明显利好指引 RU或低位震荡为主</w:t>
      </w:r>
      <w:bookmarkEnd w:id="37"/>
    </w:p>
    <w:p w:rsidR="003F56A5" w:rsidRDefault="006A6067">
      <w:pPr>
        <w:ind w:leftChars="300" w:left="630"/>
        <w:rPr>
          <w:rFonts w:ascii="楷体" w:eastAsia="楷体" w:hAnsi="楷体"/>
          <w:sz w:val="24"/>
          <w:szCs w:val="24"/>
        </w:rPr>
      </w:pPr>
      <w:r w:rsidRPr="006A6067">
        <w:rPr>
          <w:rFonts w:ascii="楷体" w:eastAsia="楷体" w:hAnsi="楷体" w:hint="eastAsia"/>
          <w:sz w:val="24"/>
          <w:szCs w:val="24"/>
        </w:rPr>
        <w:t>点评：近期下午有消息称此前的橡胶收储或改为抛储，市场交易信息不足，RU震荡整理。从基本面拉看，供给端，随着国内替代指标落地，海外供给上量，供应端压力逐步加大；中游库存反复变动，绝对值仍处高位，尽管进口量环比出现一定下滑，但去库难度依旧较大。需求端来看，下游轮胎企业开工率处于高位，但内销市场出货偏慢，导致全钢胎成品库存小幅提升，因此短期开工率继续提升的空间有限。消息层面，尽管网传收储信息不断，但仍不见官方正式公告，且收储量亦传出不及预期和收储的猜测，因此市场炒作情绪再度降温。而在橡胶基本面依旧弱势的情况下，同时近端09合约高价差矛盾没有解决下，整体盘面依旧维持偏弱表现。但当前胶价已接近成本线，下调空间不足，若无明显利好指引，仍较维持低位震荡。操作上，短期建议观望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1259320"/>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6A6067" w:rsidRPr="006A6067">
        <w:rPr>
          <w:rFonts w:ascii="楷体" w:eastAsia="楷体" w:hAnsi="楷体" w:hint="eastAsia"/>
          <w:b/>
          <w:color w:val="000000" w:themeColor="text1"/>
          <w:sz w:val="24"/>
          <w:szCs w:val="24"/>
        </w:rPr>
        <w:t>成本端驱动偏强</w:t>
      </w:r>
      <w:bookmarkEnd w:id="38"/>
      <w:r w:rsidR="008F1360" w:rsidRPr="008F1360">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6A6067" w:rsidP="002C73FE">
      <w:pPr>
        <w:ind w:leftChars="300" w:left="630"/>
        <w:rPr>
          <w:rFonts w:ascii="楷体" w:eastAsia="楷体" w:hAnsi="楷体"/>
          <w:color w:val="000000" w:themeColor="text1"/>
          <w:sz w:val="24"/>
          <w:szCs w:val="24"/>
        </w:rPr>
      </w:pPr>
      <w:r w:rsidRPr="006A6067">
        <w:rPr>
          <w:rFonts w:ascii="楷体" w:eastAsia="楷体" w:hAnsi="楷体" w:hint="eastAsia"/>
          <w:color w:val="000000" w:themeColor="text1"/>
          <w:sz w:val="24"/>
          <w:szCs w:val="24"/>
        </w:rPr>
        <w:t>PTA供给方面，福海创450万吨重启，逸盛海南200万吨，新材料360万吨提负，能投100万吨装置计划外停车，PTA负荷提升至78.3%。7月减产利好叠加汽油需求将进入季节性峰值阶段，原油基本面结构改善，短期盘面支撑仍较强。需求方面，近期因电力故障、天然气供应等原因，瓶片工厂局部出现减产及长丝负荷有局部调整，综合来看聚酯负荷有所下滑。截至7.20，初步核算国内大陆地区聚酯负荷在93%附近。受原料价格走高影响，江浙终端开工率继续小幅下降。但市场对9-10月份旺季有预期，低库存下预计7月聚酯不会轻易减停产。展望后市，海外出行旺季下PXN难压缩，PTA近期检修增多开工率下滑，聚酯因库存低位高开工维持需求韧性</w:t>
      </w:r>
      <w:r w:rsidRPr="006A6067">
        <w:rPr>
          <w:rFonts w:ascii="楷体" w:eastAsia="楷体" w:hAnsi="楷体" w:hint="eastAsia"/>
          <w:color w:val="000000" w:themeColor="text1"/>
          <w:sz w:val="24"/>
          <w:szCs w:val="24"/>
        </w:rPr>
        <w:lastRenderedPageBreak/>
        <w:t>尚可。PTA近期货源相对充足，随着装置检修恢复或进入阶段性累库阶段。但成本端仍偏强及聚酯高开工提振，PTA 短期进入震荡市。仅供参考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1259321"/>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40" w:name="_Toc141259322"/>
      <w:r>
        <w:rPr>
          <w:rFonts w:ascii="楷体" w:eastAsia="楷体" w:hAnsi="楷体" w:hint="eastAsia"/>
          <w:b/>
          <w:color w:val="000000" w:themeColor="text1"/>
          <w:sz w:val="24"/>
          <w:szCs w:val="24"/>
        </w:rPr>
        <w:t>聚烯烃：</w:t>
      </w:r>
      <w:r w:rsidR="006A6067" w:rsidRPr="006A6067">
        <w:rPr>
          <w:rFonts w:ascii="楷体" w:eastAsia="楷体" w:hAnsi="楷体" w:hint="eastAsia"/>
          <w:b/>
          <w:color w:val="000000" w:themeColor="text1"/>
          <w:sz w:val="24"/>
          <w:szCs w:val="24"/>
        </w:rPr>
        <w:t>成本支撑增强，聚烯烃或窄幅整理为主</w:t>
      </w:r>
      <w:bookmarkEnd w:id="40"/>
    </w:p>
    <w:p w:rsidR="003F56A5" w:rsidRDefault="006A6067">
      <w:pPr>
        <w:ind w:leftChars="300" w:left="630"/>
        <w:rPr>
          <w:rFonts w:ascii="楷体" w:eastAsia="楷体" w:hAnsi="楷体"/>
          <w:bCs/>
          <w:sz w:val="24"/>
          <w:szCs w:val="24"/>
        </w:rPr>
      </w:pPr>
      <w:r w:rsidRPr="006A6067">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供应趋紧的迹象以及中国提振经济的承诺提振了市场人气，欧美原油期货上涨至4月18日以来最高，然而欧元区和美国的利空数据凸显了全球经济疲软，限制了油价涨幅。需求方面，PE下游方面，农膜整体需求平平，工厂生产清淡。棚膜工厂多停机检修；PP下游方面，BOPP市场成交刚需有量，整体量较上一交易日增加，BOPP企业未交付订单多数在一周以内，个别可至八月上旬。综合来看，PE方面，原油走势回暖，成本支撑增强；供应方面，国内供应压力不大；下游方面，部分下游制品工厂订单好转，开工率缓慢提升，需求预期虽向好，但短期内市场上行动力仍显不足。PP方面，近日国际油价持续上涨，成本支撑增强，提振业者心态，现货报盘窄幅上调，贸易商随行就市积极出货，停车装置陆续重启，产能利用率提升，供应压力加大，需求缺乏实质性利好支撑，开工仍维持低位，对市场形成明显压制，因此今日 聚丙烯市场或将偏强整理</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1259323"/>
      <w:r>
        <w:rPr>
          <w:rFonts w:ascii="楷体" w:eastAsia="楷体" w:hAnsi="楷体" w:hint="eastAsia"/>
          <w:b/>
          <w:color w:val="000000" w:themeColor="text1"/>
          <w:sz w:val="24"/>
          <w:szCs w:val="24"/>
        </w:rPr>
        <w:t>MEG：</w:t>
      </w:r>
      <w:r w:rsidR="006A6067" w:rsidRPr="006A6067">
        <w:rPr>
          <w:rFonts w:ascii="楷体" w:eastAsia="楷体" w:hAnsi="楷体" w:hint="eastAsia"/>
          <w:b/>
          <w:color w:val="000000" w:themeColor="text1"/>
          <w:sz w:val="24"/>
          <w:szCs w:val="24"/>
        </w:rPr>
        <w:t>成本端提振 短期仍有支撑</w:t>
      </w:r>
      <w:bookmarkEnd w:id="41"/>
    </w:p>
    <w:p w:rsidR="003F56A5" w:rsidRDefault="006A6067" w:rsidP="00115EEA">
      <w:pPr>
        <w:ind w:leftChars="300" w:left="630"/>
        <w:rPr>
          <w:rFonts w:ascii="楷体" w:eastAsia="楷体" w:hAnsi="楷体"/>
          <w:color w:val="000000" w:themeColor="text1"/>
          <w:sz w:val="24"/>
          <w:szCs w:val="24"/>
        </w:rPr>
      </w:pPr>
      <w:r w:rsidRPr="006A6067">
        <w:rPr>
          <w:rFonts w:ascii="楷体" w:eastAsia="楷体" w:hAnsi="楷体" w:hint="eastAsia"/>
          <w:color w:val="000000" w:themeColor="text1"/>
          <w:sz w:val="24"/>
          <w:szCs w:val="24"/>
        </w:rPr>
        <w:t>供需情况，7.17 华东主港地区MEG港口库存约108.7万吨附近，环比上期增加3.8万吨。显性库存仍高企，刚需支撑下港口发货良好隐形库存略去化。截至7月20日，中国大陆地区乙二醇整体开工负荷在63.69%（-0.26%），中科炼化7.10起停车检修，预计检修时长在半个月附近，整体开工率小幅下滑；煤化工方面，煤制乙二醇开工负荷在62.76%（+1.97%），近期陕煤榆林化学7-8月分别有60万吨单线进行为期10-15天的检修。陕煤渭化一套30万吨/年的乙二醇装置停车。截至7.20，初步核算国内大</w:t>
      </w:r>
      <w:r w:rsidRPr="006A6067">
        <w:rPr>
          <w:rFonts w:ascii="楷体" w:eastAsia="楷体" w:hAnsi="楷体" w:hint="eastAsia"/>
          <w:color w:val="000000" w:themeColor="text1"/>
          <w:sz w:val="24"/>
          <w:szCs w:val="24"/>
        </w:rPr>
        <w:lastRenderedPageBreak/>
        <w:t>陆地区聚酯负荷在93%附近。受原料价格走高影响，江浙终端开工率继续小幅下降。江浙加弹综合开工率77%（-4%），江浙织机综合开工率69%（-3%），江浙印染综合开工率72%（-3%），涤丝产销氛围转弱，江浙终端工厂原料备货下降，部分加弹和织造企业因亏损或者库存压力选择适当减产。展望后市，成本端煤价反弹尚未结束而聚酯开工率高位维持，7-8月有望从累库转为去库格局，短期乙二醇走势支撑仍存。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1259324"/>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6A6067" w:rsidRPr="006A6067">
        <w:rPr>
          <w:rFonts w:ascii="楷体" w:eastAsia="楷体" w:hAnsi="楷体" w:hint="eastAsia"/>
          <w:b/>
          <w:color w:val="000000" w:themeColor="text1"/>
          <w:sz w:val="24"/>
          <w:szCs w:val="24"/>
        </w:rPr>
        <w:t>现货出现滞涨，等待回调后低多机会</w:t>
      </w:r>
      <w:bookmarkEnd w:id="42"/>
    </w:p>
    <w:p w:rsidR="00A71A7E" w:rsidRDefault="006A6067" w:rsidP="001F79C6">
      <w:pPr>
        <w:ind w:leftChars="300" w:left="630"/>
        <w:rPr>
          <w:rFonts w:ascii="楷体" w:eastAsia="楷体" w:hAnsi="楷体"/>
          <w:color w:val="000000" w:themeColor="text1"/>
          <w:sz w:val="24"/>
          <w:szCs w:val="24"/>
        </w:rPr>
      </w:pPr>
      <w:r w:rsidRPr="006A6067">
        <w:rPr>
          <w:rFonts w:ascii="楷体" w:eastAsia="楷体" w:hAnsi="楷体" w:hint="eastAsia"/>
          <w:color w:val="000000" w:themeColor="text1"/>
          <w:sz w:val="24"/>
          <w:szCs w:val="24"/>
        </w:rPr>
        <w:t>隆众资讯7月25日报道：今日浮法玻璃现货价格1891，较上交易日持平。华北浮法玻璃主流价格1822元/吨，环比-13。湖北地区产销开始回落。近期玻璃点火产线较多，供给压力渐增。需求上，经过前面补库后，中间商和加工厂以消化自身库存为主，补库热情逐步减退。政治局会议定调地产：“适应我国房地产市场供求关系发生重大变化的新形势，适时调整优化房地产政策，因城施策用好政策工具箱，更好满足居民刚性和改善性住房需求”，整体来政策面托而不举态度明显，下半年更多的是存量改善，增量有限，利好浮法玻璃家装类订单。在宏观政策托底情况下，盘面下有支持，但淡季需求有限，产销回落叠加供给增量明显，短期震荡为主，等待回调后低多机会</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1259325"/>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6A6067" w:rsidRPr="006A6067">
        <w:rPr>
          <w:rFonts w:ascii="楷体" w:eastAsia="楷体" w:hAnsi="楷体" w:hint="eastAsia"/>
          <w:b/>
          <w:color w:val="000000" w:themeColor="text1"/>
          <w:sz w:val="24"/>
          <w:szCs w:val="24"/>
        </w:rPr>
        <w:t>现货紧缺，短期偏强震荡</w:t>
      </w:r>
      <w:bookmarkEnd w:id="43"/>
    </w:p>
    <w:p w:rsidR="00A71A7E" w:rsidRDefault="006A6067" w:rsidP="00A71A7E">
      <w:pPr>
        <w:ind w:leftChars="300" w:left="630"/>
        <w:rPr>
          <w:rFonts w:ascii="楷体" w:eastAsia="楷体" w:hAnsi="楷体"/>
          <w:bCs/>
          <w:sz w:val="24"/>
          <w:szCs w:val="24"/>
        </w:rPr>
      </w:pPr>
      <w:r w:rsidRPr="006A6067">
        <w:rPr>
          <w:rFonts w:ascii="楷体" w:eastAsia="楷体" w:hAnsi="楷体" w:hint="eastAsia"/>
          <w:color w:val="000000" w:themeColor="text1"/>
          <w:sz w:val="24"/>
          <w:szCs w:val="24"/>
        </w:rPr>
        <w:t>国内纯碱市场价格近期无大幅变化。供给端，开停并存，供应端小幅下降，部分企业有装置突发检修情况。库存上，重新回到历史极低水平部分企业下个月有涨价计划，局部地区供给紧张，周内预计继续去库。盘面在现货供给紧张，库存低位影响下，08合约期价转升水。09合约基差修复贴近平水，部分资金移仓到10月，不排除延续逼仓的情况。建议谨慎参与。10月以后远兴和金山新增产能上量，产能过剩，建议逢高空远月2401合约。当前纯碱9-1价差超500，创年内新高，进入8月逼仓行情结束后，9月主力移仓，价差收缩，可关注9-1或10-1反套</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125932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1259327"/>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6A6067" w:rsidRPr="006A6067">
        <w:rPr>
          <w:rFonts w:ascii="楷体" w:eastAsia="楷体" w:hAnsi="楷体" w:hint="eastAsia"/>
          <w:b/>
          <w:sz w:val="24"/>
          <w:szCs w:val="24"/>
        </w:rPr>
        <w:t>短期维持谨慎看多观点</w:t>
      </w:r>
      <w:bookmarkEnd w:id="45"/>
    </w:p>
    <w:p w:rsidR="003F56A5" w:rsidRDefault="006A6067">
      <w:pPr>
        <w:ind w:leftChars="300" w:left="630"/>
        <w:rPr>
          <w:rFonts w:ascii="楷体" w:eastAsia="楷体" w:hAnsi="楷体"/>
          <w:sz w:val="24"/>
          <w:szCs w:val="24"/>
        </w:rPr>
      </w:pPr>
      <w:r w:rsidRPr="006A6067">
        <w:rPr>
          <w:rFonts w:ascii="楷体" w:eastAsia="楷体" w:hAnsi="楷体" w:hint="eastAsia"/>
          <w:sz w:val="24"/>
          <w:szCs w:val="24"/>
        </w:rPr>
        <w:t>国际方面，市场焦点重回天气，叠加黑海局势问题，美豆短期易涨难跌。在美豆种植面积大幅减少的背景下，生长期天气仍十分关键，虽7月美农报告仍维持52单产预期，但在天气影响下，市场认真数据过于乐观后续仍有下调风险。虽美豆前两周干旱范围收窄，但7月下旬仍存在降雨减少的情况，种植情况担忧仍存，截至7月25日当周，美国大豆优良率为54%，前一周为55%，上年同期为59%。国内市场，随着当前大豆到港量增加，油厂已基本恢复开机压榨，开机及压榨水平恢复至高位，但豆粕库存仍维持低位，支撑现货报价坚挺，当前主流油厂豆粕现货报价小幅上调至4290-4360元/吨。大豆4-6月到港量较大，6月进口到港1027万吨，环比减14.5%。下游养殖利润表现仍不佳，且在杂粕替代下饲企和养殖企业等对豆粕饲用需求增量有限，但终端企业库存偏低，补库及提货需求表现较好。</w:t>
      </w:r>
      <w:r w:rsidRPr="006A6067">
        <w:rPr>
          <w:rFonts w:ascii="楷体" w:eastAsia="楷体" w:hAnsi="楷体" w:hint="eastAsia"/>
          <w:sz w:val="24"/>
          <w:szCs w:val="24"/>
        </w:rPr>
        <w:lastRenderedPageBreak/>
        <w:t>菜粕当前供给相对偏紧，随着6月份后菜籽到港预计减少，油厂压榨也在逐步下滑。而需求方面，当前为水产养殖旺季，替代需求方面，随着近期菜粕价格的上涨，替代优势减弱，但整体供需表现紧张，底部仍有支撑。策略方面，短期建议谨慎看多，建议回调企稳仍偏多参与为主</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1259328"/>
      <w:r>
        <w:rPr>
          <w:rFonts w:ascii="楷体" w:eastAsia="楷体" w:hAnsi="楷体" w:hint="eastAsia"/>
          <w:b/>
          <w:color w:val="000000" w:themeColor="text1"/>
          <w:sz w:val="24"/>
          <w:szCs w:val="24"/>
        </w:rPr>
        <w:t>油脂：</w:t>
      </w:r>
      <w:r w:rsidR="006A6067" w:rsidRPr="006A6067">
        <w:rPr>
          <w:rFonts w:ascii="楷体" w:eastAsia="楷体" w:hAnsi="楷体" w:hint="eastAsia"/>
          <w:b/>
          <w:sz w:val="24"/>
          <w:szCs w:val="24"/>
        </w:rPr>
        <w:t>维持高位震荡</w:t>
      </w:r>
      <w:bookmarkEnd w:id="46"/>
    </w:p>
    <w:p w:rsidR="003F56A5" w:rsidRDefault="006A6067" w:rsidP="00792D31">
      <w:pPr>
        <w:ind w:leftChars="300" w:left="630"/>
        <w:rPr>
          <w:rFonts w:ascii="楷体" w:eastAsia="楷体" w:hAnsi="楷体"/>
          <w:sz w:val="24"/>
          <w:szCs w:val="24"/>
        </w:rPr>
      </w:pPr>
      <w:r w:rsidRPr="006A6067">
        <w:rPr>
          <w:rFonts w:ascii="楷体" w:eastAsia="楷体" w:hAnsi="楷体" w:hint="eastAsia"/>
          <w:sz w:val="24"/>
          <w:szCs w:val="24"/>
        </w:rPr>
        <w:t>国际市场，黑海局势升级，短期预计黑海港口运输难以恢复，支撑外盘油脂油料市场价格维持高位。但三大油脂基本面仍存在一定差异，终端需求疲软，限制涨幅。棕榈油，印尼棕榈油5月份在供给增量大雨需求下，库存持续回升，供给压力显现。但7-8月份出口税费上调，提振马来棕榈油出口需求。据SGS公布数据显示，预计马来西亚7月1—20日棕榈油出口量为703704吨，较上月同期出口的633423吨增加11.1%。虽市场开始炒作厄尔尼诺现象，但中期无法改变产地棕榈油累库的趋势，但产量修复或受天气影响，天气仍需持续关注。国内棕榈油在6月份进口增加以及需求疲软下，库存持续回升，也限制当前价格反弹空间。因前期产地报价下滑，国内进口利润有所修复，6-7月船期买船增加，最新商业库存为66.75万吨，未来供应仍较充裕。需求端，随着气温回升利好棕榈油消费，但仅为刚需提货，未见增量。豆油延续累库趋势。随着4-7月进口大豆到港增加，油厂陆续恢复开机，当前整体开机及压榨水平稳定，在刚需补库下延续累库。需求端，在中小学及高校陆续进入暑期，且无大型节日消费提振，处于消费淡季。菜油在进口菜籽减少下，供应压力减轻。当前主产地菜籽在生长期，供应处于青黄不接的阶段，全球菜籽新作产量不确定性仍存。随着后续进口加籽到港量的减少，菜籽开机及压榨水平也有所降低，6月菜籽进口环比下滑38.5，菜油进口21万吨。需求方面，与替代油脂价差拉大，需求清淡，当前库存已逐步回落，需求修复仍待继续关注。对于油脂维持回调后低多观点，短期预计处于调整阶段</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1259329"/>
      <w:r>
        <w:rPr>
          <w:rFonts w:ascii="楷体" w:eastAsia="楷体" w:hAnsi="楷体" w:hint="eastAsia"/>
          <w:b/>
          <w:bCs/>
          <w:color w:val="000000" w:themeColor="text1"/>
        </w:rPr>
        <w:t>玉米与淀粉：</w:t>
      </w:r>
      <w:r w:rsidR="006A6067" w:rsidRPr="006A6067">
        <w:rPr>
          <w:rFonts w:ascii="楷体" w:eastAsia="楷体" w:hAnsi="楷体" w:hint="eastAsia"/>
          <w:b/>
        </w:rPr>
        <w:t>夜盘近月减仓反弹，关注陈化水稻抛储政策</w:t>
      </w:r>
      <w:bookmarkEnd w:id="47"/>
    </w:p>
    <w:p w:rsidR="006A6067" w:rsidRPr="006A6067" w:rsidRDefault="006A6067" w:rsidP="006A6067">
      <w:pPr>
        <w:pStyle w:val="paragraph"/>
        <w:spacing w:before="60" w:after="60"/>
        <w:ind w:leftChars="300" w:left="630"/>
        <w:rPr>
          <w:rFonts w:ascii="楷体" w:eastAsia="楷体" w:hAnsi="楷体" w:hint="eastAsia"/>
        </w:rPr>
      </w:pPr>
      <w:r w:rsidRPr="006A6067">
        <w:rPr>
          <w:rFonts w:ascii="楷体" w:eastAsia="楷体" w:hAnsi="楷体" w:hint="eastAsia"/>
        </w:rPr>
        <w:t>对于玉米而言，近期期现货回落主要源于市场对小麦饲用替代增量和陈化水稻抛储的担忧，而华北-东北和产销区玉米价差持续走扩之后，东北玉米贸易商心态松动，出货意愿增强。但我们仍维持谨慎乐观心态，特别是新作合约，主要原因有四，其一是下方空间受限，这主要源于陈化水稻成本支撑；其二是虽经历被动补库存，但中下游库存包括南北方港口库存和饲料企业和深加工企业玉米原料库存依然处于历史同期低位；其三是当前和下一年度产需缺口的补充存在较大变数，因此后期产区天气仍需要留意；其四是由于芽麦和饲用替代，后期小麦现货或趋于上涨。在这种情况下，我们维持谨慎看多观点，但短期受国内现货带动或继续回落调整，建议激进投资者持有前期多单，谨慎投资者等待入场机会。</w:t>
      </w:r>
    </w:p>
    <w:p w:rsidR="003F56A5" w:rsidRDefault="006A6067" w:rsidP="006A6067">
      <w:pPr>
        <w:pStyle w:val="paragraph"/>
        <w:spacing w:before="60" w:beforeAutospacing="0" w:after="60" w:afterAutospacing="0"/>
        <w:ind w:leftChars="300" w:left="630"/>
        <w:rPr>
          <w:rFonts w:ascii="楷体" w:eastAsia="楷体" w:hAnsi="楷体"/>
        </w:rPr>
      </w:pPr>
      <w:r w:rsidRPr="006A6067">
        <w:rPr>
          <w:rFonts w:ascii="楷体" w:eastAsia="楷体" w:hAnsi="楷体" w:hint="eastAsia"/>
        </w:rPr>
        <w:t>对于淀粉而言，近期淀粉-玉米价差波动幅度不大，主要源于市场多空交织，利空因素有二，其一是副产品价格，受蛋白粕带动淀粉副产品价格大幅反弹，淀粉期现货生产利润改善，有望带动行业开机率回升；其二</w:t>
      </w:r>
      <w:r w:rsidRPr="006A6067">
        <w:rPr>
          <w:rFonts w:ascii="楷体" w:eastAsia="楷体" w:hAnsi="楷体" w:hint="eastAsia"/>
        </w:rPr>
        <w:lastRenderedPageBreak/>
        <w:t>是需求端的季节性因素，在旺季备货之后或步入一段时间的需求低迷期。而利多因素同样源于两个方面，其一是原料成本端的担忧；其二是现货带来的基差支撑。在这种情况下，我们建议淀粉-玉米价差离场后观望为宜，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1259330"/>
      <w:r>
        <w:rPr>
          <w:rFonts w:ascii="楷体" w:eastAsia="楷体" w:hAnsi="楷体" w:hint="eastAsia"/>
          <w:b/>
          <w:bCs/>
          <w:color w:val="000000" w:themeColor="text1"/>
        </w:rPr>
        <w:t>畜禽养殖：</w:t>
      </w:r>
      <w:r w:rsidR="006A6067" w:rsidRPr="006A6067">
        <w:rPr>
          <w:rFonts w:ascii="楷体" w:eastAsia="楷体" w:hAnsi="楷体" w:hint="eastAsia"/>
          <w:b/>
          <w:bCs/>
          <w:color w:val="000000" w:themeColor="text1"/>
        </w:rPr>
        <w:t>关注现货上涨的持续性</w:t>
      </w:r>
      <w:bookmarkEnd w:id="48"/>
    </w:p>
    <w:p w:rsidR="006A6067" w:rsidRPr="006A6067" w:rsidRDefault="006A6067" w:rsidP="006A6067">
      <w:pPr>
        <w:pStyle w:val="paragraph"/>
        <w:spacing w:before="60" w:after="60"/>
        <w:ind w:leftChars="300" w:left="630"/>
        <w:rPr>
          <w:rFonts w:ascii="楷体" w:eastAsia="楷体" w:hAnsi="楷体" w:hint="eastAsia"/>
        </w:rPr>
      </w:pPr>
      <w:r w:rsidRPr="006A6067">
        <w:rPr>
          <w:rFonts w:ascii="楷体" w:eastAsia="楷体" w:hAnsi="楷体" w:hint="eastAsia"/>
        </w:rPr>
        <w:t>对于生猪而言，在前期报告中我们指出，3月以来现货表现不及我们之前预期，问题出在供应量，集中在三个方面，其一是春节前堆积的供应量，其二是节前仔猪带来的生猪出栏量，其三是年后二次育肥带来的供应延迟释放。供应释放过程伴随着行业产能的去化，市场会关注两个方面的交易机会，其一是周期见底，其二是阶段性反弹。周期见底尚需等待，因市场普遍认为目前产能仍处于高位，但随着仔猪的下跌，这一过程有望加速。阶段性反弹机会更多源于供应去化，从时间上看上述三方面的供应或逐步消化，涌益咨询公布的日度生猪屠宰量、农业农村部公布的规模以上屠宰企业生猪屠宰量和各大上市公司公布的6月生猪销量均已环比下降。随着冷冻库存消化和气温下降，现货供需有望环比改善带动期现货反弹。在这种情况下，维持谨慎看多观点，建议择机入场做多。</w:t>
      </w:r>
    </w:p>
    <w:p w:rsidR="003F56A5" w:rsidRDefault="006A6067" w:rsidP="006A6067">
      <w:pPr>
        <w:pStyle w:val="paragraph"/>
        <w:spacing w:before="60" w:beforeAutospacing="0" w:after="60" w:afterAutospacing="0"/>
        <w:ind w:leftChars="300" w:left="630"/>
        <w:rPr>
          <w:rFonts w:ascii="楷体" w:eastAsia="楷体" w:hAnsi="楷体"/>
        </w:rPr>
      </w:pPr>
      <w:r w:rsidRPr="006A6067">
        <w:rPr>
          <w:rFonts w:ascii="楷体" w:eastAsia="楷体" w:hAnsi="楷体" w:hint="eastAsia"/>
        </w:rPr>
        <w:t>对于鸡蛋而言，5月以来随着鸡蛋现货价格的下跌，蛋鸡养殖利润亦有显著下滑，带动养殖户补栏积极性下滑，与此同时，养殖户淘汰积极性上升，两方面因素带动供需改善不及市场之前预期，带动远月-近月价差如1-9价差和5-9价差显著走强。近期鸡蛋现货大幅反弹，近月受基差支撑因素上涨，但远月则相对弱势，这主要源于市场担心现货上涨，通过养殖利润影响淘汰和补栏积极性，继而影响远期供需。整体而言，考虑到5月以来现货下跌导致养殖户补栏积极性下降，近期虽现货反弹带动养殖利润改善，但由于高温天气因素，补栏积极性难以恢复，整体市场供需较前期应有所改善，据此维持谨慎看多观点。接下来重点留意现货走势，因其影响近月和远月表现的差异。建议谨慎投资者观望，激进投资者持有前期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1259331"/>
      <w:r>
        <w:rPr>
          <w:rFonts w:ascii="楷体" w:eastAsia="楷体" w:hAnsi="楷体" w:hint="eastAsia"/>
          <w:b/>
          <w:sz w:val="24"/>
          <w:szCs w:val="24"/>
        </w:rPr>
        <w:t>郑棉：</w:t>
      </w:r>
      <w:r w:rsidR="001D7D0A" w:rsidRPr="001D7D0A">
        <w:rPr>
          <w:rFonts w:ascii="楷体" w:eastAsia="楷体" w:hAnsi="楷体" w:hint="eastAsia"/>
          <w:b/>
          <w:sz w:val="24"/>
          <w:szCs w:val="24"/>
        </w:rPr>
        <w:t>09看跌期权卖权持有或观望，01在16800附近低多</w:t>
      </w:r>
      <w:bookmarkEnd w:id="49"/>
    </w:p>
    <w:p w:rsidR="003F56A5" w:rsidRDefault="001D7D0A" w:rsidP="007B3290">
      <w:pPr>
        <w:ind w:leftChars="300" w:left="630"/>
        <w:rPr>
          <w:rFonts w:ascii="楷体" w:eastAsia="楷体" w:hAnsi="楷体"/>
          <w:sz w:val="24"/>
          <w:szCs w:val="24"/>
        </w:rPr>
      </w:pPr>
      <w:r w:rsidRPr="001D7D0A">
        <w:rPr>
          <w:rFonts w:ascii="楷体" w:eastAsia="楷体" w:hAnsi="楷体" w:hint="eastAsia"/>
          <w:sz w:val="24"/>
          <w:szCs w:val="24"/>
        </w:rPr>
        <w:t>美棉优良率提升，但因油价上涨和农产品板块整体大涨，期棉震荡偏强。国内发改委宣布增发75万吨进口滑准税配额，同时目标价格补贴政策也已出炉。郑棉相关政策基本都已落地，除了抛储最终数量尚未确定，其他和市场的预期出入不大。从往年的库存来看，本年度补充百万吨左右的供应，仅可使9月末时的供需维持在往年均值左右。该供应补充属于预期之内，暂不改中期依然偏多观点。不过，在百万吨级别的补充后，09合约供需紧张格局大为改善，9-1价差扩大。预计09继续争夺1.7万关口，前期看跌期权卖权可持有至到期，01依然持低多观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0" w:name="_Toc71212556"/>
      <w:bookmarkStart w:id="51" w:name="_Toc19667"/>
      <w:bookmarkStart w:id="52" w:name="_Toc98426751"/>
      <w:bookmarkStart w:id="53" w:name="_Toc12779"/>
      <w:bookmarkStart w:id="54" w:name="_Toc72481108"/>
      <w:r>
        <w:rPr>
          <w:rFonts w:ascii="Times New Roman" w:eastAsia="楷体" w:hAnsi="Times New Roman"/>
          <w:b/>
          <w:color w:val="411D05"/>
          <w:sz w:val="30"/>
          <w:szCs w:val="30"/>
        </w:rPr>
        <w:lastRenderedPageBreak/>
        <w:t>免责声明</w:t>
      </w:r>
      <w:bookmarkEnd w:id="50"/>
      <w:bookmarkEnd w:id="51"/>
      <w:bookmarkEnd w:id="52"/>
      <w:bookmarkEnd w:id="53"/>
      <w:bookmarkEnd w:id="54"/>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969" w:rsidRDefault="00F52969">
      <w:r>
        <w:separator/>
      </w:r>
    </w:p>
  </w:endnote>
  <w:endnote w:type="continuationSeparator" w:id="0">
    <w:p w:rsidR="00F52969" w:rsidRDefault="00F5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0F06E113" wp14:editId="15F55179">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9E25E0">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9E25E0">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969" w:rsidRDefault="00F52969">
      <w:r>
        <w:separator/>
      </w:r>
    </w:p>
  </w:footnote>
  <w:footnote w:type="continuationSeparator" w:id="0">
    <w:p w:rsidR="00F52969" w:rsidRDefault="00F529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4F5EAAA4" wp14:editId="7DC52419">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7F4351F0" wp14:editId="54AB733A">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6A6067">
      <w:rPr>
        <w:rFonts w:ascii="Times New Roman" w:eastAsia="楷体" w:hAnsi="Times New Roman" w:hint="eastAsia"/>
        <w:b/>
        <w:bCs/>
        <w:noProof/>
        <w:color w:val="833C0B"/>
        <w:sz w:val="21"/>
      </w:rPr>
      <w:t>2023</w:t>
    </w:r>
    <w:r w:rsidR="006A6067">
      <w:rPr>
        <w:rFonts w:ascii="Times New Roman" w:eastAsia="楷体" w:hAnsi="Times New Roman" w:hint="eastAsia"/>
        <w:b/>
        <w:bCs/>
        <w:noProof/>
        <w:color w:val="833C0B"/>
        <w:sz w:val="21"/>
      </w:rPr>
      <w:t>年</w:t>
    </w:r>
    <w:r w:rsidR="006A6067">
      <w:rPr>
        <w:rFonts w:ascii="Times New Roman" w:eastAsia="楷体" w:hAnsi="Times New Roman" w:hint="eastAsia"/>
        <w:b/>
        <w:bCs/>
        <w:noProof/>
        <w:color w:val="833C0B"/>
        <w:sz w:val="21"/>
      </w:rPr>
      <w:t>7</w:t>
    </w:r>
    <w:r w:rsidR="006A6067">
      <w:rPr>
        <w:rFonts w:ascii="Times New Roman" w:eastAsia="楷体" w:hAnsi="Times New Roman" w:hint="eastAsia"/>
        <w:b/>
        <w:bCs/>
        <w:noProof/>
        <w:color w:val="833C0B"/>
        <w:sz w:val="21"/>
      </w:rPr>
      <w:t>月</w:t>
    </w:r>
    <w:r w:rsidR="006A6067">
      <w:rPr>
        <w:rFonts w:ascii="Times New Roman" w:eastAsia="楷体" w:hAnsi="Times New Roman" w:hint="eastAsia"/>
        <w:b/>
        <w:bCs/>
        <w:noProof/>
        <w:color w:val="833C0B"/>
        <w:sz w:val="21"/>
      </w:rPr>
      <w:t>26</w:t>
    </w:r>
    <w:r w:rsidR="006A6067">
      <w:rPr>
        <w:rFonts w:ascii="Times New Roman" w:eastAsia="楷体" w:hAnsi="Times New Roman" w:hint="eastAsia"/>
        <w:b/>
        <w:bCs/>
        <w:noProof/>
        <w:color w:val="833C0B"/>
        <w:sz w:val="21"/>
      </w:rPr>
      <w:t>日星期三</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35EB2"/>
    <w:rsid w:val="000417D7"/>
    <w:rsid w:val="00050B6C"/>
    <w:rsid w:val="0005286B"/>
    <w:rsid w:val="0005726F"/>
    <w:rsid w:val="00072EAA"/>
    <w:rsid w:val="00076420"/>
    <w:rsid w:val="000820C6"/>
    <w:rsid w:val="00093E40"/>
    <w:rsid w:val="00096258"/>
    <w:rsid w:val="000A413E"/>
    <w:rsid w:val="000B0648"/>
    <w:rsid w:val="000B4E70"/>
    <w:rsid w:val="000C102A"/>
    <w:rsid w:val="000C475E"/>
    <w:rsid w:val="000D36DC"/>
    <w:rsid w:val="000D42E2"/>
    <w:rsid w:val="000D7CF0"/>
    <w:rsid w:val="000E03FC"/>
    <w:rsid w:val="000E0C15"/>
    <w:rsid w:val="000E4EEB"/>
    <w:rsid w:val="00115EEA"/>
    <w:rsid w:val="00117470"/>
    <w:rsid w:val="00120B1F"/>
    <w:rsid w:val="00127803"/>
    <w:rsid w:val="00127FF1"/>
    <w:rsid w:val="00147668"/>
    <w:rsid w:val="00147B03"/>
    <w:rsid w:val="0015047B"/>
    <w:rsid w:val="00156FEB"/>
    <w:rsid w:val="001801C4"/>
    <w:rsid w:val="001942CB"/>
    <w:rsid w:val="001945E9"/>
    <w:rsid w:val="001A3E49"/>
    <w:rsid w:val="001B179D"/>
    <w:rsid w:val="001B1904"/>
    <w:rsid w:val="001B25C9"/>
    <w:rsid w:val="001B2D4C"/>
    <w:rsid w:val="001B6043"/>
    <w:rsid w:val="001B6394"/>
    <w:rsid w:val="001C2E87"/>
    <w:rsid w:val="001C77D0"/>
    <w:rsid w:val="001D1F0A"/>
    <w:rsid w:val="001D40EA"/>
    <w:rsid w:val="001D4474"/>
    <w:rsid w:val="001D7D0A"/>
    <w:rsid w:val="001F5438"/>
    <w:rsid w:val="001F79C6"/>
    <w:rsid w:val="00201944"/>
    <w:rsid w:val="00206537"/>
    <w:rsid w:val="002074A1"/>
    <w:rsid w:val="00216C1E"/>
    <w:rsid w:val="00226406"/>
    <w:rsid w:val="0023093E"/>
    <w:rsid w:val="00230DB7"/>
    <w:rsid w:val="00235529"/>
    <w:rsid w:val="00244CA3"/>
    <w:rsid w:val="0025590B"/>
    <w:rsid w:val="00267FFD"/>
    <w:rsid w:val="00282262"/>
    <w:rsid w:val="00285297"/>
    <w:rsid w:val="00291461"/>
    <w:rsid w:val="00292AE8"/>
    <w:rsid w:val="002951EB"/>
    <w:rsid w:val="00297A1B"/>
    <w:rsid w:val="002A0670"/>
    <w:rsid w:val="002A6C89"/>
    <w:rsid w:val="002B2257"/>
    <w:rsid w:val="002B32AE"/>
    <w:rsid w:val="002C73FE"/>
    <w:rsid w:val="002F075C"/>
    <w:rsid w:val="002F545E"/>
    <w:rsid w:val="002F6AD1"/>
    <w:rsid w:val="002F7810"/>
    <w:rsid w:val="0031065A"/>
    <w:rsid w:val="00320AB1"/>
    <w:rsid w:val="00321629"/>
    <w:rsid w:val="003230A0"/>
    <w:rsid w:val="00323550"/>
    <w:rsid w:val="0033167B"/>
    <w:rsid w:val="00332F22"/>
    <w:rsid w:val="0033644D"/>
    <w:rsid w:val="003416C2"/>
    <w:rsid w:val="00341727"/>
    <w:rsid w:val="003471F4"/>
    <w:rsid w:val="003523FF"/>
    <w:rsid w:val="00357545"/>
    <w:rsid w:val="00370D25"/>
    <w:rsid w:val="00371ED6"/>
    <w:rsid w:val="00374836"/>
    <w:rsid w:val="00375F0B"/>
    <w:rsid w:val="00376AF1"/>
    <w:rsid w:val="00380E38"/>
    <w:rsid w:val="0038626D"/>
    <w:rsid w:val="003953FD"/>
    <w:rsid w:val="003A1F3C"/>
    <w:rsid w:val="003A3DB4"/>
    <w:rsid w:val="003A5D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7F77"/>
    <w:rsid w:val="00491DD7"/>
    <w:rsid w:val="004977A9"/>
    <w:rsid w:val="004A1926"/>
    <w:rsid w:val="004A382D"/>
    <w:rsid w:val="004A3F85"/>
    <w:rsid w:val="004A65B5"/>
    <w:rsid w:val="004B4D4D"/>
    <w:rsid w:val="004C11A7"/>
    <w:rsid w:val="004C5F3F"/>
    <w:rsid w:val="004D6F74"/>
    <w:rsid w:val="004E3A10"/>
    <w:rsid w:val="004E58A5"/>
    <w:rsid w:val="004E6093"/>
    <w:rsid w:val="005145ED"/>
    <w:rsid w:val="005245A4"/>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5F5D8E"/>
    <w:rsid w:val="00606E2B"/>
    <w:rsid w:val="00610C41"/>
    <w:rsid w:val="00612D79"/>
    <w:rsid w:val="0061390B"/>
    <w:rsid w:val="00615F78"/>
    <w:rsid w:val="006353D1"/>
    <w:rsid w:val="00637F19"/>
    <w:rsid w:val="00641752"/>
    <w:rsid w:val="00650F05"/>
    <w:rsid w:val="0065454E"/>
    <w:rsid w:val="00657B01"/>
    <w:rsid w:val="00661BB3"/>
    <w:rsid w:val="00666DE4"/>
    <w:rsid w:val="006811C5"/>
    <w:rsid w:val="006911F3"/>
    <w:rsid w:val="006A135D"/>
    <w:rsid w:val="006A5214"/>
    <w:rsid w:val="006A6067"/>
    <w:rsid w:val="006A7A79"/>
    <w:rsid w:val="006B4A5D"/>
    <w:rsid w:val="006D21ED"/>
    <w:rsid w:val="006E3745"/>
    <w:rsid w:val="006F6553"/>
    <w:rsid w:val="007029E1"/>
    <w:rsid w:val="00710028"/>
    <w:rsid w:val="007103A5"/>
    <w:rsid w:val="0072164F"/>
    <w:rsid w:val="007253E7"/>
    <w:rsid w:val="0072736C"/>
    <w:rsid w:val="007315D8"/>
    <w:rsid w:val="00743CFD"/>
    <w:rsid w:val="007664C1"/>
    <w:rsid w:val="00772382"/>
    <w:rsid w:val="00785519"/>
    <w:rsid w:val="007866A5"/>
    <w:rsid w:val="0079299D"/>
    <w:rsid w:val="00792D31"/>
    <w:rsid w:val="00794D36"/>
    <w:rsid w:val="007952E9"/>
    <w:rsid w:val="007A410D"/>
    <w:rsid w:val="007A66FE"/>
    <w:rsid w:val="007B3290"/>
    <w:rsid w:val="007B4FCE"/>
    <w:rsid w:val="007C2FD2"/>
    <w:rsid w:val="007C7B84"/>
    <w:rsid w:val="007D29EC"/>
    <w:rsid w:val="007D4BBD"/>
    <w:rsid w:val="007F09BE"/>
    <w:rsid w:val="007F1327"/>
    <w:rsid w:val="007F140C"/>
    <w:rsid w:val="007F186E"/>
    <w:rsid w:val="0080612D"/>
    <w:rsid w:val="00806354"/>
    <w:rsid w:val="0080692E"/>
    <w:rsid w:val="00806F4A"/>
    <w:rsid w:val="0080753A"/>
    <w:rsid w:val="008111C8"/>
    <w:rsid w:val="008149F4"/>
    <w:rsid w:val="00815011"/>
    <w:rsid w:val="00815817"/>
    <w:rsid w:val="00820D28"/>
    <w:rsid w:val="00822591"/>
    <w:rsid w:val="00827E8A"/>
    <w:rsid w:val="0083605E"/>
    <w:rsid w:val="00840F4E"/>
    <w:rsid w:val="008463FD"/>
    <w:rsid w:val="00853880"/>
    <w:rsid w:val="00856132"/>
    <w:rsid w:val="008649BB"/>
    <w:rsid w:val="00867CA5"/>
    <w:rsid w:val="00873ECE"/>
    <w:rsid w:val="008740D4"/>
    <w:rsid w:val="00874708"/>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1360"/>
    <w:rsid w:val="008F229B"/>
    <w:rsid w:val="008F2A6E"/>
    <w:rsid w:val="00906E0C"/>
    <w:rsid w:val="00907943"/>
    <w:rsid w:val="00916E97"/>
    <w:rsid w:val="00920372"/>
    <w:rsid w:val="0092326A"/>
    <w:rsid w:val="009260D3"/>
    <w:rsid w:val="009316EC"/>
    <w:rsid w:val="009317CD"/>
    <w:rsid w:val="00934728"/>
    <w:rsid w:val="009644D9"/>
    <w:rsid w:val="0097131C"/>
    <w:rsid w:val="00972485"/>
    <w:rsid w:val="00973185"/>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E0994"/>
    <w:rsid w:val="009E25E0"/>
    <w:rsid w:val="009E4452"/>
    <w:rsid w:val="009E7578"/>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E48"/>
    <w:rsid w:val="00A96E37"/>
    <w:rsid w:val="00A97444"/>
    <w:rsid w:val="00AA186F"/>
    <w:rsid w:val="00AA29E5"/>
    <w:rsid w:val="00AB0678"/>
    <w:rsid w:val="00AB3750"/>
    <w:rsid w:val="00AB4BF2"/>
    <w:rsid w:val="00AC00CF"/>
    <w:rsid w:val="00AC52CB"/>
    <w:rsid w:val="00AC7794"/>
    <w:rsid w:val="00AC7ECD"/>
    <w:rsid w:val="00AD009F"/>
    <w:rsid w:val="00AE6128"/>
    <w:rsid w:val="00AF54C5"/>
    <w:rsid w:val="00AF56FD"/>
    <w:rsid w:val="00AF5EA0"/>
    <w:rsid w:val="00B066DA"/>
    <w:rsid w:val="00B072C0"/>
    <w:rsid w:val="00B10135"/>
    <w:rsid w:val="00B118A2"/>
    <w:rsid w:val="00B133D0"/>
    <w:rsid w:val="00B15418"/>
    <w:rsid w:val="00B17165"/>
    <w:rsid w:val="00B1737C"/>
    <w:rsid w:val="00B1758C"/>
    <w:rsid w:val="00B17639"/>
    <w:rsid w:val="00B23E58"/>
    <w:rsid w:val="00B443CE"/>
    <w:rsid w:val="00B4555A"/>
    <w:rsid w:val="00B53C56"/>
    <w:rsid w:val="00B60464"/>
    <w:rsid w:val="00B606EF"/>
    <w:rsid w:val="00B618F8"/>
    <w:rsid w:val="00B64133"/>
    <w:rsid w:val="00B72E2D"/>
    <w:rsid w:val="00B745CB"/>
    <w:rsid w:val="00B805BD"/>
    <w:rsid w:val="00B91D3D"/>
    <w:rsid w:val="00B94E7D"/>
    <w:rsid w:val="00B97F08"/>
    <w:rsid w:val="00BA4663"/>
    <w:rsid w:val="00BA696B"/>
    <w:rsid w:val="00BA7212"/>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43DDB"/>
    <w:rsid w:val="00C575E9"/>
    <w:rsid w:val="00C62202"/>
    <w:rsid w:val="00C6240E"/>
    <w:rsid w:val="00C647F2"/>
    <w:rsid w:val="00C66C6C"/>
    <w:rsid w:val="00C70FDD"/>
    <w:rsid w:val="00C80C0D"/>
    <w:rsid w:val="00C82E4D"/>
    <w:rsid w:val="00C91234"/>
    <w:rsid w:val="00C93E36"/>
    <w:rsid w:val="00CA1C01"/>
    <w:rsid w:val="00CB0962"/>
    <w:rsid w:val="00CB1AC3"/>
    <w:rsid w:val="00CB1F18"/>
    <w:rsid w:val="00CB2FD2"/>
    <w:rsid w:val="00CB3015"/>
    <w:rsid w:val="00CC03C4"/>
    <w:rsid w:val="00CC3E40"/>
    <w:rsid w:val="00CC3FFA"/>
    <w:rsid w:val="00CC6C03"/>
    <w:rsid w:val="00CD5884"/>
    <w:rsid w:val="00CD5DE8"/>
    <w:rsid w:val="00CD70A0"/>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45E53"/>
    <w:rsid w:val="00D47039"/>
    <w:rsid w:val="00D55EAF"/>
    <w:rsid w:val="00D63655"/>
    <w:rsid w:val="00D75630"/>
    <w:rsid w:val="00D762B2"/>
    <w:rsid w:val="00D842AA"/>
    <w:rsid w:val="00D86D76"/>
    <w:rsid w:val="00D87130"/>
    <w:rsid w:val="00D93E0B"/>
    <w:rsid w:val="00DA7546"/>
    <w:rsid w:val="00DD145E"/>
    <w:rsid w:val="00DD334E"/>
    <w:rsid w:val="00DE02C4"/>
    <w:rsid w:val="00DF1796"/>
    <w:rsid w:val="00DF270D"/>
    <w:rsid w:val="00DF3137"/>
    <w:rsid w:val="00DF3B28"/>
    <w:rsid w:val="00DF56EC"/>
    <w:rsid w:val="00E020F2"/>
    <w:rsid w:val="00E12059"/>
    <w:rsid w:val="00E25D21"/>
    <w:rsid w:val="00E2618F"/>
    <w:rsid w:val="00E31716"/>
    <w:rsid w:val="00E32B95"/>
    <w:rsid w:val="00E34551"/>
    <w:rsid w:val="00E34EAB"/>
    <w:rsid w:val="00E373B2"/>
    <w:rsid w:val="00E40036"/>
    <w:rsid w:val="00E45000"/>
    <w:rsid w:val="00E451FD"/>
    <w:rsid w:val="00E4667F"/>
    <w:rsid w:val="00E50E93"/>
    <w:rsid w:val="00E556EC"/>
    <w:rsid w:val="00E55B22"/>
    <w:rsid w:val="00E60D44"/>
    <w:rsid w:val="00E64502"/>
    <w:rsid w:val="00E7672C"/>
    <w:rsid w:val="00E771D2"/>
    <w:rsid w:val="00E80EDB"/>
    <w:rsid w:val="00E84794"/>
    <w:rsid w:val="00E847DF"/>
    <w:rsid w:val="00E90013"/>
    <w:rsid w:val="00E928BB"/>
    <w:rsid w:val="00E93488"/>
    <w:rsid w:val="00EA0CCD"/>
    <w:rsid w:val="00EA28CA"/>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31CCA"/>
    <w:rsid w:val="00F43E0E"/>
    <w:rsid w:val="00F473F0"/>
    <w:rsid w:val="00F47540"/>
    <w:rsid w:val="00F50569"/>
    <w:rsid w:val="00F52969"/>
    <w:rsid w:val="00F622ED"/>
    <w:rsid w:val="00F65EEA"/>
    <w:rsid w:val="00F776D3"/>
    <w:rsid w:val="00F90537"/>
    <w:rsid w:val="00F91733"/>
    <w:rsid w:val="00F95209"/>
    <w:rsid w:val="00FB3956"/>
    <w:rsid w:val="00FC0F8B"/>
    <w:rsid w:val="00FD6B0E"/>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425E4A"/>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3B712D-18F3-4BA4-84DC-1F82C590D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3249</TotalTime>
  <Pages>9</Pages>
  <Words>8510</Words>
  <Characters>1819</Characters>
  <Application>Microsoft Office Word</Application>
  <DocSecurity>0</DocSecurity>
  <Lines>15</Lines>
  <Paragraphs>20</Paragraphs>
  <ScaleCrop>false</ScaleCrop>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46</cp:revision>
  <cp:lastPrinted>2023-06-08T02:23:00Z</cp:lastPrinted>
  <dcterms:created xsi:type="dcterms:W3CDTF">2022-11-15T10:06:00Z</dcterms:created>
  <dcterms:modified xsi:type="dcterms:W3CDTF">2023-07-26T02:21:00Z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