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554002"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554002" w:rsidRPr="00AA444F">
            <w:rPr>
              <w:rStyle w:val="a9"/>
              <w:noProof/>
            </w:rPr>
            <w:fldChar w:fldCharType="begin"/>
          </w:r>
          <w:r w:rsidR="00554002" w:rsidRPr="00AA444F">
            <w:rPr>
              <w:rStyle w:val="a9"/>
              <w:noProof/>
            </w:rPr>
            <w:instrText xml:space="preserve"> </w:instrText>
          </w:r>
          <w:r w:rsidR="00554002">
            <w:rPr>
              <w:noProof/>
            </w:rPr>
            <w:instrText>HYPERLINK \l "_Toc141089506"</w:instrText>
          </w:r>
          <w:r w:rsidR="00554002" w:rsidRPr="00AA444F">
            <w:rPr>
              <w:rStyle w:val="a9"/>
              <w:noProof/>
            </w:rPr>
            <w:instrText xml:space="preserve"> </w:instrText>
          </w:r>
          <w:r w:rsidR="00554002" w:rsidRPr="00AA444F">
            <w:rPr>
              <w:rStyle w:val="a9"/>
              <w:noProof/>
            </w:rPr>
          </w:r>
          <w:r w:rsidR="00554002" w:rsidRPr="00AA444F">
            <w:rPr>
              <w:rStyle w:val="a9"/>
              <w:noProof/>
            </w:rPr>
            <w:fldChar w:fldCharType="separate"/>
          </w:r>
          <w:r w:rsidR="00554002" w:rsidRPr="00AA444F">
            <w:rPr>
              <w:rStyle w:val="a9"/>
              <w:rFonts w:ascii="Times New Roman" w:eastAsia="楷体" w:hAnsi="Times New Roman"/>
              <w:b/>
              <w:noProof/>
            </w:rPr>
            <w:t>[</w:t>
          </w:r>
          <w:r w:rsidR="00554002" w:rsidRPr="00AA444F">
            <w:rPr>
              <w:rStyle w:val="a9"/>
              <w:rFonts w:ascii="Times New Roman" w:eastAsia="楷体" w:hAnsi="Times New Roman"/>
              <w:b/>
              <w:noProof/>
            </w:rPr>
            <w:t>金融</w:t>
          </w:r>
          <w:r w:rsidR="00554002" w:rsidRPr="00AA444F">
            <w:rPr>
              <w:rStyle w:val="a9"/>
              <w:rFonts w:ascii="Times New Roman" w:eastAsia="楷体" w:hAnsi="Times New Roman"/>
              <w:b/>
              <w:noProof/>
            </w:rPr>
            <w:t>]</w:t>
          </w:r>
          <w:r w:rsidR="00554002" w:rsidRPr="00AA444F">
            <w:rPr>
              <w:rStyle w:val="a9"/>
              <w:noProof/>
            </w:rPr>
            <w:fldChar w:fldCharType="end"/>
          </w:r>
        </w:p>
        <w:p w:rsidR="00554002" w:rsidRDefault="00554002">
          <w:pPr>
            <w:pStyle w:val="23"/>
            <w:tabs>
              <w:tab w:val="right" w:leader="dot" w:pos="8296"/>
            </w:tabs>
            <w:rPr>
              <w:rFonts w:eastAsiaTheme="minorEastAsia"/>
              <w:noProof/>
              <w:szCs w:val="22"/>
            </w:rPr>
          </w:pPr>
          <w:hyperlink w:anchor="_Toc141089507" w:history="1">
            <w:r w:rsidRPr="00AA444F">
              <w:rPr>
                <w:rStyle w:val="a9"/>
                <w:rFonts w:ascii="Times New Roman" w:eastAsia="楷体" w:hAnsi="Times New Roman"/>
                <w:b/>
                <w:noProof/>
              </w:rPr>
              <w:t>股指：企稳后低多</w:t>
            </w:r>
            <w:r w:rsidRPr="00AA444F">
              <w:rPr>
                <w:rStyle w:val="a9"/>
                <w:rFonts w:ascii="Times New Roman" w:eastAsia="楷体" w:hAnsi="Times New Roman"/>
                <w:b/>
                <w:noProof/>
              </w:rPr>
              <w:t>IF</w:t>
            </w:r>
            <w:r w:rsidRPr="00AA444F">
              <w:rPr>
                <w:rStyle w:val="a9"/>
                <w:rFonts w:ascii="Times New Roman" w:eastAsia="楷体" w:hAnsi="Times New Roman"/>
                <w:b/>
                <w:noProof/>
              </w:rPr>
              <w:t>、</w:t>
            </w:r>
            <w:r w:rsidRPr="00AA444F">
              <w:rPr>
                <w:rStyle w:val="a9"/>
                <w:rFonts w:ascii="Times New Roman" w:eastAsia="楷体" w:hAnsi="Times New Roman"/>
                <w:b/>
                <w:noProof/>
              </w:rPr>
              <w:t>IM</w:t>
            </w:r>
          </w:hyperlink>
        </w:p>
        <w:p w:rsidR="00554002" w:rsidRDefault="00554002">
          <w:pPr>
            <w:pStyle w:val="11"/>
            <w:tabs>
              <w:tab w:val="right" w:leader="dot" w:pos="8296"/>
            </w:tabs>
            <w:rPr>
              <w:rFonts w:eastAsiaTheme="minorEastAsia"/>
              <w:noProof/>
              <w:szCs w:val="22"/>
            </w:rPr>
          </w:pPr>
          <w:hyperlink w:anchor="_Toc141089508" w:history="1">
            <w:r w:rsidRPr="00AA444F">
              <w:rPr>
                <w:rStyle w:val="a9"/>
                <w:rFonts w:ascii="Times New Roman" w:eastAsia="楷体" w:hAnsi="Times New Roman"/>
                <w:b/>
                <w:noProof/>
              </w:rPr>
              <w:t>[</w:t>
            </w:r>
            <w:r w:rsidRPr="00AA444F">
              <w:rPr>
                <w:rStyle w:val="a9"/>
                <w:rFonts w:ascii="Times New Roman" w:eastAsia="楷体" w:hAnsi="Times New Roman"/>
                <w:b/>
                <w:noProof/>
              </w:rPr>
              <w:t>贵金属</w:t>
            </w:r>
            <w:r w:rsidRPr="00AA444F">
              <w:rPr>
                <w:rStyle w:val="a9"/>
                <w:rFonts w:ascii="Times New Roman" w:eastAsia="楷体" w:hAnsi="Times New Roman"/>
                <w:b/>
                <w:noProof/>
              </w:rPr>
              <w:t>]</w:t>
            </w:r>
          </w:hyperlink>
        </w:p>
        <w:p w:rsidR="00554002" w:rsidRDefault="00554002">
          <w:pPr>
            <w:pStyle w:val="23"/>
            <w:tabs>
              <w:tab w:val="right" w:leader="dot" w:pos="8296"/>
            </w:tabs>
            <w:rPr>
              <w:rFonts w:eastAsiaTheme="minorEastAsia"/>
              <w:noProof/>
              <w:szCs w:val="22"/>
            </w:rPr>
          </w:pPr>
          <w:hyperlink w:anchor="_Toc141089509" w:history="1">
            <w:r w:rsidRPr="00AA444F">
              <w:rPr>
                <w:rStyle w:val="a9"/>
                <w:rFonts w:ascii="Times New Roman" w:eastAsia="楷体" w:hAnsi="Times New Roman"/>
                <w:b/>
                <w:noProof/>
              </w:rPr>
              <w:t>贵金属：美联储本月或加息</w:t>
            </w:r>
            <w:r w:rsidRPr="00AA444F">
              <w:rPr>
                <w:rStyle w:val="a9"/>
                <w:rFonts w:ascii="Times New Roman" w:eastAsia="楷体" w:hAnsi="Times New Roman"/>
                <w:b/>
                <w:noProof/>
              </w:rPr>
              <w:t>25bp</w:t>
            </w:r>
            <w:r w:rsidRPr="00AA444F">
              <w:rPr>
                <w:rStyle w:val="a9"/>
                <w:rFonts w:ascii="Times New Roman" w:eastAsia="楷体" w:hAnsi="Times New Roman"/>
                <w:b/>
                <w:noProof/>
              </w:rPr>
              <w:t>，贵金属价格偏弱运行</w:t>
            </w:r>
          </w:hyperlink>
        </w:p>
        <w:p w:rsidR="00554002" w:rsidRDefault="00554002">
          <w:pPr>
            <w:pStyle w:val="11"/>
            <w:tabs>
              <w:tab w:val="right" w:leader="dot" w:pos="8296"/>
            </w:tabs>
            <w:rPr>
              <w:rFonts w:eastAsiaTheme="minorEastAsia"/>
              <w:noProof/>
              <w:szCs w:val="22"/>
            </w:rPr>
          </w:pPr>
          <w:hyperlink w:anchor="_Toc141089510" w:history="1">
            <w:r w:rsidRPr="00AA444F">
              <w:rPr>
                <w:rStyle w:val="a9"/>
                <w:rFonts w:ascii="Times New Roman" w:eastAsia="楷体" w:hAnsi="Times New Roman"/>
                <w:b/>
                <w:noProof/>
              </w:rPr>
              <w:t>[</w:t>
            </w:r>
            <w:r w:rsidRPr="00AA444F">
              <w:rPr>
                <w:rStyle w:val="a9"/>
                <w:rFonts w:ascii="Times New Roman" w:eastAsia="楷体" w:hAnsi="Times New Roman"/>
                <w:b/>
                <w:noProof/>
              </w:rPr>
              <w:t>金属</w:t>
            </w:r>
            <w:r w:rsidRPr="00AA444F">
              <w:rPr>
                <w:rStyle w:val="a9"/>
                <w:rFonts w:ascii="Times New Roman" w:eastAsia="楷体" w:hAnsi="Times New Roman"/>
                <w:b/>
                <w:noProof/>
              </w:rPr>
              <w:t>]</w:t>
            </w:r>
          </w:hyperlink>
        </w:p>
        <w:p w:rsidR="00554002" w:rsidRDefault="00554002">
          <w:pPr>
            <w:pStyle w:val="23"/>
            <w:tabs>
              <w:tab w:val="right" w:leader="dot" w:pos="8296"/>
            </w:tabs>
            <w:rPr>
              <w:rFonts w:eastAsiaTheme="minorEastAsia"/>
              <w:noProof/>
              <w:szCs w:val="22"/>
            </w:rPr>
          </w:pPr>
          <w:hyperlink w:anchor="_Toc141089511" w:history="1">
            <w:r w:rsidRPr="00AA444F">
              <w:rPr>
                <w:rStyle w:val="a9"/>
                <w:rFonts w:ascii="楷体" w:eastAsia="楷体" w:hAnsi="楷体"/>
                <w:b/>
                <w:noProof/>
              </w:rPr>
              <w:t>碳酸锂：期货正式上市，锂价或扩大跌幅</w:t>
            </w:r>
          </w:hyperlink>
        </w:p>
        <w:p w:rsidR="00554002" w:rsidRDefault="00554002">
          <w:pPr>
            <w:pStyle w:val="23"/>
            <w:tabs>
              <w:tab w:val="right" w:leader="dot" w:pos="8296"/>
            </w:tabs>
            <w:rPr>
              <w:rFonts w:eastAsiaTheme="minorEastAsia"/>
              <w:noProof/>
              <w:szCs w:val="22"/>
            </w:rPr>
          </w:pPr>
          <w:hyperlink w:anchor="_Toc141089512" w:history="1">
            <w:r w:rsidRPr="00AA444F">
              <w:rPr>
                <w:rStyle w:val="a9"/>
                <w:rFonts w:ascii="楷体" w:eastAsia="楷体" w:hAnsi="楷体"/>
                <w:b/>
                <w:noProof/>
              </w:rPr>
              <w:t>螺纹钢：成本与预期推动，钢价继续偏强运行，关注重要会议指向</w:t>
            </w:r>
          </w:hyperlink>
        </w:p>
        <w:p w:rsidR="00554002" w:rsidRDefault="00554002">
          <w:pPr>
            <w:pStyle w:val="23"/>
            <w:tabs>
              <w:tab w:val="right" w:leader="dot" w:pos="8296"/>
            </w:tabs>
            <w:rPr>
              <w:rFonts w:eastAsiaTheme="minorEastAsia"/>
              <w:noProof/>
              <w:szCs w:val="22"/>
            </w:rPr>
          </w:pPr>
          <w:hyperlink w:anchor="_Toc141089513" w:history="1">
            <w:r w:rsidRPr="00AA444F">
              <w:rPr>
                <w:rStyle w:val="a9"/>
                <w:rFonts w:ascii="楷体" w:eastAsia="楷体" w:hAnsi="楷体"/>
                <w:b/>
                <w:noProof/>
              </w:rPr>
              <w:t>焦炭：成本推动上行，关注煤矿供应情况，继续偏强运行</w:t>
            </w:r>
          </w:hyperlink>
        </w:p>
        <w:p w:rsidR="00554002" w:rsidRDefault="00554002">
          <w:pPr>
            <w:pStyle w:val="23"/>
            <w:tabs>
              <w:tab w:val="right" w:leader="dot" w:pos="8296"/>
            </w:tabs>
            <w:rPr>
              <w:rFonts w:eastAsiaTheme="minorEastAsia"/>
              <w:noProof/>
              <w:szCs w:val="22"/>
            </w:rPr>
          </w:pPr>
          <w:hyperlink w:anchor="_Toc141089514" w:history="1">
            <w:r w:rsidRPr="00AA444F">
              <w:rPr>
                <w:rStyle w:val="a9"/>
                <w:rFonts w:ascii="楷体" w:eastAsia="楷体" w:hAnsi="楷体"/>
                <w:b/>
                <w:noProof/>
              </w:rPr>
              <w:t>焦煤：关注供应收缩的持续性，煤价或继续偏强运行</w:t>
            </w:r>
          </w:hyperlink>
        </w:p>
        <w:p w:rsidR="00554002" w:rsidRDefault="00554002">
          <w:pPr>
            <w:pStyle w:val="23"/>
            <w:tabs>
              <w:tab w:val="right" w:leader="dot" w:pos="8296"/>
            </w:tabs>
            <w:rPr>
              <w:rFonts w:eastAsiaTheme="minorEastAsia"/>
              <w:noProof/>
              <w:szCs w:val="22"/>
            </w:rPr>
          </w:pPr>
          <w:hyperlink w:anchor="_Toc141089515" w:history="1">
            <w:r w:rsidRPr="00AA444F">
              <w:rPr>
                <w:rStyle w:val="a9"/>
                <w:rFonts w:ascii="楷体" w:eastAsia="楷体" w:hAnsi="楷体"/>
                <w:b/>
                <w:noProof/>
              </w:rPr>
              <w:t>铜：短期承压震荡，关注联储利率决议</w:t>
            </w:r>
          </w:hyperlink>
        </w:p>
        <w:p w:rsidR="00554002" w:rsidRDefault="00554002">
          <w:pPr>
            <w:pStyle w:val="23"/>
            <w:tabs>
              <w:tab w:val="right" w:leader="dot" w:pos="8296"/>
            </w:tabs>
            <w:rPr>
              <w:rFonts w:eastAsiaTheme="minorEastAsia"/>
              <w:noProof/>
              <w:szCs w:val="22"/>
            </w:rPr>
          </w:pPr>
          <w:hyperlink w:anchor="_Toc141089516" w:history="1">
            <w:r w:rsidRPr="00AA444F">
              <w:rPr>
                <w:rStyle w:val="a9"/>
                <w:rFonts w:ascii="楷体" w:eastAsia="楷体" w:hAnsi="楷体"/>
                <w:b/>
                <w:noProof/>
              </w:rPr>
              <w:t>铝：多空博弈价格窄幅震荡运行  海外情绪围绕</w:t>
            </w:r>
          </w:hyperlink>
        </w:p>
        <w:p w:rsidR="00554002" w:rsidRDefault="00554002">
          <w:pPr>
            <w:pStyle w:val="23"/>
            <w:tabs>
              <w:tab w:val="right" w:leader="dot" w:pos="8296"/>
            </w:tabs>
            <w:rPr>
              <w:rFonts w:eastAsiaTheme="minorEastAsia"/>
              <w:noProof/>
              <w:szCs w:val="22"/>
            </w:rPr>
          </w:pPr>
          <w:hyperlink w:anchor="_Toc141089517" w:history="1">
            <w:r w:rsidRPr="00AA444F">
              <w:rPr>
                <w:rStyle w:val="a9"/>
                <w:rFonts w:ascii="楷体" w:eastAsia="楷体" w:hAnsi="楷体"/>
                <w:b/>
                <w:noProof/>
              </w:rPr>
              <w:t>锌：宏观利多基本面偏空，锌价上下震荡</w:t>
            </w:r>
          </w:hyperlink>
        </w:p>
        <w:p w:rsidR="00554002" w:rsidRDefault="00554002">
          <w:pPr>
            <w:pStyle w:val="23"/>
            <w:tabs>
              <w:tab w:val="right" w:leader="dot" w:pos="8296"/>
            </w:tabs>
            <w:rPr>
              <w:rFonts w:eastAsiaTheme="minorEastAsia"/>
              <w:noProof/>
              <w:szCs w:val="22"/>
            </w:rPr>
          </w:pPr>
          <w:hyperlink w:anchor="_Toc141089518" w:history="1">
            <w:r w:rsidRPr="00AA444F">
              <w:rPr>
                <w:rStyle w:val="a9"/>
                <w:rFonts w:ascii="楷体" w:eastAsia="楷体" w:hAnsi="楷体"/>
                <w:b/>
                <w:noProof/>
              </w:rPr>
              <w:t>镍：低库存仍支撑价格维持区间震荡</w:t>
            </w:r>
          </w:hyperlink>
        </w:p>
        <w:p w:rsidR="00554002" w:rsidRDefault="00554002">
          <w:pPr>
            <w:pStyle w:val="23"/>
            <w:tabs>
              <w:tab w:val="right" w:leader="dot" w:pos="8296"/>
            </w:tabs>
            <w:rPr>
              <w:rFonts w:eastAsiaTheme="minorEastAsia"/>
              <w:noProof/>
              <w:szCs w:val="22"/>
            </w:rPr>
          </w:pPr>
          <w:hyperlink w:anchor="_Toc141089519" w:history="1">
            <w:r w:rsidRPr="00AA444F">
              <w:rPr>
                <w:rStyle w:val="a9"/>
                <w:rFonts w:ascii="楷体" w:eastAsia="楷体" w:hAnsi="楷体"/>
                <w:b/>
                <w:noProof/>
              </w:rPr>
              <w:t>铅：延续震荡偏强运行</w:t>
            </w:r>
          </w:hyperlink>
        </w:p>
        <w:p w:rsidR="00554002" w:rsidRDefault="00554002">
          <w:pPr>
            <w:pStyle w:val="23"/>
            <w:tabs>
              <w:tab w:val="right" w:leader="dot" w:pos="8296"/>
            </w:tabs>
            <w:rPr>
              <w:rFonts w:eastAsiaTheme="minorEastAsia"/>
              <w:noProof/>
              <w:szCs w:val="22"/>
            </w:rPr>
          </w:pPr>
          <w:hyperlink w:anchor="_Toc141089520" w:history="1">
            <w:r w:rsidRPr="00AA444F">
              <w:rPr>
                <w:rStyle w:val="a9"/>
                <w:rFonts w:ascii="楷体" w:eastAsia="楷体" w:hAnsi="楷体"/>
                <w:b/>
                <w:noProof/>
              </w:rPr>
              <w:t>不锈钢：收储消息提振不锈钢价</w:t>
            </w:r>
          </w:hyperlink>
        </w:p>
        <w:p w:rsidR="00554002" w:rsidRDefault="00554002">
          <w:pPr>
            <w:pStyle w:val="23"/>
            <w:tabs>
              <w:tab w:val="right" w:leader="dot" w:pos="8296"/>
            </w:tabs>
            <w:rPr>
              <w:rFonts w:eastAsiaTheme="minorEastAsia"/>
              <w:noProof/>
              <w:szCs w:val="22"/>
            </w:rPr>
          </w:pPr>
          <w:hyperlink w:anchor="_Toc141089521" w:history="1">
            <w:r w:rsidRPr="00AA444F">
              <w:rPr>
                <w:rStyle w:val="a9"/>
                <w:rFonts w:ascii="楷体" w:eastAsia="楷体" w:hAnsi="楷体"/>
                <w:b/>
                <w:noProof/>
              </w:rPr>
              <w:t>工业硅：多空博弈加剧，盘面或将震荡运行</w:t>
            </w:r>
          </w:hyperlink>
        </w:p>
        <w:p w:rsidR="00554002" w:rsidRDefault="00554002">
          <w:pPr>
            <w:pStyle w:val="11"/>
            <w:tabs>
              <w:tab w:val="right" w:leader="dot" w:pos="8296"/>
            </w:tabs>
            <w:rPr>
              <w:rFonts w:eastAsiaTheme="minorEastAsia"/>
              <w:noProof/>
              <w:szCs w:val="22"/>
            </w:rPr>
          </w:pPr>
          <w:hyperlink w:anchor="_Toc141089522" w:history="1">
            <w:r w:rsidRPr="00AA444F">
              <w:rPr>
                <w:rStyle w:val="a9"/>
                <w:rFonts w:ascii="Times New Roman" w:eastAsia="楷体" w:hAnsi="Times New Roman"/>
                <w:b/>
                <w:noProof/>
              </w:rPr>
              <w:t>[</w:t>
            </w:r>
            <w:r w:rsidRPr="00AA444F">
              <w:rPr>
                <w:rStyle w:val="a9"/>
                <w:rFonts w:ascii="Times New Roman" w:eastAsia="楷体" w:hAnsi="Times New Roman"/>
                <w:b/>
                <w:noProof/>
              </w:rPr>
              <w:t>化工</w:t>
            </w:r>
            <w:r w:rsidRPr="00AA444F">
              <w:rPr>
                <w:rStyle w:val="a9"/>
                <w:rFonts w:ascii="Times New Roman" w:eastAsia="楷体" w:hAnsi="Times New Roman"/>
                <w:b/>
                <w:noProof/>
              </w:rPr>
              <w:t>]</w:t>
            </w:r>
          </w:hyperlink>
        </w:p>
        <w:p w:rsidR="00554002" w:rsidRDefault="00554002">
          <w:pPr>
            <w:pStyle w:val="23"/>
            <w:tabs>
              <w:tab w:val="right" w:leader="dot" w:pos="8296"/>
            </w:tabs>
            <w:rPr>
              <w:rFonts w:eastAsiaTheme="minorEastAsia"/>
              <w:noProof/>
              <w:szCs w:val="22"/>
            </w:rPr>
          </w:pPr>
          <w:hyperlink w:anchor="_Toc141089523" w:history="1">
            <w:r w:rsidRPr="00AA444F">
              <w:rPr>
                <w:rStyle w:val="a9"/>
                <w:rFonts w:ascii="Times New Roman" w:eastAsia="楷体" w:hAnsi="Times New Roman"/>
                <w:b/>
                <w:noProof/>
              </w:rPr>
              <w:t>天然橡胶</w:t>
            </w:r>
            <w:r w:rsidRPr="00AA444F">
              <w:rPr>
                <w:rStyle w:val="a9"/>
                <w:rFonts w:ascii="Times New Roman" w:eastAsia="楷体" w:hAnsi="Times New Roman"/>
                <w:b/>
                <w:noProof/>
              </w:rPr>
              <w:t>:</w:t>
            </w:r>
            <w:r w:rsidRPr="00AA444F">
              <w:rPr>
                <w:rStyle w:val="a9"/>
                <w:rFonts w:ascii="楷体" w:eastAsia="楷体" w:hAnsi="楷体"/>
                <w:b/>
                <w:noProof/>
              </w:rPr>
              <w:t xml:space="preserve"> 基本面偏弱市场炒作情绪再度降温 RU或低位震荡为主</w:t>
            </w:r>
          </w:hyperlink>
        </w:p>
        <w:p w:rsidR="00554002" w:rsidRDefault="00554002">
          <w:pPr>
            <w:pStyle w:val="23"/>
            <w:tabs>
              <w:tab w:val="right" w:leader="dot" w:pos="8296"/>
            </w:tabs>
            <w:rPr>
              <w:rFonts w:eastAsiaTheme="minorEastAsia"/>
              <w:noProof/>
              <w:szCs w:val="22"/>
            </w:rPr>
          </w:pPr>
          <w:hyperlink w:anchor="_Toc141089524" w:history="1">
            <w:r w:rsidRPr="00AA444F">
              <w:rPr>
                <w:rStyle w:val="a9"/>
                <w:rFonts w:ascii="楷体" w:eastAsia="楷体" w:hAnsi="楷体"/>
                <w:b/>
                <w:noProof/>
              </w:rPr>
              <w:t>PTA：驱动接近尾声 关注09上方压力位</w:t>
            </w:r>
          </w:hyperlink>
        </w:p>
        <w:p w:rsidR="00554002" w:rsidRDefault="00554002">
          <w:pPr>
            <w:pStyle w:val="23"/>
            <w:tabs>
              <w:tab w:val="right" w:leader="dot" w:pos="8296"/>
            </w:tabs>
            <w:rPr>
              <w:rFonts w:eastAsiaTheme="minorEastAsia"/>
              <w:noProof/>
              <w:szCs w:val="22"/>
            </w:rPr>
          </w:pPr>
          <w:hyperlink w:anchor="_Toc141089525" w:history="1">
            <w:r w:rsidRPr="00AA444F">
              <w:rPr>
                <w:rStyle w:val="a9"/>
                <w:rFonts w:ascii="楷体" w:eastAsia="楷体" w:hAnsi="楷体"/>
                <w:b/>
                <w:noProof/>
              </w:rPr>
              <w:t>PVC：高库存+弱复苏 驱动不足</w:t>
            </w:r>
          </w:hyperlink>
        </w:p>
        <w:p w:rsidR="00554002" w:rsidRDefault="00554002">
          <w:pPr>
            <w:pStyle w:val="23"/>
            <w:tabs>
              <w:tab w:val="right" w:leader="dot" w:pos="8296"/>
            </w:tabs>
            <w:rPr>
              <w:rFonts w:eastAsiaTheme="minorEastAsia"/>
              <w:noProof/>
              <w:szCs w:val="22"/>
            </w:rPr>
          </w:pPr>
          <w:hyperlink w:anchor="_Toc141089526" w:history="1">
            <w:r w:rsidRPr="00AA444F">
              <w:rPr>
                <w:rStyle w:val="a9"/>
                <w:rFonts w:ascii="楷体" w:eastAsia="楷体" w:hAnsi="楷体"/>
                <w:b/>
                <w:noProof/>
              </w:rPr>
              <w:t>聚烯烃：终端订单维持刚需，聚烯烃或窄幅整理为主</w:t>
            </w:r>
          </w:hyperlink>
        </w:p>
        <w:p w:rsidR="00554002" w:rsidRDefault="00554002">
          <w:pPr>
            <w:pStyle w:val="23"/>
            <w:tabs>
              <w:tab w:val="right" w:leader="dot" w:pos="8296"/>
            </w:tabs>
            <w:rPr>
              <w:rFonts w:eastAsiaTheme="minorEastAsia"/>
              <w:noProof/>
              <w:szCs w:val="22"/>
            </w:rPr>
          </w:pPr>
          <w:hyperlink w:anchor="_Toc141089527" w:history="1">
            <w:r w:rsidRPr="00AA444F">
              <w:rPr>
                <w:rStyle w:val="a9"/>
                <w:rFonts w:ascii="楷体" w:eastAsia="楷体" w:hAnsi="楷体"/>
                <w:b/>
                <w:noProof/>
              </w:rPr>
              <w:t>MEG：成本端提振 短期仍有支撑</w:t>
            </w:r>
          </w:hyperlink>
        </w:p>
        <w:p w:rsidR="00554002" w:rsidRDefault="00554002">
          <w:pPr>
            <w:pStyle w:val="23"/>
            <w:tabs>
              <w:tab w:val="right" w:leader="dot" w:pos="8296"/>
            </w:tabs>
            <w:rPr>
              <w:rFonts w:eastAsiaTheme="minorEastAsia"/>
              <w:noProof/>
              <w:szCs w:val="22"/>
            </w:rPr>
          </w:pPr>
          <w:hyperlink w:anchor="_Toc141089528" w:history="1">
            <w:r w:rsidRPr="00AA444F">
              <w:rPr>
                <w:rStyle w:val="a9"/>
                <w:rFonts w:ascii="楷体" w:eastAsia="楷体" w:hAnsi="楷体"/>
                <w:b/>
                <w:noProof/>
              </w:rPr>
              <w:t>玻璃：产销回落，震荡回调</w:t>
            </w:r>
          </w:hyperlink>
        </w:p>
        <w:p w:rsidR="00554002" w:rsidRDefault="00554002">
          <w:pPr>
            <w:pStyle w:val="23"/>
            <w:tabs>
              <w:tab w:val="right" w:leader="dot" w:pos="8296"/>
            </w:tabs>
            <w:rPr>
              <w:rFonts w:eastAsiaTheme="minorEastAsia"/>
              <w:noProof/>
              <w:szCs w:val="22"/>
            </w:rPr>
          </w:pPr>
          <w:hyperlink w:anchor="_Toc141089529" w:history="1">
            <w:r w:rsidRPr="00AA444F">
              <w:rPr>
                <w:rStyle w:val="a9"/>
                <w:rFonts w:ascii="楷体" w:eastAsia="楷体" w:hAnsi="楷体"/>
                <w:b/>
                <w:noProof/>
              </w:rPr>
              <w:t>纯碱：库存紧张，关注逼仓风险</w:t>
            </w:r>
          </w:hyperlink>
        </w:p>
        <w:p w:rsidR="00554002" w:rsidRDefault="00554002">
          <w:pPr>
            <w:pStyle w:val="11"/>
            <w:tabs>
              <w:tab w:val="right" w:leader="dot" w:pos="8296"/>
            </w:tabs>
            <w:rPr>
              <w:rFonts w:eastAsiaTheme="minorEastAsia"/>
              <w:noProof/>
              <w:szCs w:val="22"/>
            </w:rPr>
          </w:pPr>
          <w:hyperlink w:anchor="_Toc141089530" w:history="1">
            <w:r w:rsidRPr="00AA444F">
              <w:rPr>
                <w:rStyle w:val="a9"/>
                <w:rFonts w:ascii="Times New Roman" w:eastAsia="楷体" w:hAnsi="Times New Roman"/>
                <w:b/>
                <w:noProof/>
              </w:rPr>
              <w:t>[</w:t>
            </w:r>
            <w:r w:rsidRPr="00AA444F">
              <w:rPr>
                <w:rStyle w:val="a9"/>
                <w:rFonts w:ascii="Times New Roman" w:eastAsia="楷体" w:hAnsi="Times New Roman"/>
                <w:b/>
                <w:noProof/>
              </w:rPr>
              <w:t>农产品</w:t>
            </w:r>
            <w:r w:rsidRPr="00AA444F">
              <w:rPr>
                <w:rStyle w:val="a9"/>
                <w:rFonts w:ascii="Times New Roman" w:eastAsia="楷体" w:hAnsi="Times New Roman"/>
                <w:b/>
                <w:noProof/>
              </w:rPr>
              <w:t>]</w:t>
            </w:r>
          </w:hyperlink>
        </w:p>
        <w:p w:rsidR="00554002" w:rsidRDefault="00554002">
          <w:pPr>
            <w:pStyle w:val="23"/>
            <w:tabs>
              <w:tab w:val="right" w:leader="dot" w:pos="8296"/>
            </w:tabs>
            <w:rPr>
              <w:rFonts w:eastAsiaTheme="minorEastAsia"/>
              <w:noProof/>
              <w:szCs w:val="22"/>
            </w:rPr>
          </w:pPr>
          <w:hyperlink w:anchor="_Toc141089531" w:history="1">
            <w:r w:rsidRPr="00AA444F">
              <w:rPr>
                <w:rStyle w:val="a9"/>
                <w:rFonts w:ascii="楷体" w:eastAsia="楷体" w:hAnsi="楷体"/>
                <w:b/>
                <w:noProof/>
              </w:rPr>
              <w:t>豆粕/菜粕：短期维持高位震荡</w:t>
            </w:r>
          </w:hyperlink>
        </w:p>
        <w:p w:rsidR="00554002" w:rsidRDefault="00554002">
          <w:pPr>
            <w:pStyle w:val="23"/>
            <w:tabs>
              <w:tab w:val="right" w:leader="dot" w:pos="8296"/>
            </w:tabs>
            <w:rPr>
              <w:rFonts w:eastAsiaTheme="minorEastAsia"/>
              <w:noProof/>
              <w:szCs w:val="22"/>
            </w:rPr>
          </w:pPr>
          <w:hyperlink w:anchor="_Toc141089532" w:history="1">
            <w:r w:rsidRPr="00AA444F">
              <w:rPr>
                <w:rStyle w:val="a9"/>
                <w:rFonts w:ascii="楷体" w:eastAsia="楷体" w:hAnsi="楷体"/>
                <w:b/>
                <w:noProof/>
              </w:rPr>
              <w:t>油脂：维持高位震荡</w:t>
            </w:r>
          </w:hyperlink>
        </w:p>
        <w:p w:rsidR="00554002" w:rsidRDefault="00554002">
          <w:pPr>
            <w:pStyle w:val="23"/>
            <w:tabs>
              <w:tab w:val="right" w:leader="dot" w:pos="8296"/>
            </w:tabs>
            <w:rPr>
              <w:rFonts w:eastAsiaTheme="minorEastAsia"/>
              <w:noProof/>
              <w:szCs w:val="22"/>
            </w:rPr>
          </w:pPr>
          <w:hyperlink w:anchor="_Toc141089533" w:history="1">
            <w:r w:rsidRPr="00AA444F">
              <w:rPr>
                <w:rStyle w:val="a9"/>
                <w:rFonts w:ascii="楷体" w:eastAsia="楷体" w:hAnsi="楷体"/>
                <w:b/>
                <w:bCs/>
                <w:noProof/>
              </w:rPr>
              <w:t>玉米与淀粉：</w:t>
            </w:r>
            <w:r w:rsidRPr="00AA444F">
              <w:rPr>
                <w:rStyle w:val="a9"/>
                <w:rFonts w:ascii="楷体" w:eastAsia="楷体" w:hAnsi="楷体"/>
                <w:b/>
                <w:noProof/>
              </w:rPr>
              <w:t>期价震荡偏弱运行</w:t>
            </w:r>
          </w:hyperlink>
        </w:p>
        <w:p w:rsidR="00554002" w:rsidRDefault="00554002">
          <w:pPr>
            <w:pStyle w:val="23"/>
            <w:tabs>
              <w:tab w:val="right" w:leader="dot" w:pos="8296"/>
            </w:tabs>
            <w:rPr>
              <w:rFonts w:eastAsiaTheme="minorEastAsia"/>
              <w:noProof/>
              <w:szCs w:val="22"/>
            </w:rPr>
          </w:pPr>
          <w:hyperlink w:anchor="_Toc141089534" w:history="1">
            <w:r w:rsidRPr="00AA444F">
              <w:rPr>
                <w:rStyle w:val="a9"/>
                <w:rFonts w:ascii="楷体" w:eastAsia="楷体" w:hAnsi="楷体"/>
                <w:b/>
                <w:bCs/>
                <w:noProof/>
              </w:rPr>
              <w:t>畜禽养殖：现货带动期价近强远弱分化运行</w:t>
            </w:r>
          </w:hyperlink>
        </w:p>
        <w:p w:rsidR="00554002" w:rsidRDefault="00554002">
          <w:pPr>
            <w:pStyle w:val="23"/>
            <w:tabs>
              <w:tab w:val="right" w:leader="dot" w:pos="8296"/>
            </w:tabs>
            <w:rPr>
              <w:rFonts w:eastAsiaTheme="minorEastAsia"/>
              <w:noProof/>
              <w:szCs w:val="22"/>
            </w:rPr>
          </w:pPr>
          <w:hyperlink w:anchor="_Toc141089535" w:history="1">
            <w:r w:rsidRPr="00AA444F">
              <w:rPr>
                <w:rStyle w:val="a9"/>
                <w:rFonts w:ascii="楷体" w:eastAsia="楷体" w:hAnsi="楷体"/>
                <w:b/>
                <w:noProof/>
              </w:rPr>
              <w:t>郑棉：09看跌期权卖权持有或观望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hint="eastAsia"/>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108950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1089507"/>
      <w:bookmarkEnd w:id="4"/>
      <w:r>
        <w:rPr>
          <w:rFonts w:ascii="Times New Roman" w:eastAsia="楷体" w:hAnsi="Times New Roman" w:hint="eastAsia"/>
          <w:b/>
          <w:color w:val="000000" w:themeColor="text1"/>
          <w:sz w:val="24"/>
          <w:szCs w:val="24"/>
        </w:rPr>
        <w:t>股指：</w:t>
      </w:r>
      <w:bookmarkEnd w:id="6"/>
      <w:bookmarkEnd w:id="7"/>
      <w:r w:rsidR="005376B7" w:rsidRPr="005376B7">
        <w:rPr>
          <w:rFonts w:ascii="Times New Roman" w:eastAsia="楷体" w:hAnsi="Times New Roman" w:hint="eastAsia"/>
          <w:b/>
          <w:color w:val="000000" w:themeColor="text1"/>
          <w:sz w:val="24"/>
          <w:szCs w:val="24"/>
        </w:rPr>
        <w:t>企稳后低多</w:t>
      </w:r>
      <w:r w:rsidR="005376B7" w:rsidRPr="005376B7">
        <w:rPr>
          <w:rFonts w:ascii="Times New Roman" w:eastAsia="楷体" w:hAnsi="Times New Roman" w:hint="eastAsia"/>
          <w:b/>
          <w:color w:val="000000" w:themeColor="text1"/>
          <w:sz w:val="24"/>
          <w:szCs w:val="24"/>
        </w:rPr>
        <w:t>IF</w:t>
      </w:r>
      <w:r w:rsidR="005376B7" w:rsidRPr="005376B7">
        <w:rPr>
          <w:rFonts w:ascii="Times New Roman" w:eastAsia="楷体" w:hAnsi="Times New Roman" w:hint="eastAsia"/>
          <w:b/>
          <w:color w:val="000000" w:themeColor="text1"/>
          <w:sz w:val="24"/>
          <w:szCs w:val="24"/>
        </w:rPr>
        <w:t>、</w:t>
      </w:r>
      <w:r w:rsidR="005376B7" w:rsidRPr="005376B7">
        <w:rPr>
          <w:rFonts w:ascii="Times New Roman" w:eastAsia="楷体" w:hAnsi="Times New Roman" w:hint="eastAsia"/>
          <w:b/>
          <w:color w:val="000000" w:themeColor="text1"/>
          <w:sz w:val="24"/>
          <w:szCs w:val="24"/>
        </w:rPr>
        <w:t>IM</w:t>
      </w:r>
      <w:bookmarkEnd w:id="8"/>
    </w:p>
    <w:p w:rsidR="003F56A5" w:rsidRDefault="005376B7" w:rsidP="00D14B3E">
      <w:pPr>
        <w:ind w:leftChars="300" w:left="630"/>
        <w:rPr>
          <w:rFonts w:ascii="Times New Roman" w:eastAsia="楷体" w:hAnsi="Times New Roman"/>
          <w:color w:val="000000" w:themeColor="text1"/>
          <w:sz w:val="24"/>
          <w:szCs w:val="24"/>
        </w:rPr>
      </w:pPr>
      <w:r w:rsidRPr="005376B7">
        <w:rPr>
          <w:rFonts w:ascii="Times New Roman" w:eastAsia="楷体" w:hAnsi="Times New Roman" w:hint="eastAsia"/>
          <w:color w:val="000000" w:themeColor="text1"/>
          <w:sz w:val="24"/>
          <w:szCs w:val="24"/>
        </w:rPr>
        <w:t>短期而言，市场过度悲观的倾向客观存在，但目前来看政策布局正走在符合市场偏好的方向上。但市场发酵乐观预期，还需要标示性事件和关键验证催化</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108950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1089509"/>
      <w:r>
        <w:rPr>
          <w:rFonts w:ascii="Times New Roman" w:eastAsia="楷体" w:hAnsi="Times New Roman" w:hint="eastAsia"/>
          <w:b/>
          <w:color w:val="000000" w:themeColor="text1"/>
          <w:sz w:val="24"/>
          <w:szCs w:val="24"/>
        </w:rPr>
        <w:t>贵金属：</w:t>
      </w:r>
      <w:r w:rsidR="005376B7" w:rsidRPr="005376B7">
        <w:rPr>
          <w:rFonts w:ascii="Times New Roman" w:eastAsia="楷体" w:hAnsi="Times New Roman" w:hint="eastAsia"/>
          <w:b/>
          <w:color w:val="000000" w:themeColor="text1"/>
          <w:sz w:val="24"/>
          <w:szCs w:val="24"/>
        </w:rPr>
        <w:t>美联储本月或加息</w:t>
      </w:r>
      <w:r w:rsidR="005376B7" w:rsidRPr="005376B7">
        <w:rPr>
          <w:rFonts w:ascii="Times New Roman" w:eastAsia="楷体" w:hAnsi="Times New Roman" w:hint="eastAsia"/>
          <w:b/>
          <w:color w:val="000000" w:themeColor="text1"/>
          <w:sz w:val="24"/>
          <w:szCs w:val="24"/>
        </w:rPr>
        <w:t>25bp</w:t>
      </w:r>
      <w:r w:rsidR="005376B7" w:rsidRPr="005376B7">
        <w:rPr>
          <w:rFonts w:ascii="Times New Roman" w:eastAsia="楷体" w:hAnsi="Times New Roman" w:hint="eastAsia"/>
          <w:b/>
          <w:color w:val="000000" w:themeColor="text1"/>
          <w:sz w:val="24"/>
          <w:szCs w:val="24"/>
        </w:rPr>
        <w:t>，贵金属价格偏弱运行</w:t>
      </w:r>
      <w:bookmarkEnd w:id="10"/>
    </w:p>
    <w:p w:rsidR="003F56A5" w:rsidRDefault="005376B7">
      <w:pPr>
        <w:ind w:leftChars="300" w:left="630"/>
        <w:rPr>
          <w:rFonts w:ascii="Times New Roman" w:eastAsia="楷体" w:hAnsi="Times New Roman"/>
          <w:sz w:val="24"/>
          <w:szCs w:val="24"/>
        </w:rPr>
      </w:pPr>
      <w:r w:rsidRPr="005376B7">
        <w:rPr>
          <w:rFonts w:ascii="Times New Roman" w:eastAsia="楷体" w:hAnsi="Times New Roman" w:hint="eastAsia"/>
          <w:color w:val="000000" w:themeColor="text1"/>
          <w:sz w:val="24"/>
          <w:szCs w:val="24"/>
        </w:rPr>
        <w:t>美联储将于本周开启</w:t>
      </w:r>
      <w:r w:rsidRPr="005376B7">
        <w:rPr>
          <w:rFonts w:ascii="Times New Roman" w:eastAsia="楷体" w:hAnsi="Times New Roman" w:hint="eastAsia"/>
          <w:color w:val="000000" w:themeColor="text1"/>
          <w:sz w:val="24"/>
          <w:szCs w:val="24"/>
        </w:rPr>
        <w:t>7</w:t>
      </w:r>
      <w:r w:rsidRPr="005376B7">
        <w:rPr>
          <w:rFonts w:ascii="Times New Roman" w:eastAsia="楷体" w:hAnsi="Times New Roman" w:hint="eastAsia"/>
          <w:color w:val="000000" w:themeColor="text1"/>
          <w:sz w:val="24"/>
          <w:szCs w:val="24"/>
        </w:rPr>
        <w:t>月议息会议，当前市场完全计入了</w:t>
      </w:r>
      <w:r w:rsidRPr="005376B7">
        <w:rPr>
          <w:rFonts w:ascii="Times New Roman" w:eastAsia="楷体" w:hAnsi="Times New Roman" w:hint="eastAsia"/>
          <w:color w:val="000000" w:themeColor="text1"/>
          <w:sz w:val="24"/>
          <w:szCs w:val="24"/>
        </w:rPr>
        <w:t>7</w:t>
      </w:r>
      <w:r w:rsidRPr="005376B7">
        <w:rPr>
          <w:rFonts w:ascii="Times New Roman" w:eastAsia="楷体" w:hAnsi="Times New Roman" w:hint="eastAsia"/>
          <w:color w:val="000000" w:themeColor="text1"/>
          <w:sz w:val="24"/>
          <w:szCs w:val="24"/>
        </w:rPr>
        <w:t>月加息</w:t>
      </w:r>
      <w:r w:rsidRPr="005376B7">
        <w:rPr>
          <w:rFonts w:ascii="Times New Roman" w:eastAsia="楷体" w:hAnsi="Times New Roman" w:hint="eastAsia"/>
          <w:color w:val="000000" w:themeColor="text1"/>
          <w:sz w:val="24"/>
          <w:szCs w:val="24"/>
        </w:rPr>
        <w:t>25bp</w:t>
      </w:r>
      <w:r w:rsidRPr="005376B7">
        <w:rPr>
          <w:rFonts w:ascii="Times New Roman" w:eastAsia="楷体" w:hAnsi="Times New Roman" w:hint="eastAsia"/>
          <w:color w:val="000000" w:themeColor="text1"/>
          <w:sz w:val="24"/>
          <w:szCs w:val="24"/>
        </w:rPr>
        <w:t>的预期，市场预计</w:t>
      </w:r>
      <w:r w:rsidRPr="005376B7">
        <w:rPr>
          <w:rFonts w:ascii="Times New Roman" w:eastAsia="楷体" w:hAnsi="Times New Roman" w:hint="eastAsia"/>
          <w:color w:val="000000" w:themeColor="text1"/>
          <w:sz w:val="24"/>
          <w:szCs w:val="24"/>
        </w:rPr>
        <w:t>7</w:t>
      </w:r>
      <w:r w:rsidRPr="005376B7">
        <w:rPr>
          <w:rFonts w:ascii="Times New Roman" w:eastAsia="楷体" w:hAnsi="Times New Roman" w:hint="eastAsia"/>
          <w:color w:val="000000" w:themeColor="text1"/>
          <w:sz w:val="24"/>
          <w:szCs w:val="24"/>
        </w:rPr>
        <w:t>月或为本轮紧缩周期最后一次加息，明年二季度后有望降息。美国初请失业金人数为</w:t>
      </w:r>
      <w:r w:rsidRPr="005376B7">
        <w:rPr>
          <w:rFonts w:ascii="Times New Roman" w:eastAsia="楷体" w:hAnsi="Times New Roman" w:hint="eastAsia"/>
          <w:color w:val="000000" w:themeColor="text1"/>
          <w:sz w:val="24"/>
          <w:szCs w:val="24"/>
        </w:rPr>
        <w:t>22.8</w:t>
      </w:r>
      <w:r w:rsidRPr="005376B7">
        <w:rPr>
          <w:rFonts w:ascii="Times New Roman" w:eastAsia="楷体" w:hAnsi="Times New Roman" w:hint="eastAsia"/>
          <w:color w:val="000000" w:themeColor="text1"/>
          <w:sz w:val="24"/>
          <w:szCs w:val="24"/>
        </w:rPr>
        <w:t>万人，创近</w:t>
      </w:r>
      <w:r w:rsidRPr="005376B7">
        <w:rPr>
          <w:rFonts w:ascii="Times New Roman" w:eastAsia="楷体" w:hAnsi="Times New Roman" w:hint="eastAsia"/>
          <w:color w:val="000000" w:themeColor="text1"/>
          <w:sz w:val="24"/>
          <w:szCs w:val="24"/>
        </w:rPr>
        <w:t>2</w:t>
      </w:r>
      <w:r w:rsidRPr="005376B7">
        <w:rPr>
          <w:rFonts w:ascii="Times New Roman" w:eastAsia="楷体" w:hAnsi="Times New Roman" w:hint="eastAsia"/>
          <w:color w:val="000000" w:themeColor="text1"/>
          <w:sz w:val="24"/>
          <w:szCs w:val="24"/>
        </w:rPr>
        <w:t>个月来新低，低于此前预期；截止</w:t>
      </w:r>
      <w:r w:rsidRPr="005376B7">
        <w:rPr>
          <w:rFonts w:ascii="Times New Roman" w:eastAsia="楷体" w:hAnsi="Times New Roman" w:hint="eastAsia"/>
          <w:color w:val="000000" w:themeColor="text1"/>
          <w:sz w:val="24"/>
          <w:szCs w:val="24"/>
        </w:rPr>
        <w:t>7</w:t>
      </w:r>
      <w:r w:rsidRPr="005376B7">
        <w:rPr>
          <w:rFonts w:ascii="Times New Roman" w:eastAsia="楷体" w:hAnsi="Times New Roman" w:hint="eastAsia"/>
          <w:color w:val="000000" w:themeColor="text1"/>
          <w:sz w:val="24"/>
          <w:szCs w:val="24"/>
        </w:rPr>
        <w:t>月</w:t>
      </w:r>
      <w:r w:rsidRPr="005376B7">
        <w:rPr>
          <w:rFonts w:ascii="Times New Roman" w:eastAsia="楷体" w:hAnsi="Times New Roman" w:hint="eastAsia"/>
          <w:color w:val="000000" w:themeColor="text1"/>
          <w:sz w:val="24"/>
          <w:szCs w:val="24"/>
        </w:rPr>
        <w:t>8</w:t>
      </w:r>
      <w:r w:rsidRPr="005376B7">
        <w:rPr>
          <w:rFonts w:ascii="Times New Roman" w:eastAsia="楷体" w:hAnsi="Times New Roman" w:hint="eastAsia"/>
          <w:color w:val="000000" w:themeColor="text1"/>
          <w:sz w:val="24"/>
          <w:szCs w:val="24"/>
        </w:rPr>
        <w:t>日当周续请失业金人数</w:t>
      </w:r>
      <w:r w:rsidRPr="005376B7">
        <w:rPr>
          <w:rFonts w:ascii="Times New Roman" w:eastAsia="楷体" w:hAnsi="Times New Roman" w:hint="eastAsia"/>
          <w:color w:val="000000" w:themeColor="text1"/>
          <w:sz w:val="24"/>
          <w:szCs w:val="24"/>
        </w:rPr>
        <w:t>175.4</w:t>
      </w:r>
      <w:r w:rsidRPr="005376B7">
        <w:rPr>
          <w:rFonts w:ascii="Times New Roman" w:eastAsia="楷体" w:hAnsi="Times New Roman" w:hint="eastAsia"/>
          <w:color w:val="000000" w:themeColor="text1"/>
          <w:sz w:val="24"/>
          <w:szCs w:val="24"/>
        </w:rPr>
        <w:t>万人，略高于此前预期，前值小幅下修。因高频就业数据显示美国就业相对向好，贵金属价格上周冲高回落。整体而言，海外央行维持鹰派，但当前贵金属价格对紧缩政策计价较为充分，下半年海外市场或逐步转向围绕美国基本面走弱的衰退逻辑交易，避险情绪将对贵金属价格形成支撑。</w:t>
      </w:r>
      <w:r w:rsidRPr="005376B7">
        <w:rPr>
          <w:rFonts w:ascii="Times New Roman" w:eastAsia="楷体" w:hAnsi="Times New Roman" w:hint="eastAsia"/>
          <w:color w:val="000000" w:themeColor="text1"/>
          <w:sz w:val="24"/>
          <w:szCs w:val="24"/>
        </w:rPr>
        <w:t>6</w:t>
      </w:r>
      <w:r w:rsidRPr="005376B7">
        <w:rPr>
          <w:rFonts w:ascii="Times New Roman" w:eastAsia="楷体" w:hAnsi="Times New Roman" w:hint="eastAsia"/>
          <w:color w:val="000000" w:themeColor="text1"/>
          <w:sz w:val="24"/>
          <w:szCs w:val="24"/>
        </w:rPr>
        <w:t>月美国通胀数据超预期回落令海外市场重新考虑美联储更快结束加息的可能性，建议沪金、沪银逢低试多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108951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1089511"/>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Pr="00F50569">
        <w:rPr>
          <w:rFonts w:ascii="楷体" w:eastAsia="楷体" w:hAnsi="楷体" w:hint="eastAsia"/>
          <w:b/>
          <w:color w:val="000000" w:themeColor="text1"/>
          <w:sz w:val="24"/>
          <w:szCs w:val="24"/>
        </w:rPr>
        <w:t>期货正式上市，锂价或扩大跌幅</w:t>
      </w:r>
      <w:bookmarkEnd w:id="18"/>
    </w:p>
    <w:p w:rsidR="00F50569" w:rsidRDefault="00F50569" w:rsidP="00F50569">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碳酸锂期货将于今日正式上市交易，首批上市交易合约挂牌基准价均为24.60万元/吨。上市首日，碳酸锂期货合约交易保证金水平为合约价值的9%，涨跌停板幅度为挂牌基准价的±14%。电池级碳酸锂现货价连跌7日，当前暂报293500元/吨。挂牌基准价低于当前现货价，一定程度上反映了下半年碳酸锂供应增速相对更大，产业内部相对看空的价格预期。碳酸锂上市首日，在市场资金博弈下存在高开的概率，但相对于部分产能而言盘面仍有一定的利润空间，因此建议以逢高做空为主，锂价或扩大跌幅。碳酸锂生产企业可尝试进行卖出套保策略，锁定当前生产利润，规避未来锂价持续走弱风险。考虑到远月合约流动性，且由于标准仓单每年3月、7月、11月最后一个交易日注销，可考虑多近月（LC2401）、空远月（LC2403）的跨期套利策略</w:t>
      </w:r>
      <w:r>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1089512"/>
      <w:r>
        <w:rPr>
          <w:rFonts w:ascii="楷体" w:eastAsia="楷体" w:hAnsi="楷体" w:hint="eastAsia"/>
          <w:b/>
          <w:color w:val="000000" w:themeColor="text1"/>
          <w:sz w:val="24"/>
          <w:szCs w:val="24"/>
        </w:rPr>
        <w:t>螺纹钢：</w:t>
      </w:r>
      <w:bookmarkEnd w:id="16"/>
      <w:bookmarkEnd w:id="17"/>
      <w:r w:rsidR="00AB4BF2" w:rsidRPr="00AB4BF2">
        <w:rPr>
          <w:rFonts w:ascii="楷体" w:eastAsia="楷体" w:hAnsi="楷体" w:hint="eastAsia"/>
          <w:b/>
          <w:color w:val="000000" w:themeColor="text1"/>
          <w:sz w:val="24"/>
          <w:szCs w:val="24"/>
        </w:rPr>
        <w:t>成本与预期推动，钢价继续偏强运行，关注重要会议指向</w:t>
      </w:r>
      <w:bookmarkEnd w:id="19"/>
    </w:p>
    <w:p w:rsidR="003F56A5" w:rsidRDefault="00AB4BF2" w:rsidP="00201944">
      <w:pPr>
        <w:ind w:leftChars="300" w:left="630"/>
        <w:rPr>
          <w:rFonts w:ascii="楷体" w:eastAsia="楷体" w:hAnsi="楷体"/>
          <w:color w:val="000000" w:themeColor="text1"/>
          <w:sz w:val="24"/>
          <w:szCs w:val="24"/>
        </w:rPr>
      </w:pPr>
      <w:r w:rsidRPr="00AB4BF2">
        <w:rPr>
          <w:rFonts w:ascii="楷体" w:eastAsia="楷体" w:hAnsi="楷体" w:hint="eastAsia"/>
          <w:color w:val="000000" w:themeColor="text1"/>
          <w:sz w:val="24"/>
          <w:szCs w:val="24"/>
        </w:rPr>
        <w:t>短期成本端或延续强势表现，成材基本面弱化较慢，钢价下方具有较强支撑。预计本周钢价或在（3780,3900）震荡运行，短期成本支撑较强，钢价或偏强运行，注意重要会议对未来预期的指向</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1089513"/>
      <w:r>
        <w:rPr>
          <w:rFonts w:ascii="楷体" w:eastAsia="楷体" w:hAnsi="楷体" w:hint="eastAsia"/>
          <w:b/>
          <w:color w:val="000000" w:themeColor="text1"/>
          <w:sz w:val="24"/>
          <w:szCs w:val="24"/>
        </w:rPr>
        <w:lastRenderedPageBreak/>
        <w:t>焦炭：</w:t>
      </w:r>
      <w:bookmarkEnd w:id="20"/>
      <w:bookmarkEnd w:id="21"/>
      <w:r w:rsidR="00AB4BF2" w:rsidRPr="00AB4BF2">
        <w:rPr>
          <w:rFonts w:ascii="楷体" w:eastAsia="楷体" w:hAnsi="楷体" w:hint="eastAsia"/>
          <w:b/>
          <w:color w:val="000000" w:themeColor="text1"/>
          <w:sz w:val="24"/>
          <w:szCs w:val="24"/>
        </w:rPr>
        <w:t>成本推动上行，关注煤矿供应情况，继续偏强运行</w:t>
      </w:r>
      <w:bookmarkEnd w:id="22"/>
    </w:p>
    <w:p w:rsidR="003F56A5" w:rsidRDefault="00AB4BF2" w:rsidP="00572E35">
      <w:pPr>
        <w:ind w:leftChars="300" w:left="630"/>
        <w:rPr>
          <w:rFonts w:ascii="楷体" w:eastAsia="楷体" w:hAnsi="楷体"/>
          <w:color w:val="000000" w:themeColor="text1"/>
          <w:sz w:val="24"/>
          <w:szCs w:val="24"/>
        </w:rPr>
      </w:pPr>
      <w:r w:rsidRPr="00AB4BF2">
        <w:rPr>
          <w:rFonts w:ascii="楷体" w:eastAsia="楷体" w:hAnsi="楷体" w:hint="eastAsia"/>
          <w:color w:val="000000" w:themeColor="text1"/>
          <w:sz w:val="24"/>
          <w:szCs w:val="24"/>
        </w:rPr>
        <w:t>煤矿供应短期或继续保持偏低状态，焦炭供需缺口仍处于高位，盘面兑现涨幅，预计焦炭价格高位偏强震荡，预计震荡区间（2240，2340）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1089514"/>
      <w:r>
        <w:rPr>
          <w:rFonts w:ascii="楷体" w:eastAsia="楷体" w:hAnsi="楷体" w:hint="eastAsia"/>
          <w:b/>
          <w:color w:val="000000" w:themeColor="text1"/>
          <w:sz w:val="24"/>
          <w:szCs w:val="24"/>
        </w:rPr>
        <w:t>焦煤：</w:t>
      </w:r>
      <w:r w:rsidR="00AB4BF2" w:rsidRPr="00AB4BF2">
        <w:rPr>
          <w:rFonts w:ascii="楷体" w:eastAsia="楷体" w:hAnsi="楷体" w:hint="eastAsia"/>
          <w:b/>
          <w:sz w:val="24"/>
          <w:szCs w:val="24"/>
        </w:rPr>
        <w:t>关注供应收缩的持续性，煤价或继续偏强运行</w:t>
      </w:r>
      <w:bookmarkEnd w:id="23"/>
    </w:p>
    <w:p w:rsidR="003F56A5" w:rsidRDefault="00AB4BF2">
      <w:pPr>
        <w:ind w:leftChars="300" w:left="630"/>
        <w:rPr>
          <w:rFonts w:ascii="楷体" w:eastAsia="楷体" w:hAnsi="楷体"/>
          <w:bCs/>
          <w:sz w:val="24"/>
          <w:szCs w:val="24"/>
        </w:rPr>
      </w:pPr>
      <w:r w:rsidRPr="00AB4BF2">
        <w:rPr>
          <w:rFonts w:ascii="楷体" w:eastAsia="楷体" w:hAnsi="楷体" w:hint="eastAsia"/>
          <w:sz w:val="24"/>
          <w:szCs w:val="24"/>
        </w:rPr>
        <w:t>供需共振拉动去库，短期或持续去库，总库存低位下，价格或继续偏强运行。关注供应收缩的持续性，预计价格或在（1470,1550）区间偏强震荡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1089515"/>
      <w:r>
        <w:rPr>
          <w:rFonts w:ascii="楷体" w:eastAsia="楷体" w:hAnsi="楷体" w:hint="eastAsia"/>
          <w:b/>
          <w:color w:val="000000" w:themeColor="text1"/>
          <w:sz w:val="24"/>
          <w:szCs w:val="24"/>
        </w:rPr>
        <w:t>铜：</w:t>
      </w:r>
      <w:bookmarkEnd w:id="24"/>
      <w:bookmarkEnd w:id="25"/>
      <w:r w:rsidR="00AB4BF2" w:rsidRPr="00AB4BF2">
        <w:rPr>
          <w:rFonts w:ascii="楷体" w:eastAsia="楷体" w:hAnsi="楷体" w:hint="eastAsia"/>
          <w:b/>
          <w:color w:val="000000" w:themeColor="text1"/>
          <w:sz w:val="24"/>
          <w:szCs w:val="24"/>
        </w:rPr>
        <w:t>短期承压震荡，关注联储利率决议</w:t>
      </w:r>
      <w:bookmarkEnd w:id="26"/>
    </w:p>
    <w:p w:rsidR="00AB4BF2" w:rsidRPr="00AB4BF2" w:rsidRDefault="00AB4BF2" w:rsidP="00AB4BF2">
      <w:pPr>
        <w:ind w:leftChars="300" w:left="630"/>
        <w:rPr>
          <w:rFonts w:ascii="楷体" w:eastAsia="楷体" w:hAnsi="楷体" w:hint="eastAsia"/>
          <w:color w:val="000000" w:themeColor="text1"/>
          <w:sz w:val="24"/>
          <w:szCs w:val="24"/>
        </w:rPr>
      </w:pPr>
      <w:r w:rsidRPr="00AB4BF2">
        <w:rPr>
          <w:rFonts w:ascii="楷体" w:eastAsia="楷体" w:hAnsi="楷体" w:hint="eastAsia"/>
          <w:color w:val="000000" w:themeColor="text1"/>
          <w:sz w:val="24"/>
          <w:szCs w:val="24"/>
        </w:rPr>
        <w:t>(1)库存：7月21日，SHFE周库存77898吨，较上周五减4792吨；LME仓单库存59900吨，较上周五增2725吨。</w:t>
      </w:r>
    </w:p>
    <w:p w:rsidR="00AB4BF2" w:rsidRPr="00AB4BF2" w:rsidRDefault="00AB4BF2" w:rsidP="00AB4BF2">
      <w:pPr>
        <w:ind w:leftChars="300" w:left="630"/>
        <w:rPr>
          <w:rFonts w:ascii="楷体" w:eastAsia="楷体" w:hAnsi="楷体" w:hint="eastAsia"/>
          <w:color w:val="000000" w:themeColor="text1"/>
          <w:sz w:val="24"/>
          <w:szCs w:val="24"/>
        </w:rPr>
      </w:pPr>
      <w:r w:rsidRPr="00AB4BF2">
        <w:rPr>
          <w:rFonts w:ascii="楷体" w:eastAsia="楷体" w:hAnsi="楷体" w:hint="eastAsia"/>
          <w:color w:val="000000" w:themeColor="text1"/>
          <w:sz w:val="24"/>
          <w:szCs w:val="24"/>
        </w:rPr>
        <w:t>(2)精废价差：7月21日，Mysteel精废价差1830，扩大30。目前价差在合理价差1386之上。</w:t>
      </w:r>
    </w:p>
    <w:p w:rsidR="00127803" w:rsidRPr="00127803" w:rsidRDefault="00AB4BF2" w:rsidP="00AB4BF2">
      <w:pPr>
        <w:ind w:leftChars="300" w:left="630"/>
        <w:rPr>
          <w:rFonts w:ascii="楷体" w:eastAsia="楷体" w:hAnsi="楷体"/>
          <w:color w:val="000000" w:themeColor="text1"/>
          <w:sz w:val="24"/>
          <w:szCs w:val="24"/>
        </w:rPr>
      </w:pPr>
      <w:r w:rsidRPr="00AB4BF2">
        <w:rPr>
          <w:rFonts w:ascii="楷体" w:eastAsia="楷体" w:hAnsi="楷体" w:hint="eastAsia"/>
          <w:color w:val="000000" w:themeColor="text1"/>
          <w:sz w:val="24"/>
          <w:szCs w:val="24"/>
        </w:rPr>
        <w:t>综述：基本面上短期内矛盾不突出，对价格难有明显驱动，宏观方面仍需关注本周联储议息会议结果及国内政策指引，宏观层面变动仍是影响行情的关键点，预计CU2309主波动区间参考67000-69000。操作上，上周推出的卖出虚值看涨期权CU2309C71000继续持有</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1089516"/>
      <w:r>
        <w:rPr>
          <w:rFonts w:ascii="楷体" w:eastAsia="楷体" w:hAnsi="楷体" w:hint="eastAsia"/>
          <w:b/>
          <w:color w:val="000000" w:themeColor="text1"/>
          <w:sz w:val="24"/>
          <w:szCs w:val="24"/>
        </w:rPr>
        <w:t>铝：</w:t>
      </w:r>
      <w:bookmarkEnd w:id="27"/>
      <w:bookmarkEnd w:id="28"/>
      <w:r w:rsidR="00AB4BF2" w:rsidRPr="00AB4BF2">
        <w:rPr>
          <w:rFonts w:ascii="楷体" w:eastAsia="楷体" w:hAnsi="楷体" w:hint="eastAsia"/>
          <w:b/>
          <w:color w:val="000000" w:themeColor="text1"/>
          <w:sz w:val="24"/>
          <w:szCs w:val="24"/>
        </w:rPr>
        <w:t>多空博弈价格窄幅震荡运行  海外情绪围绕</w:t>
      </w:r>
      <w:bookmarkEnd w:id="29"/>
    </w:p>
    <w:p w:rsidR="003F56A5" w:rsidRDefault="00AB4BF2" w:rsidP="00127803">
      <w:pPr>
        <w:ind w:leftChars="300" w:left="630"/>
        <w:rPr>
          <w:rFonts w:ascii="楷体" w:eastAsia="楷体" w:hAnsi="楷体"/>
          <w:color w:val="000000" w:themeColor="text1"/>
          <w:sz w:val="24"/>
          <w:szCs w:val="24"/>
        </w:rPr>
      </w:pPr>
      <w:r w:rsidRPr="00AB4BF2">
        <w:rPr>
          <w:rFonts w:ascii="楷体" w:eastAsia="楷体" w:hAnsi="楷体" w:hint="eastAsia"/>
          <w:color w:val="000000" w:themeColor="text1"/>
          <w:sz w:val="24"/>
          <w:szCs w:val="24"/>
        </w:rPr>
        <w:t>各大央行加息影响而变化，联储加息仍有预期但幅度有限，国务院发布关于促进民营经济发展壮大意见，市场情绪大幅提振。国内电解铝净进口量走增，电解铝运行产能维持增长，云南复产稳步推进，部分企业退水转铸，预计7月后 将会在市场体现增量，供应端略有承压。成本端有氧化铝市场价格走升带动电解铝生产成本反弹。交易所库存低位小幅去库，社会库存小幅累库， 下游淡季开工，企业刚需补库，建筑型材消费仍未有明显好转，工业型材用铝需求小幅走增，需求维持弱修复。 在基本面矛盾刺激偏弱的情况下，政策利多叠加生产成本反弹支撑铝价，多空博弈之下，沪铝短期仍区间震荡，震荡区间17000-19000</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1089517"/>
      <w:r>
        <w:rPr>
          <w:rFonts w:ascii="楷体" w:eastAsia="楷体" w:hAnsi="楷体" w:hint="eastAsia"/>
          <w:b/>
          <w:color w:val="000000" w:themeColor="text1"/>
          <w:sz w:val="24"/>
          <w:szCs w:val="24"/>
        </w:rPr>
        <w:t>锌：</w:t>
      </w:r>
      <w:r w:rsidR="005376B7" w:rsidRPr="005376B7">
        <w:rPr>
          <w:rFonts w:ascii="楷体" w:eastAsia="楷体" w:hAnsi="楷体" w:hint="eastAsia"/>
          <w:b/>
          <w:color w:val="000000" w:themeColor="text1"/>
          <w:sz w:val="24"/>
          <w:szCs w:val="24"/>
        </w:rPr>
        <w:t>宏观利多基本面偏空，锌价上下震荡</w:t>
      </w:r>
      <w:bookmarkEnd w:id="30"/>
    </w:p>
    <w:p w:rsidR="003F56A5" w:rsidRDefault="005376B7" w:rsidP="000B0648">
      <w:pPr>
        <w:ind w:leftChars="300" w:left="630"/>
        <w:rPr>
          <w:rFonts w:ascii="楷体" w:eastAsia="楷体" w:hAnsi="楷体"/>
          <w:color w:val="000000" w:themeColor="text1"/>
          <w:sz w:val="24"/>
          <w:szCs w:val="24"/>
        </w:rPr>
      </w:pPr>
      <w:r w:rsidRPr="005376B7">
        <w:rPr>
          <w:rFonts w:ascii="楷体" w:eastAsia="楷体" w:hAnsi="楷体" w:hint="eastAsia"/>
          <w:color w:val="000000" w:themeColor="text1"/>
          <w:sz w:val="24"/>
          <w:szCs w:val="24"/>
        </w:rPr>
        <w:t>宏观情绪偏多支撑，市场交投情绪偏暖，国内政策利多带来未来需求乐观改善预期，基本面来看驱动偏弱，矿端供应偏松，精炼锌产量维持高位，伴随国产TC走升，冶炼利润持续修复，支撑厂家积极生产，现实需求延续淡季疲弱状态，供强需弱格局延续。短期来看，价格震荡运行但仍有下行压力，宏观利多释放后转向基本面驱动则偏空看待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1089518"/>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1089519"/>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5376B7" w:rsidRPr="005376B7">
        <w:rPr>
          <w:rFonts w:ascii="楷体" w:eastAsia="楷体" w:hAnsi="楷体" w:hint="eastAsia"/>
          <w:b/>
          <w:color w:val="000000" w:themeColor="text1"/>
          <w:sz w:val="24"/>
          <w:szCs w:val="24"/>
        </w:rPr>
        <w:t>延续震荡偏强运行</w:t>
      </w:r>
      <w:bookmarkEnd w:id="32"/>
    </w:p>
    <w:p w:rsidR="008B13D2" w:rsidRPr="008B13D2" w:rsidRDefault="005376B7" w:rsidP="008B13D2">
      <w:pPr>
        <w:ind w:leftChars="300" w:left="630"/>
        <w:rPr>
          <w:rFonts w:ascii="楷体" w:eastAsia="楷体" w:hAnsi="楷体"/>
          <w:color w:val="000000" w:themeColor="text1"/>
          <w:sz w:val="24"/>
          <w:szCs w:val="24"/>
        </w:rPr>
      </w:pPr>
      <w:r w:rsidRPr="005376B7">
        <w:rPr>
          <w:rFonts w:ascii="楷体" w:eastAsia="楷体" w:hAnsi="楷体" w:hint="eastAsia"/>
          <w:color w:val="000000" w:themeColor="text1"/>
          <w:sz w:val="24"/>
          <w:szCs w:val="24"/>
        </w:rPr>
        <w:t>进口铅精矿供应维持偏紧态势，铅精矿加工费低价持稳，废电瓶价格仍高</w:t>
      </w:r>
      <w:r w:rsidRPr="005376B7">
        <w:rPr>
          <w:rFonts w:ascii="楷体" w:eastAsia="楷体" w:hAnsi="楷体" w:hint="eastAsia"/>
          <w:color w:val="000000" w:themeColor="text1"/>
          <w:sz w:val="24"/>
          <w:szCs w:val="24"/>
        </w:rPr>
        <w:lastRenderedPageBreak/>
        <w:t>位运行，成本端支撑铅价。铅冶炼企业存在检修因素，短期内供应增加有限，下游消费缓慢修复，市场对三季度消费传统旺季预期较强。由于合约交割，铅锭社会库存累增。成本坚挺叠加消费向好预期，沪铅震荡偏强运行</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1089520"/>
      <w:r>
        <w:rPr>
          <w:rFonts w:ascii="楷体" w:eastAsia="楷体" w:hAnsi="楷体" w:hint="eastAsia"/>
          <w:b/>
          <w:color w:val="000000" w:themeColor="text1"/>
          <w:sz w:val="24"/>
          <w:szCs w:val="24"/>
        </w:rPr>
        <w:t>不锈钢：</w:t>
      </w:r>
      <w:r w:rsidR="00F50569" w:rsidRPr="00F50569">
        <w:rPr>
          <w:rFonts w:ascii="楷体" w:eastAsia="楷体" w:hAnsi="楷体" w:hint="eastAsia"/>
          <w:b/>
          <w:color w:val="000000" w:themeColor="text1"/>
          <w:sz w:val="24"/>
          <w:szCs w:val="24"/>
        </w:rPr>
        <w:t>收储消息提振不锈钢价</w:t>
      </w:r>
      <w:bookmarkEnd w:id="33"/>
    </w:p>
    <w:p w:rsidR="003F56A5" w:rsidRDefault="00F50569">
      <w:pPr>
        <w:ind w:leftChars="300" w:left="630"/>
        <w:rPr>
          <w:rFonts w:ascii="楷体" w:eastAsia="楷体" w:hAnsi="楷体"/>
          <w:color w:val="000000" w:themeColor="text1"/>
          <w:sz w:val="24"/>
          <w:szCs w:val="24"/>
        </w:rPr>
      </w:pPr>
      <w:r w:rsidRPr="00F50569">
        <w:rPr>
          <w:rFonts w:ascii="楷体" w:eastAsia="楷体" w:hAnsi="楷体" w:hint="eastAsia"/>
          <w:color w:val="000000" w:themeColor="text1"/>
          <w:sz w:val="24"/>
          <w:szCs w:val="24"/>
        </w:rPr>
        <w:t>昨日市场传出镍铁收储消息，驱动不锈钢价格大幅拉涨，当前国内镍铁厂除山东地区基本处于全面亏损状态，但镍铁过剩的格局压制价格弱势运行，如果收储行为落地，预计将缓解市场过剩局面，镍铁价格大概率将有所反弹，从而在成本端驱动不锈钢价格。短期价格拉涨后预计震荡整理为主，等待进一步消息</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1089521"/>
      <w:r>
        <w:rPr>
          <w:rFonts w:ascii="楷体" w:eastAsia="楷体" w:hAnsi="楷体" w:hint="eastAsia"/>
          <w:b/>
          <w:color w:val="000000" w:themeColor="text1"/>
          <w:sz w:val="24"/>
          <w:szCs w:val="24"/>
        </w:rPr>
        <w:t>工业硅：</w:t>
      </w:r>
      <w:r w:rsidR="00AB4BF2" w:rsidRPr="00AB4BF2">
        <w:rPr>
          <w:rFonts w:ascii="楷体" w:eastAsia="楷体" w:hAnsi="楷体" w:hint="eastAsia"/>
          <w:b/>
          <w:sz w:val="24"/>
          <w:szCs w:val="24"/>
        </w:rPr>
        <w:t>多空博弈加剧，盘面或将震荡运行</w:t>
      </w:r>
      <w:bookmarkEnd w:id="34"/>
    </w:p>
    <w:p w:rsidR="003F56A5" w:rsidRDefault="00AB4BF2" w:rsidP="00827E8A">
      <w:pPr>
        <w:ind w:leftChars="300" w:left="630"/>
        <w:rPr>
          <w:rFonts w:ascii="楷体" w:eastAsia="楷体" w:hAnsi="楷体"/>
          <w:sz w:val="24"/>
          <w:szCs w:val="24"/>
        </w:rPr>
      </w:pPr>
      <w:r w:rsidRPr="00AB4BF2">
        <w:rPr>
          <w:rFonts w:ascii="楷体" w:eastAsia="楷体" w:hAnsi="楷体" w:hint="eastAsia"/>
          <w:sz w:val="24"/>
          <w:szCs w:val="24"/>
        </w:rPr>
        <w:t>7月21日，Si2309主力合约呈下行走势，收盘价13365元/吨，较上一收盘价涨跌幅-2.02%。当前基本面整体依旧偏弱，叠加库存偏大，市场压力仍存，但需求存在改善预期，对市场也有所支撑。盘面多空博弈加剧，单边驱动动能不足，暂难出现单边行情，短期市场或将阶段性进入震荡行情。预计09合约运行区间（13000，13800），建议以波段操作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108952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1089523"/>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376B7" w:rsidRPr="005376B7">
        <w:rPr>
          <w:rFonts w:ascii="楷体" w:eastAsia="楷体" w:hAnsi="楷体" w:hint="eastAsia"/>
          <w:b/>
          <w:sz w:val="24"/>
          <w:szCs w:val="24"/>
        </w:rPr>
        <w:t>基本面偏弱市场炒作情绪再度降温 RU或低位震荡为主</w:t>
      </w:r>
      <w:bookmarkEnd w:id="37"/>
    </w:p>
    <w:p w:rsidR="003F56A5" w:rsidRDefault="005376B7">
      <w:pPr>
        <w:ind w:leftChars="300" w:left="630"/>
        <w:rPr>
          <w:rFonts w:ascii="楷体" w:eastAsia="楷体" w:hAnsi="楷体"/>
          <w:sz w:val="24"/>
          <w:szCs w:val="24"/>
        </w:rPr>
      </w:pPr>
      <w:r w:rsidRPr="005376B7">
        <w:rPr>
          <w:rFonts w:ascii="楷体" w:eastAsia="楷体" w:hAnsi="楷体" w:hint="eastAsia"/>
          <w:sz w:val="24"/>
          <w:szCs w:val="24"/>
        </w:rPr>
        <w:t>点评：目前橡胶供需基本面维持偏弱。供给端，随着国内替代指标落地，海外供给上量，供应端压力逐步加大；中游库存反复变动，绝对值仍处高位，去库难度较大。需求端来看，下游轮胎企业开工率处于高位，但内销市场出货偏慢，导致全钢胎成品库存小幅提升，因此短期开工率继续提升的空间有限。消息层面，尽管网传收储信息不断，但仍不见官方正式公告，且收储量亦传出不及预期的猜测，因此市场炒作情绪再度降温。而在橡胶基本面依旧弱势的情况下，同时近端09合约高价差矛盾没有解决下，整体盘面依旧维持偏弱表现。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1089524"/>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AB4BF2" w:rsidRPr="00AB4BF2">
        <w:rPr>
          <w:rFonts w:ascii="楷体" w:eastAsia="楷体" w:hAnsi="楷体" w:hint="eastAsia"/>
          <w:b/>
          <w:color w:val="000000" w:themeColor="text1"/>
          <w:sz w:val="24"/>
          <w:szCs w:val="24"/>
        </w:rPr>
        <w:t>驱动接近尾声 关注09上方压力位</w:t>
      </w:r>
      <w:bookmarkEnd w:id="38"/>
      <w:r w:rsidR="008F1360" w:rsidRPr="008F1360">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AB4BF2" w:rsidP="002C73FE">
      <w:pPr>
        <w:ind w:leftChars="300" w:left="630"/>
        <w:rPr>
          <w:rFonts w:ascii="楷体" w:eastAsia="楷体" w:hAnsi="楷体"/>
          <w:color w:val="000000" w:themeColor="text1"/>
          <w:sz w:val="24"/>
          <w:szCs w:val="24"/>
        </w:rPr>
      </w:pPr>
      <w:r w:rsidRPr="00AB4BF2">
        <w:rPr>
          <w:rFonts w:ascii="楷体" w:eastAsia="楷体" w:hAnsi="楷体" w:hint="eastAsia"/>
          <w:color w:val="000000" w:themeColor="text1"/>
          <w:sz w:val="24"/>
          <w:szCs w:val="24"/>
        </w:rPr>
        <w:t>PTA供给方面，福海创450万吨重启，逸盛海南200万吨，新材料360万吨提负，能投100万吨装置计划外停车，PTA负荷提升至78.3%。7月减产利好叠加汽油需求将进入季节性峰值阶段，原油基本面结构改善，短期盘面支撑仍较强。需求方面，近期因电力故障、天然气供应等原因，瓶片工厂局部出现减产及长丝负荷有局部调整，综合来看聚酯负荷有所下滑。截至7.20，初步核算国内大陆地区聚酯负荷在93%附近。受原料价格走高影响，江浙终端开工率继续小幅下降。但市场对9-10月份旺季有预期，低库存下预计7月聚酯不会轻易减停产。展望后市，海外出行旺季下PXN难压缩，PTA近期检修增多开工率下滑，聚酯因库存低位高开工维持需求韧性尚可。PTA近期货源相对充足，随着装置检修恢复或进入阶段性累库阶段。但成本端PX仍偏强及聚酯高开工提振，PTA 短期进入震荡市，关注上方</w:t>
      </w:r>
      <w:r w:rsidRPr="00AB4BF2">
        <w:rPr>
          <w:rFonts w:ascii="楷体" w:eastAsia="楷体" w:hAnsi="楷体" w:hint="eastAsia"/>
          <w:color w:val="000000" w:themeColor="text1"/>
          <w:sz w:val="24"/>
          <w:szCs w:val="24"/>
        </w:rPr>
        <w:lastRenderedPageBreak/>
        <w:t>6000压力位。仅供参考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1089525"/>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1089526"/>
      <w:r>
        <w:rPr>
          <w:rFonts w:ascii="楷体" w:eastAsia="楷体" w:hAnsi="楷体" w:hint="eastAsia"/>
          <w:b/>
          <w:color w:val="000000" w:themeColor="text1"/>
          <w:sz w:val="24"/>
          <w:szCs w:val="24"/>
        </w:rPr>
        <w:t>聚烯烃：</w:t>
      </w:r>
      <w:r w:rsidR="005376B7" w:rsidRPr="005376B7">
        <w:rPr>
          <w:rFonts w:ascii="楷体" w:eastAsia="楷体" w:hAnsi="楷体" w:hint="eastAsia"/>
          <w:b/>
          <w:color w:val="000000" w:themeColor="text1"/>
          <w:sz w:val="24"/>
          <w:szCs w:val="24"/>
        </w:rPr>
        <w:t>终端订单维持刚需，聚烯烃或窄幅整理为主</w:t>
      </w:r>
      <w:bookmarkEnd w:id="40"/>
    </w:p>
    <w:p w:rsidR="003F56A5" w:rsidRDefault="005376B7">
      <w:pPr>
        <w:ind w:leftChars="300" w:left="630"/>
        <w:rPr>
          <w:rFonts w:ascii="楷体" w:eastAsia="楷体" w:hAnsi="楷体"/>
          <w:bCs/>
          <w:sz w:val="24"/>
          <w:szCs w:val="24"/>
        </w:rPr>
      </w:pPr>
      <w:r w:rsidRPr="005376B7">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越来越多的证据显示，未来几个月供应短缺，俄罗斯和乌克兰之间的紧张局势加剧，可能进一步打击供应，国际油价继续上涨。需求方面，PE下游方面，农膜整体需求平平，工厂生产清淡。棚膜工厂多停机检修；PP下游方面，BOPP市场成交刚需有量，整体量较上一交易日增加，BOPP企业未交付订单多数在一周以内，个别可至八月上旬。综合来看，PE方面，原油小幅上涨，成本端支撑依旧存在，但市场资源紧缺，企业挺价意愿明显，但下游拿货意愿不高，刚需补货为主。综合来看，预计今日聚乙烯价格窄幅调整。PP方面，近期装置故障停车检修较为集中，叠加新扩能空窗期，市场供应压力不大。下游工厂多维持刚需，拿货积极性不高，淡季原料消耗能力有限，需求面仍显疲态。美联储将于下周开启7月议息会议，经济担忧情绪增强，今日聚丙烯或窄幅调整</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1089527"/>
      <w:r>
        <w:rPr>
          <w:rFonts w:ascii="楷体" w:eastAsia="楷体" w:hAnsi="楷体" w:hint="eastAsia"/>
          <w:b/>
          <w:color w:val="000000" w:themeColor="text1"/>
          <w:sz w:val="24"/>
          <w:szCs w:val="24"/>
        </w:rPr>
        <w:t>MEG：</w:t>
      </w:r>
      <w:r w:rsidR="00AB4BF2" w:rsidRPr="00AB4BF2">
        <w:rPr>
          <w:rFonts w:ascii="楷体" w:eastAsia="楷体" w:hAnsi="楷体" w:hint="eastAsia"/>
          <w:b/>
          <w:color w:val="000000" w:themeColor="text1"/>
          <w:sz w:val="24"/>
          <w:szCs w:val="24"/>
        </w:rPr>
        <w:t>成本端提振 短期仍有支撑</w:t>
      </w:r>
      <w:bookmarkEnd w:id="41"/>
    </w:p>
    <w:p w:rsidR="003F56A5" w:rsidRDefault="00AB4BF2" w:rsidP="00115EEA">
      <w:pPr>
        <w:ind w:leftChars="300" w:left="630"/>
        <w:rPr>
          <w:rFonts w:ascii="楷体" w:eastAsia="楷体" w:hAnsi="楷体"/>
          <w:color w:val="000000" w:themeColor="text1"/>
          <w:sz w:val="24"/>
          <w:szCs w:val="24"/>
        </w:rPr>
      </w:pPr>
      <w:r w:rsidRPr="00AB4BF2">
        <w:rPr>
          <w:rFonts w:ascii="楷体" w:eastAsia="楷体" w:hAnsi="楷体" w:hint="eastAsia"/>
          <w:color w:val="000000" w:themeColor="text1"/>
          <w:sz w:val="24"/>
          <w:szCs w:val="24"/>
        </w:rPr>
        <w:t>供需情况，7.17 华东主港地区MEG港口库存约108.7万吨附近，环比上期增加3.8万吨。显性库存仍高企，刚需支撑下港口发货良好隐形库存略去化。截至7月20日，中国大陆地区乙二醇整体开工负荷在63.69%（-0.26%），中科炼化7.10起停车检修，预计检修时长在半个月附近，整体开工率小幅下滑；煤化工方面，煤制乙二醇开工负荷在62.76%（+1.97%），近期陕煤榆林化学7-8月分别有60万吨单线进行为期10-15天的检修。陕煤渭化一套30万吨/年的乙二醇装置停车。截至7.20，初步核算国内大陆地区聚酯负荷在93%附近。受原料价格走高影响，江浙终端开工率继续小幅下降。江浙加弹综合开工率77%（-4%），江浙织机综合开工率69%（-3%），江浙印染综合开工率72%（-3%），涤丝产销氛围转弱，江浙终端工厂</w:t>
      </w:r>
      <w:r w:rsidRPr="00AB4BF2">
        <w:rPr>
          <w:rFonts w:ascii="楷体" w:eastAsia="楷体" w:hAnsi="楷体" w:hint="eastAsia"/>
          <w:color w:val="000000" w:themeColor="text1"/>
          <w:sz w:val="24"/>
          <w:szCs w:val="24"/>
        </w:rPr>
        <w:lastRenderedPageBreak/>
        <w:t>原料备货下降，部分加弹和织造企业因亏损或者库存压力选择适当减产。展望后市，乙二醇成本端煤炭、乙烯及天然气走强，叠加聚酯高开工带动下乙二醇走出一波估值修复行情。后续来看，成本端煤价反弹尚未结束而聚酯开工率高位维持，7-8月有望从累库转为去库格局，短期乙二醇走势支撑仍存，暂时观望。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1089528"/>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AB4BF2" w:rsidRPr="00AB4BF2">
        <w:rPr>
          <w:rFonts w:ascii="楷体" w:eastAsia="楷体" w:hAnsi="楷体" w:hint="eastAsia"/>
          <w:b/>
          <w:color w:val="000000" w:themeColor="text1"/>
          <w:sz w:val="24"/>
          <w:szCs w:val="24"/>
        </w:rPr>
        <w:t>产销回落，震荡回调</w:t>
      </w:r>
      <w:bookmarkEnd w:id="42"/>
    </w:p>
    <w:p w:rsidR="00A71A7E" w:rsidRDefault="00AB4BF2" w:rsidP="001F79C6">
      <w:pPr>
        <w:ind w:leftChars="300" w:left="630"/>
        <w:rPr>
          <w:rFonts w:ascii="楷体" w:eastAsia="楷体" w:hAnsi="楷体"/>
          <w:color w:val="000000" w:themeColor="text1"/>
          <w:sz w:val="24"/>
          <w:szCs w:val="24"/>
        </w:rPr>
      </w:pPr>
      <w:r w:rsidRPr="00AB4BF2">
        <w:rPr>
          <w:rFonts w:ascii="楷体" w:eastAsia="楷体" w:hAnsi="楷体" w:hint="eastAsia"/>
          <w:color w:val="000000" w:themeColor="text1"/>
          <w:sz w:val="24"/>
          <w:szCs w:val="24"/>
        </w:rPr>
        <w:t>玻璃当前出现淡季不淡情况，下游库存较低适当补库导致总厂库库存大幅去化，现货价格回升，期价接近平水。政策端，地产利好提振市场信心，市场情绪转强。供给上，前期已点火产线陆续出产品，产量提升；需求上，中间商和下游经过连续三周的补库后，周末产销出现回落，现货价格涨幅收窄，短期下游观望情绪渐浓。虽然近期政策较多，但实际终端需求改善力度较为有限，落地尚需时间。盘面上，基差修复后，供增需减下，远月信心不足，近强远弱格局明显。而近月合约对日度产销较为敏感，因为上半年出现淡季不淡，旺季不旺情况，7月淡季补库能否形成规模需看产销持续性，一旦产销回落，期价随之出现回调。短期来看，玻璃仍处于震荡格局，后续持续观察产销情况。主力合约参考区间（1600，1750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1089529"/>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AB4BF2" w:rsidRPr="00AB4BF2">
        <w:rPr>
          <w:rFonts w:ascii="楷体" w:eastAsia="楷体" w:hAnsi="楷体" w:hint="eastAsia"/>
          <w:b/>
          <w:color w:val="000000" w:themeColor="text1"/>
          <w:sz w:val="24"/>
          <w:szCs w:val="24"/>
        </w:rPr>
        <w:t>库存紧张，关注逼仓风险</w:t>
      </w:r>
      <w:bookmarkEnd w:id="43"/>
    </w:p>
    <w:p w:rsidR="00A71A7E" w:rsidRDefault="00AB4BF2" w:rsidP="00A71A7E">
      <w:pPr>
        <w:ind w:leftChars="300" w:left="630"/>
        <w:rPr>
          <w:rFonts w:ascii="楷体" w:eastAsia="楷体" w:hAnsi="楷体"/>
          <w:bCs/>
          <w:sz w:val="24"/>
          <w:szCs w:val="24"/>
        </w:rPr>
      </w:pPr>
      <w:r w:rsidRPr="00AB4BF2">
        <w:rPr>
          <w:rFonts w:ascii="楷体" w:eastAsia="楷体" w:hAnsi="楷体" w:hint="eastAsia"/>
          <w:color w:val="000000" w:themeColor="text1"/>
          <w:sz w:val="24"/>
          <w:szCs w:val="24"/>
        </w:rPr>
        <w:t>当前纯碱处于期货小幅升水，现货紧张，盘面逼仓行情中。7月以来，远兴投产增量远低于检修损失量，库存连续三周去库，回到历史极低位置。从平衡表上看，7月底-8月初纯碱供给紧张程度达到峰值。而需求上，下游基本保持刚需，近期浮法和光伏玻璃周内点火4条产线，重碱刚需量上行。供减需增下，盘面08，09等近月合约出现逼仓行情，下周在极低库存情况下，预计继续去库，现货更加紧张，而当前09合约持仓量大，不排除逼仓行情延续的情况，空单建议谨慎参与。10月以后远兴和金山新增产能到位，产能过剩，建议逢高空远月2401合约。主力合约参考区间（1800，2050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108953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1089531"/>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AB4BF2" w:rsidRPr="00AB4BF2">
        <w:rPr>
          <w:rFonts w:ascii="楷体" w:eastAsia="楷体" w:hAnsi="楷体" w:hint="eastAsia"/>
          <w:b/>
          <w:sz w:val="24"/>
          <w:szCs w:val="24"/>
        </w:rPr>
        <w:t>短期维持高位震荡</w:t>
      </w:r>
      <w:bookmarkEnd w:id="45"/>
    </w:p>
    <w:p w:rsidR="003F56A5" w:rsidRDefault="00AB4BF2">
      <w:pPr>
        <w:ind w:leftChars="300" w:left="630"/>
        <w:rPr>
          <w:rFonts w:ascii="楷体" w:eastAsia="楷体" w:hAnsi="楷体"/>
          <w:sz w:val="24"/>
          <w:szCs w:val="24"/>
        </w:rPr>
      </w:pPr>
      <w:r w:rsidRPr="00AB4BF2">
        <w:rPr>
          <w:rFonts w:ascii="楷体" w:eastAsia="楷体" w:hAnsi="楷体" w:hint="eastAsia"/>
          <w:sz w:val="24"/>
          <w:szCs w:val="24"/>
        </w:rPr>
        <w:t>国际方面，市场焦点重回天气，叠加黑海局势升级，美豆维持偏强走势。在美豆种植面积大幅减少的背景下，生长期天气仍十分关键，虽7月美农报告仍维持52单产预期，在近期干旱预期下，市场担忧仍存。美豆在持续降雨下，干旱范围收窄，种植情况有所改善，截至7月18日当周，美国大豆优良率为55%，前一周为51%，上年同期为61%。但七月下旬仍存干旱预期，需持续关注。国内市场，随着当前大豆到港量增加，油厂已基本恢复开机压榨，但压榨节奏表现有差异，部分地区油厂存在胀库停机现象，豆粕库存修复缓慢，支撑现货报价坚挺，当前主流油厂豆粕现货报价小幅上调至4260-4380元/吨。大豆4-6月到港量较大，6月进口到港1027万吨，环比减14.5%。下游养殖利润表现仍不佳，且在杂粕替代下饲企和养殖企业等对豆粕饲用需求增量有限，但终端企业库存偏低，仍存补库需求。菜</w:t>
      </w:r>
      <w:r w:rsidRPr="00AB4BF2">
        <w:rPr>
          <w:rFonts w:ascii="楷体" w:eastAsia="楷体" w:hAnsi="楷体" w:hint="eastAsia"/>
          <w:sz w:val="24"/>
          <w:szCs w:val="24"/>
        </w:rPr>
        <w:lastRenderedPageBreak/>
        <w:t>粕当前供给相对偏紧，随着6月份后菜籽到港预计减少，油厂压榨也在逐步下滑。而需求方面，当前为水产养殖旺季，替代需求方面，随着近期菜粕价格的上涨，替代优势减弱，但整体供需表现紧张，对价格构成支撑。策略方面，短期建议谨慎看多，建议回调企稳仍偏多参与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1089532"/>
      <w:r>
        <w:rPr>
          <w:rFonts w:ascii="楷体" w:eastAsia="楷体" w:hAnsi="楷体" w:hint="eastAsia"/>
          <w:b/>
          <w:color w:val="000000" w:themeColor="text1"/>
          <w:sz w:val="24"/>
          <w:szCs w:val="24"/>
        </w:rPr>
        <w:t>油脂：</w:t>
      </w:r>
      <w:r w:rsidR="00AB4BF2" w:rsidRPr="00AB4BF2">
        <w:rPr>
          <w:rFonts w:ascii="楷体" w:eastAsia="楷体" w:hAnsi="楷体" w:hint="eastAsia"/>
          <w:b/>
          <w:sz w:val="24"/>
          <w:szCs w:val="24"/>
        </w:rPr>
        <w:t>维持高位震荡</w:t>
      </w:r>
      <w:bookmarkEnd w:id="46"/>
    </w:p>
    <w:p w:rsidR="003F56A5" w:rsidRDefault="00AB4BF2" w:rsidP="00792D31">
      <w:pPr>
        <w:ind w:leftChars="300" w:left="630"/>
        <w:rPr>
          <w:rFonts w:ascii="楷体" w:eastAsia="楷体" w:hAnsi="楷体"/>
          <w:sz w:val="24"/>
          <w:szCs w:val="24"/>
        </w:rPr>
      </w:pPr>
      <w:r w:rsidRPr="00AB4BF2">
        <w:rPr>
          <w:rFonts w:ascii="楷体" w:eastAsia="楷体" w:hAnsi="楷体" w:hint="eastAsia"/>
          <w:sz w:val="24"/>
          <w:szCs w:val="24"/>
        </w:rPr>
        <w:t>国际市场，市场消化黑海利好，油脂整体高位回调。但三大油脂基本面仍存在差异，终端需求疲软。棕榈油，印尼棕榈油在供给增量下，库存持续回升。因7-8月份出口税费上调，提振马来棕榈油出口需求。ITS的数据显示出口量为554,054吨，环比增长19.3%。虽市场开始炒作厄尔尼诺现象，但中期无法改变产地棕榈油累库的趋势，但产量修复或受天气影响，产地整体压力不大。国内棕榈油在6月份进口增加以及需求疲软下，库存持续回升，也限制当前价格反弹空间。因前期产地报价下滑，国内进口利润有所修复，6-7月船期买船增加，最新商业库存为66.75万吨，未来供应仍较充裕。需求端，随着气温回升利好棕榈油消费，近期成交略有好转，但尚无亮点。豆油延续累库趋势。随着4-7月进口大豆到港增加，油厂陆续恢复开机，但整体开机及压榨水平稳定，在刚需补库下累库放缓。需求端，在中小学及高校陆续进入暑期，且无大型节日消费提振，处于消费淡季。菜油在进口菜籽减少下，供应压力减轻。当前主产地菜籽在生长期，供应处于青黄不接的阶段，全球菜籽新作产量不确定性仍存。随着后续进口加籽到港量的减少，菜籽开机及压榨水平也有所降低，5月菜籽进口68.6万吨，菜油进口17万吨，均较同期增加。需求方面，与替代油脂价差拉大，需求清淡，当前库存已逐步回落，需求修复仍待继续关注。对于油脂维持回调后低多观点，可关注油脂间套利，多配菜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1089533"/>
      <w:r>
        <w:rPr>
          <w:rFonts w:ascii="楷体" w:eastAsia="楷体" w:hAnsi="楷体" w:hint="eastAsia"/>
          <w:b/>
          <w:bCs/>
          <w:color w:val="000000" w:themeColor="text1"/>
        </w:rPr>
        <w:t>玉米与淀粉：</w:t>
      </w:r>
      <w:r w:rsidR="00AB4BF2" w:rsidRPr="00AB4BF2">
        <w:rPr>
          <w:rFonts w:ascii="楷体" w:eastAsia="楷体" w:hAnsi="楷体" w:hint="eastAsia"/>
          <w:b/>
        </w:rPr>
        <w:t>期价震荡偏弱运行</w:t>
      </w:r>
      <w:bookmarkEnd w:id="47"/>
    </w:p>
    <w:p w:rsidR="00AB4BF2" w:rsidRPr="00AB4BF2" w:rsidRDefault="00AB4BF2" w:rsidP="00AB4BF2">
      <w:pPr>
        <w:pStyle w:val="paragraph"/>
        <w:spacing w:before="60" w:after="60"/>
        <w:ind w:leftChars="300" w:left="630"/>
        <w:rPr>
          <w:rFonts w:ascii="楷体" w:eastAsia="楷体" w:hAnsi="楷体" w:hint="eastAsia"/>
        </w:rPr>
      </w:pPr>
      <w:r w:rsidRPr="00AB4BF2">
        <w:rPr>
          <w:rFonts w:ascii="楷体" w:eastAsia="楷体" w:hAnsi="楷体" w:hint="eastAsia"/>
        </w:rPr>
        <w:t>对于玉米而言，近期期现货回落主要源于市场对小麦饲用替代增量和陈化水稻抛储的担忧，而华北-东北和产销区玉米价差持续走扩之后，东北玉米贸易商心态松动，出货意愿增强。但我们仍维持谨慎乐观心态，特别是新作合约，主要原因有四，其一是下方空间受限，这主要源于陈化水稻成本支撑；其二是虽经历被动补库存，但中下游库存包括南北方港口库存和饲料企业和深加工企业玉米原料库存依然处于历史同期低位；其三是当前和下一年度产需缺口的补充存在较大变数，因此后期产区天气仍需要留意；其四是由于芽麦和饲用替代，后期小麦现货或趋于上涨。在这种情况下，我们维持谨慎看多观点，但短期受国内现货带动或继续回落调整，建议激进投资者持有前期多单，谨慎投资者继续等待再次入场机会。</w:t>
      </w:r>
    </w:p>
    <w:p w:rsidR="003F56A5" w:rsidRDefault="00AB4BF2" w:rsidP="00AB4BF2">
      <w:pPr>
        <w:pStyle w:val="paragraph"/>
        <w:spacing w:before="60" w:beforeAutospacing="0" w:after="60" w:afterAutospacing="0"/>
        <w:ind w:leftChars="300" w:left="630"/>
        <w:rPr>
          <w:rFonts w:ascii="楷体" w:eastAsia="楷体" w:hAnsi="楷体"/>
        </w:rPr>
      </w:pPr>
      <w:r w:rsidRPr="00AB4BF2">
        <w:rPr>
          <w:rFonts w:ascii="楷体" w:eastAsia="楷体" w:hAnsi="楷体" w:hint="eastAsia"/>
        </w:rPr>
        <w:t>对于淀粉而言，近期淀粉-玉米价差波动幅度不大，主要源于市场多空交织，利空因素有二，其一是副产品价格，受蛋白粕带动淀粉副产品价格大幅反弹，淀粉期现货生产利润改善，有望带动行业开机率回升；其二是需求端的季节性因素，在旺季备货之后或步入一段时间的需求低迷期。而利多因素同样源于两个方面，其一是原料成本端的担忧；其二是</w:t>
      </w:r>
      <w:r w:rsidRPr="00AB4BF2">
        <w:rPr>
          <w:rFonts w:ascii="楷体" w:eastAsia="楷体" w:hAnsi="楷体" w:hint="eastAsia"/>
        </w:rPr>
        <w:lastRenderedPageBreak/>
        <w:t>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1089534"/>
      <w:r>
        <w:rPr>
          <w:rFonts w:ascii="楷体" w:eastAsia="楷体" w:hAnsi="楷体" w:hint="eastAsia"/>
          <w:b/>
          <w:bCs/>
          <w:color w:val="000000" w:themeColor="text1"/>
        </w:rPr>
        <w:t>畜禽养殖：</w:t>
      </w:r>
      <w:r w:rsidR="00AB4BF2" w:rsidRPr="00AB4BF2">
        <w:rPr>
          <w:rFonts w:ascii="楷体" w:eastAsia="楷体" w:hAnsi="楷体" w:hint="eastAsia"/>
          <w:b/>
          <w:bCs/>
          <w:color w:val="000000" w:themeColor="text1"/>
        </w:rPr>
        <w:t>现货带动期价近强远弱分化运行</w:t>
      </w:r>
      <w:bookmarkEnd w:id="48"/>
    </w:p>
    <w:p w:rsidR="00AB4BF2" w:rsidRPr="00AB4BF2" w:rsidRDefault="00AB4BF2" w:rsidP="00AB4BF2">
      <w:pPr>
        <w:pStyle w:val="paragraph"/>
        <w:spacing w:before="60" w:after="60"/>
        <w:ind w:leftChars="300" w:left="630"/>
        <w:rPr>
          <w:rFonts w:ascii="楷体" w:eastAsia="楷体" w:hAnsi="楷体" w:hint="eastAsia"/>
        </w:rPr>
      </w:pPr>
      <w:r w:rsidRPr="00AB4BF2">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阶段性反弹机会更多源于供应去化，从时间上看上述三方面的供应或逐步消化，涌益咨询公布的日度生猪屠宰量、农业农村部公布的规模以上屠宰企业生猪屠宰量和各大上市公司公布的6月生猪销量均已环比下降，但冷库库容比仍有待去化，再加上高温对需求的抑制，这或许是压制生猪现货的主要原因所在。在这种情况下，维持谨慎看多观点，建议暂以观望为宜，等待入场时机。</w:t>
      </w:r>
    </w:p>
    <w:p w:rsidR="003F56A5" w:rsidRDefault="00AB4BF2" w:rsidP="00AB4BF2">
      <w:pPr>
        <w:pStyle w:val="paragraph"/>
        <w:spacing w:before="60" w:beforeAutospacing="0" w:after="60" w:afterAutospacing="0"/>
        <w:ind w:leftChars="300" w:left="630"/>
        <w:rPr>
          <w:rFonts w:ascii="楷体" w:eastAsia="楷体" w:hAnsi="楷体"/>
        </w:rPr>
      </w:pPr>
      <w:r w:rsidRPr="00AB4BF2">
        <w:rPr>
          <w:rFonts w:ascii="楷体" w:eastAsia="楷体" w:hAnsi="楷体" w:hint="eastAsia"/>
        </w:rPr>
        <w:t>对于鸡蛋而言，5月以来随着鸡蛋现货价格的下跌，蛋鸡养殖利润亦有显著下滑，带动养殖户补栏积极性下滑，与此同时，养殖户淘汰积极性上升，两方面因素带动供需改善不及市场之前预期，带动远月-近月价差如1-9价差和5-9价差显著走强。近期鸡蛋现货大幅反弹，近月受基差支撑因素上涨，但远月则相对弱势，这主要源于市场担心现货上涨，通过养殖利润影响淘汰和补栏积极性，继而影响远期供需。整体而言，考虑到5月以来现货下跌导致养殖户补栏积极性下降，近期虽现货反弹带动养殖利润改善，但由于高温天气因素，补栏积极性难以恢复，整体市场供需较前期应有所改善，据此维持谨慎看多观点。接下来重点留意现货走势，因其影响近月和远月表现的差异。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1089535"/>
      <w:r>
        <w:rPr>
          <w:rFonts w:ascii="楷体" w:eastAsia="楷体" w:hAnsi="楷体" w:hint="eastAsia"/>
          <w:b/>
          <w:sz w:val="24"/>
          <w:szCs w:val="24"/>
        </w:rPr>
        <w:t>郑棉：</w:t>
      </w:r>
      <w:r w:rsidR="00F50569" w:rsidRPr="00F50569">
        <w:rPr>
          <w:rFonts w:ascii="楷体" w:eastAsia="楷体" w:hAnsi="楷体" w:hint="eastAsia"/>
          <w:b/>
          <w:sz w:val="24"/>
          <w:szCs w:val="24"/>
        </w:rPr>
        <w:t>09看跌期权卖权持有或观望</w:t>
      </w:r>
      <w:bookmarkEnd w:id="49"/>
    </w:p>
    <w:p w:rsidR="003F56A5" w:rsidRDefault="00F50569" w:rsidP="007B3290">
      <w:pPr>
        <w:ind w:leftChars="300" w:left="630"/>
        <w:rPr>
          <w:rFonts w:ascii="楷体" w:eastAsia="楷体" w:hAnsi="楷体"/>
          <w:sz w:val="24"/>
          <w:szCs w:val="24"/>
        </w:rPr>
      </w:pPr>
      <w:r w:rsidRPr="00F50569">
        <w:rPr>
          <w:rFonts w:ascii="楷体" w:eastAsia="楷体" w:hAnsi="楷体" w:hint="eastAsia"/>
          <w:sz w:val="24"/>
          <w:szCs w:val="24"/>
        </w:rPr>
        <w:t>下半年经济规划出炉，市场情绪得到强提振。中概股暴涨，国内商品同样走强。黑海协议和厄尔尼诺现象继续助推农产品板块大涨。在宏观背景走强影响下，政策调控对情绪的压制迅速消退。抛储系统即将开始模拟交易，抛储进入倒计时。内外棉价震荡偏强，前期看跌期权卖权继续持有，或等待回落后的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3D1" w:rsidRDefault="006353D1">
      <w:r>
        <w:separator/>
      </w:r>
    </w:p>
  </w:endnote>
  <w:endnote w:type="continuationSeparator" w:id="0">
    <w:p w:rsidR="006353D1" w:rsidRDefault="0063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5D70679" wp14:editId="652021C7">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54002">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554002">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3D1" w:rsidRDefault="006353D1">
      <w:r>
        <w:separator/>
      </w:r>
    </w:p>
  </w:footnote>
  <w:footnote w:type="continuationSeparator" w:id="0">
    <w:p w:rsidR="006353D1" w:rsidRDefault="006353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4790B7D" wp14:editId="02BA72E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CBCCDA0" wp14:editId="1229300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AB4BF2">
      <w:rPr>
        <w:rFonts w:ascii="Times New Roman" w:eastAsia="楷体" w:hAnsi="Times New Roman" w:hint="eastAsia"/>
        <w:b/>
        <w:bCs/>
        <w:noProof/>
        <w:color w:val="833C0B"/>
        <w:sz w:val="21"/>
      </w:rPr>
      <w:t>2023</w:t>
    </w:r>
    <w:r w:rsidR="00AB4BF2">
      <w:rPr>
        <w:rFonts w:ascii="Times New Roman" w:eastAsia="楷体" w:hAnsi="Times New Roman" w:hint="eastAsia"/>
        <w:b/>
        <w:bCs/>
        <w:noProof/>
        <w:color w:val="833C0B"/>
        <w:sz w:val="21"/>
      </w:rPr>
      <w:t>年</w:t>
    </w:r>
    <w:r w:rsidR="00AB4BF2">
      <w:rPr>
        <w:rFonts w:ascii="Times New Roman" w:eastAsia="楷体" w:hAnsi="Times New Roman" w:hint="eastAsia"/>
        <w:b/>
        <w:bCs/>
        <w:noProof/>
        <w:color w:val="833C0B"/>
        <w:sz w:val="21"/>
      </w:rPr>
      <w:t>7</w:t>
    </w:r>
    <w:r w:rsidR="00AB4BF2">
      <w:rPr>
        <w:rFonts w:ascii="Times New Roman" w:eastAsia="楷体" w:hAnsi="Times New Roman" w:hint="eastAsia"/>
        <w:b/>
        <w:bCs/>
        <w:noProof/>
        <w:color w:val="833C0B"/>
        <w:sz w:val="21"/>
      </w:rPr>
      <w:t>月</w:t>
    </w:r>
    <w:r w:rsidR="00AB4BF2">
      <w:rPr>
        <w:rFonts w:ascii="Times New Roman" w:eastAsia="楷体" w:hAnsi="Times New Roman" w:hint="eastAsia"/>
        <w:b/>
        <w:bCs/>
        <w:noProof/>
        <w:color w:val="833C0B"/>
        <w:sz w:val="21"/>
      </w:rPr>
      <w:t>24</w:t>
    </w:r>
    <w:r w:rsidR="00AB4BF2">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80E38"/>
    <w:rsid w:val="0038626D"/>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6F74"/>
    <w:rsid w:val="004E3A10"/>
    <w:rsid w:val="004E58A5"/>
    <w:rsid w:val="004E6093"/>
    <w:rsid w:val="005145ED"/>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5214"/>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47540"/>
    <w:rsid w:val="00F50569"/>
    <w:rsid w:val="00F622ED"/>
    <w:rsid w:val="00F65EEA"/>
    <w:rsid w:val="00F776D3"/>
    <w:rsid w:val="00F90537"/>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C7E0E"/>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8CB09-C8AB-419C-AB58-BF2D2977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TotalTime>
  <Pages>9</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42</cp:revision>
  <cp:lastPrinted>2023-06-08T02:23:00Z</cp:lastPrinted>
  <dcterms:created xsi:type="dcterms:W3CDTF">2022-11-15T10:06:00Z</dcterms:created>
  <dcterms:modified xsi:type="dcterms:W3CDTF">2023-07-24T03:10:00Z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