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7C7B84"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7C7B84" w:rsidRPr="00377C10">
            <w:rPr>
              <w:rStyle w:val="a9"/>
              <w:noProof/>
            </w:rPr>
            <w:fldChar w:fldCharType="begin"/>
          </w:r>
          <w:r w:rsidR="007C7B84" w:rsidRPr="00377C10">
            <w:rPr>
              <w:rStyle w:val="a9"/>
              <w:noProof/>
            </w:rPr>
            <w:instrText xml:space="preserve"> </w:instrText>
          </w:r>
          <w:r w:rsidR="007C7B84">
            <w:rPr>
              <w:noProof/>
            </w:rPr>
            <w:instrText>HYPERLINK \l "_Toc140830960"</w:instrText>
          </w:r>
          <w:r w:rsidR="007C7B84" w:rsidRPr="00377C10">
            <w:rPr>
              <w:rStyle w:val="a9"/>
              <w:noProof/>
            </w:rPr>
            <w:instrText xml:space="preserve"> </w:instrText>
          </w:r>
          <w:r w:rsidR="007C7B84" w:rsidRPr="00377C10">
            <w:rPr>
              <w:rStyle w:val="a9"/>
              <w:noProof/>
            </w:rPr>
          </w:r>
          <w:r w:rsidR="007C7B84" w:rsidRPr="00377C10">
            <w:rPr>
              <w:rStyle w:val="a9"/>
              <w:noProof/>
            </w:rPr>
            <w:fldChar w:fldCharType="separate"/>
          </w:r>
          <w:r w:rsidR="007C7B84" w:rsidRPr="00377C10">
            <w:rPr>
              <w:rStyle w:val="a9"/>
              <w:rFonts w:ascii="Times New Roman" w:eastAsia="楷体" w:hAnsi="Times New Roman"/>
              <w:b/>
              <w:noProof/>
            </w:rPr>
            <w:t>[</w:t>
          </w:r>
          <w:r w:rsidR="007C7B84" w:rsidRPr="00377C10">
            <w:rPr>
              <w:rStyle w:val="a9"/>
              <w:rFonts w:ascii="Times New Roman" w:eastAsia="楷体" w:hAnsi="Times New Roman"/>
              <w:b/>
              <w:noProof/>
            </w:rPr>
            <w:t>金融</w:t>
          </w:r>
          <w:r w:rsidR="007C7B84" w:rsidRPr="00377C10">
            <w:rPr>
              <w:rStyle w:val="a9"/>
              <w:rFonts w:ascii="Times New Roman" w:eastAsia="楷体" w:hAnsi="Times New Roman"/>
              <w:b/>
              <w:noProof/>
            </w:rPr>
            <w:t>]</w:t>
          </w:r>
          <w:r w:rsidR="007C7B84" w:rsidRPr="00377C10">
            <w:rPr>
              <w:rStyle w:val="a9"/>
              <w:noProof/>
            </w:rPr>
            <w:fldChar w:fldCharType="end"/>
          </w:r>
        </w:p>
        <w:p w:rsidR="007C7B84" w:rsidRDefault="007C7B84">
          <w:pPr>
            <w:pStyle w:val="23"/>
            <w:tabs>
              <w:tab w:val="right" w:leader="dot" w:pos="8296"/>
            </w:tabs>
            <w:rPr>
              <w:rFonts w:eastAsiaTheme="minorEastAsia"/>
              <w:noProof/>
              <w:szCs w:val="22"/>
            </w:rPr>
          </w:pPr>
          <w:hyperlink w:anchor="_Toc140830961" w:history="1">
            <w:r w:rsidRPr="00377C10">
              <w:rPr>
                <w:rStyle w:val="a9"/>
                <w:rFonts w:ascii="Times New Roman" w:eastAsia="楷体" w:hAnsi="Times New Roman"/>
                <w:b/>
                <w:noProof/>
              </w:rPr>
              <w:t>股指：有仓位者轻仓持有观望，待企稳后低多</w:t>
            </w:r>
          </w:hyperlink>
        </w:p>
        <w:p w:rsidR="007C7B84" w:rsidRDefault="007C7B84">
          <w:pPr>
            <w:pStyle w:val="11"/>
            <w:tabs>
              <w:tab w:val="right" w:leader="dot" w:pos="8296"/>
            </w:tabs>
            <w:rPr>
              <w:rFonts w:eastAsiaTheme="minorEastAsia"/>
              <w:noProof/>
              <w:szCs w:val="22"/>
            </w:rPr>
          </w:pPr>
          <w:hyperlink w:anchor="_Toc140830962" w:history="1">
            <w:r w:rsidRPr="00377C10">
              <w:rPr>
                <w:rStyle w:val="a9"/>
                <w:rFonts w:ascii="Times New Roman" w:eastAsia="楷体" w:hAnsi="Times New Roman"/>
                <w:b/>
                <w:noProof/>
              </w:rPr>
              <w:t>[</w:t>
            </w:r>
            <w:r w:rsidRPr="00377C10">
              <w:rPr>
                <w:rStyle w:val="a9"/>
                <w:rFonts w:ascii="Times New Roman" w:eastAsia="楷体" w:hAnsi="Times New Roman"/>
                <w:b/>
                <w:noProof/>
              </w:rPr>
              <w:t>贵金属</w:t>
            </w:r>
            <w:r w:rsidRPr="00377C10">
              <w:rPr>
                <w:rStyle w:val="a9"/>
                <w:rFonts w:ascii="Times New Roman" w:eastAsia="楷体" w:hAnsi="Times New Roman"/>
                <w:b/>
                <w:noProof/>
              </w:rPr>
              <w:t>]</w:t>
            </w:r>
          </w:hyperlink>
        </w:p>
        <w:p w:rsidR="007C7B84" w:rsidRDefault="007C7B84">
          <w:pPr>
            <w:pStyle w:val="23"/>
            <w:tabs>
              <w:tab w:val="right" w:leader="dot" w:pos="8296"/>
            </w:tabs>
            <w:rPr>
              <w:rFonts w:eastAsiaTheme="minorEastAsia"/>
              <w:noProof/>
              <w:szCs w:val="22"/>
            </w:rPr>
          </w:pPr>
          <w:hyperlink w:anchor="_Toc140830963" w:history="1">
            <w:r w:rsidRPr="00377C10">
              <w:rPr>
                <w:rStyle w:val="a9"/>
                <w:rFonts w:ascii="Times New Roman" w:eastAsia="楷体" w:hAnsi="Times New Roman"/>
                <w:b/>
                <w:noProof/>
              </w:rPr>
              <w:t>贵金属：美国初请失业金人数低于预期，贵金属价格回落</w:t>
            </w:r>
          </w:hyperlink>
        </w:p>
        <w:p w:rsidR="007C7B84" w:rsidRDefault="007C7B84">
          <w:pPr>
            <w:pStyle w:val="11"/>
            <w:tabs>
              <w:tab w:val="right" w:leader="dot" w:pos="8296"/>
            </w:tabs>
            <w:rPr>
              <w:rFonts w:eastAsiaTheme="minorEastAsia"/>
              <w:noProof/>
              <w:szCs w:val="22"/>
            </w:rPr>
          </w:pPr>
          <w:hyperlink w:anchor="_Toc140830964" w:history="1">
            <w:r w:rsidRPr="00377C10">
              <w:rPr>
                <w:rStyle w:val="a9"/>
                <w:rFonts w:ascii="Times New Roman" w:eastAsia="楷体" w:hAnsi="Times New Roman"/>
                <w:b/>
                <w:noProof/>
              </w:rPr>
              <w:t>[</w:t>
            </w:r>
            <w:r w:rsidRPr="00377C10">
              <w:rPr>
                <w:rStyle w:val="a9"/>
                <w:rFonts w:ascii="Times New Roman" w:eastAsia="楷体" w:hAnsi="Times New Roman"/>
                <w:b/>
                <w:noProof/>
              </w:rPr>
              <w:t>金属</w:t>
            </w:r>
            <w:r w:rsidRPr="00377C10">
              <w:rPr>
                <w:rStyle w:val="a9"/>
                <w:rFonts w:ascii="Times New Roman" w:eastAsia="楷体" w:hAnsi="Times New Roman"/>
                <w:b/>
                <w:noProof/>
              </w:rPr>
              <w:t>]</w:t>
            </w:r>
          </w:hyperlink>
        </w:p>
        <w:p w:rsidR="007C7B84" w:rsidRDefault="007C7B84">
          <w:pPr>
            <w:pStyle w:val="23"/>
            <w:tabs>
              <w:tab w:val="right" w:leader="dot" w:pos="8296"/>
            </w:tabs>
            <w:rPr>
              <w:rFonts w:eastAsiaTheme="minorEastAsia"/>
              <w:noProof/>
              <w:szCs w:val="22"/>
            </w:rPr>
          </w:pPr>
          <w:hyperlink w:anchor="_Toc140830965" w:history="1">
            <w:r w:rsidRPr="00377C10">
              <w:rPr>
                <w:rStyle w:val="a9"/>
                <w:rFonts w:ascii="楷体" w:eastAsia="楷体" w:hAnsi="楷体"/>
                <w:b/>
                <w:noProof/>
              </w:rPr>
              <w:t>碳酸锂：期货正式上市，锂价或扩大跌幅</w:t>
            </w:r>
          </w:hyperlink>
        </w:p>
        <w:p w:rsidR="007C7B84" w:rsidRDefault="007C7B84">
          <w:pPr>
            <w:pStyle w:val="23"/>
            <w:tabs>
              <w:tab w:val="right" w:leader="dot" w:pos="8296"/>
            </w:tabs>
            <w:rPr>
              <w:rFonts w:eastAsiaTheme="minorEastAsia"/>
              <w:noProof/>
              <w:szCs w:val="22"/>
            </w:rPr>
          </w:pPr>
          <w:hyperlink w:anchor="_Toc140830966" w:history="1">
            <w:r w:rsidRPr="00377C10">
              <w:rPr>
                <w:rStyle w:val="a9"/>
                <w:rFonts w:ascii="楷体" w:eastAsia="楷体" w:hAnsi="楷体"/>
                <w:b/>
                <w:noProof/>
              </w:rPr>
              <w:t>螺纹钢：需求较难与情绪共振，或继续偏强震荡</w:t>
            </w:r>
          </w:hyperlink>
        </w:p>
        <w:p w:rsidR="007C7B84" w:rsidRDefault="007C7B84">
          <w:pPr>
            <w:pStyle w:val="23"/>
            <w:tabs>
              <w:tab w:val="right" w:leader="dot" w:pos="8296"/>
            </w:tabs>
            <w:rPr>
              <w:rFonts w:eastAsiaTheme="minorEastAsia"/>
              <w:noProof/>
              <w:szCs w:val="22"/>
            </w:rPr>
          </w:pPr>
          <w:hyperlink w:anchor="_Toc140830967" w:history="1">
            <w:r w:rsidRPr="00377C10">
              <w:rPr>
                <w:rStyle w:val="a9"/>
                <w:rFonts w:ascii="楷体" w:eastAsia="楷体" w:hAnsi="楷体"/>
                <w:b/>
                <w:noProof/>
              </w:rPr>
              <w:t>焦炭：港口现货大涨，震荡等待第三轮博弈</w:t>
            </w:r>
          </w:hyperlink>
        </w:p>
        <w:p w:rsidR="007C7B84" w:rsidRDefault="007C7B84">
          <w:pPr>
            <w:pStyle w:val="23"/>
            <w:tabs>
              <w:tab w:val="right" w:leader="dot" w:pos="8296"/>
            </w:tabs>
            <w:rPr>
              <w:rFonts w:eastAsiaTheme="minorEastAsia"/>
              <w:noProof/>
              <w:szCs w:val="22"/>
            </w:rPr>
          </w:pPr>
          <w:hyperlink w:anchor="_Toc140830968" w:history="1">
            <w:r w:rsidRPr="00377C10">
              <w:rPr>
                <w:rStyle w:val="a9"/>
                <w:rFonts w:ascii="楷体" w:eastAsia="楷体" w:hAnsi="楷体"/>
                <w:b/>
                <w:noProof/>
              </w:rPr>
              <w:t>焦煤：煤价继续强势运行，09合约加速冲顶</w:t>
            </w:r>
          </w:hyperlink>
        </w:p>
        <w:p w:rsidR="007C7B84" w:rsidRDefault="007C7B84">
          <w:pPr>
            <w:pStyle w:val="23"/>
            <w:tabs>
              <w:tab w:val="right" w:leader="dot" w:pos="8296"/>
            </w:tabs>
            <w:rPr>
              <w:rFonts w:eastAsiaTheme="minorEastAsia"/>
              <w:noProof/>
              <w:szCs w:val="22"/>
            </w:rPr>
          </w:pPr>
          <w:hyperlink w:anchor="_Toc140830969" w:history="1">
            <w:r w:rsidRPr="00377C10">
              <w:rPr>
                <w:rStyle w:val="a9"/>
                <w:rFonts w:ascii="楷体" w:eastAsia="楷体" w:hAnsi="楷体"/>
                <w:b/>
                <w:noProof/>
              </w:rPr>
              <w:t>铜：短期震荡格局难改</w:t>
            </w:r>
          </w:hyperlink>
        </w:p>
        <w:p w:rsidR="007C7B84" w:rsidRDefault="007C7B84">
          <w:pPr>
            <w:pStyle w:val="23"/>
            <w:tabs>
              <w:tab w:val="right" w:leader="dot" w:pos="8296"/>
            </w:tabs>
            <w:rPr>
              <w:rFonts w:eastAsiaTheme="minorEastAsia"/>
              <w:noProof/>
              <w:szCs w:val="22"/>
            </w:rPr>
          </w:pPr>
          <w:hyperlink w:anchor="_Toc140830970" w:history="1">
            <w:r w:rsidRPr="00377C10">
              <w:rPr>
                <w:rStyle w:val="a9"/>
                <w:rFonts w:ascii="楷体" w:eastAsia="楷体" w:hAnsi="楷体"/>
                <w:b/>
                <w:noProof/>
              </w:rPr>
              <w:t>铝：多空博弈价格窄幅震荡运行</w:t>
            </w:r>
          </w:hyperlink>
        </w:p>
        <w:p w:rsidR="007C7B84" w:rsidRDefault="007C7B84">
          <w:pPr>
            <w:pStyle w:val="23"/>
            <w:tabs>
              <w:tab w:val="right" w:leader="dot" w:pos="8296"/>
            </w:tabs>
            <w:rPr>
              <w:rFonts w:eastAsiaTheme="minorEastAsia"/>
              <w:noProof/>
              <w:szCs w:val="22"/>
            </w:rPr>
          </w:pPr>
          <w:hyperlink w:anchor="_Toc140830971" w:history="1">
            <w:r w:rsidRPr="00377C10">
              <w:rPr>
                <w:rStyle w:val="a9"/>
                <w:rFonts w:ascii="楷体" w:eastAsia="楷体" w:hAnsi="楷体"/>
                <w:b/>
                <w:noProof/>
              </w:rPr>
              <w:t>锌：宏观利多基本面偏空，锌价上下震荡</w:t>
            </w:r>
          </w:hyperlink>
        </w:p>
        <w:p w:rsidR="007C7B84" w:rsidRDefault="007C7B84">
          <w:pPr>
            <w:pStyle w:val="23"/>
            <w:tabs>
              <w:tab w:val="right" w:leader="dot" w:pos="8296"/>
            </w:tabs>
            <w:rPr>
              <w:rFonts w:eastAsiaTheme="minorEastAsia"/>
              <w:noProof/>
              <w:szCs w:val="22"/>
            </w:rPr>
          </w:pPr>
          <w:hyperlink w:anchor="_Toc140830972" w:history="1">
            <w:r w:rsidRPr="00377C10">
              <w:rPr>
                <w:rStyle w:val="a9"/>
                <w:rFonts w:ascii="楷体" w:eastAsia="楷体" w:hAnsi="楷体"/>
                <w:b/>
                <w:noProof/>
              </w:rPr>
              <w:t>镍：低库存仍支撑价格维持区间震荡</w:t>
            </w:r>
          </w:hyperlink>
        </w:p>
        <w:p w:rsidR="007C7B84" w:rsidRDefault="007C7B84">
          <w:pPr>
            <w:pStyle w:val="23"/>
            <w:tabs>
              <w:tab w:val="right" w:leader="dot" w:pos="8296"/>
            </w:tabs>
            <w:rPr>
              <w:rFonts w:eastAsiaTheme="minorEastAsia"/>
              <w:noProof/>
              <w:szCs w:val="22"/>
            </w:rPr>
          </w:pPr>
          <w:hyperlink w:anchor="_Toc140830973" w:history="1">
            <w:r w:rsidRPr="00377C10">
              <w:rPr>
                <w:rStyle w:val="a9"/>
                <w:rFonts w:ascii="楷体" w:eastAsia="楷体" w:hAnsi="楷体"/>
                <w:b/>
                <w:noProof/>
              </w:rPr>
              <w:t>铅：成本侧支撑，震荡偏强运行</w:t>
            </w:r>
          </w:hyperlink>
        </w:p>
        <w:p w:rsidR="007C7B84" w:rsidRDefault="007C7B84">
          <w:pPr>
            <w:pStyle w:val="23"/>
            <w:tabs>
              <w:tab w:val="right" w:leader="dot" w:pos="8296"/>
            </w:tabs>
            <w:rPr>
              <w:rFonts w:eastAsiaTheme="minorEastAsia"/>
              <w:noProof/>
              <w:szCs w:val="22"/>
            </w:rPr>
          </w:pPr>
          <w:hyperlink w:anchor="_Toc140830974" w:history="1">
            <w:r w:rsidRPr="00377C10">
              <w:rPr>
                <w:rStyle w:val="a9"/>
                <w:rFonts w:ascii="楷体" w:eastAsia="楷体" w:hAnsi="楷体"/>
                <w:b/>
                <w:noProof/>
              </w:rPr>
              <w:t>不锈钢：收储消息提振不锈钢价</w:t>
            </w:r>
          </w:hyperlink>
        </w:p>
        <w:p w:rsidR="007C7B84" w:rsidRDefault="007C7B84">
          <w:pPr>
            <w:pStyle w:val="23"/>
            <w:tabs>
              <w:tab w:val="right" w:leader="dot" w:pos="8296"/>
            </w:tabs>
            <w:rPr>
              <w:rFonts w:eastAsiaTheme="minorEastAsia"/>
              <w:noProof/>
              <w:szCs w:val="22"/>
            </w:rPr>
          </w:pPr>
          <w:hyperlink w:anchor="_Toc140830975" w:history="1">
            <w:r w:rsidRPr="00377C10">
              <w:rPr>
                <w:rStyle w:val="a9"/>
                <w:rFonts w:ascii="楷体" w:eastAsia="楷体" w:hAnsi="楷体"/>
                <w:b/>
                <w:noProof/>
              </w:rPr>
              <w:t>工业硅：实际需求维持偏弱，反弹空间或有限</w:t>
            </w:r>
          </w:hyperlink>
        </w:p>
        <w:p w:rsidR="007C7B84" w:rsidRDefault="007C7B84">
          <w:pPr>
            <w:pStyle w:val="11"/>
            <w:tabs>
              <w:tab w:val="right" w:leader="dot" w:pos="8296"/>
            </w:tabs>
            <w:rPr>
              <w:rFonts w:eastAsiaTheme="minorEastAsia"/>
              <w:noProof/>
              <w:szCs w:val="22"/>
            </w:rPr>
          </w:pPr>
          <w:hyperlink w:anchor="_Toc140830976" w:history="1">
            <w:r w:rsidRPr="00377C10">
              <w:rPr>
                <w:rStyle w:val="a9"/>
                <w:rFonts w:ascii="Times New Roman" w:eastAsia="楷体" w:hAnsi="Times New Roman"/>
                <w:b/>
                <w:noProof/>
              </w:rPr>
              <w:t>[</w:t>
            </w:r>
            <w:r w:rsidRPr="00377C10">
              <w:rPr>
                <w:rStyle w:val="a9"/>
                <w:rFonts w:ascii="Times New Roman" w:eastAsia="楷体" w:hAnsi="Times New Roman"/>
                <w:b/>
                <w:noProof/>
              </w:rPr>
              <w:t>化工</w:t>
            </w:r>
            <w:r w:rsidRPr="00377C10">
              <w:rPr>
                <w:rStyle w:val="a9"/>
                <w:rFonts w:ascii="Times New Roman" w:eastAsia="楷体" w:hAnsi="Times New Roman"/>
                <w:b/>
                <w:noProof/>
              </w:rPr>
              <w:t>]</w:t>
            </w:r>
          </w:hyperlink>
        </w:p>
        <w:p w:rsidR="007C7B84" w:rsidRDefault="007C7B84">
          <w:pPr>
            <w:pStyle w:val="23"/>
            <w:tabs>
              <w:tab w:val="right" w:leader="dot" w:pos="8296"/>
            </w:tabs>
            <w:rPr>
              <w:rFonts w:eastAsiaTheme="minorEastAsia"/>
              <w:noProof/>
              <w:szCs w:val="22"/>
            </w:rPr>
          </w:pPr>
          <w:hyperlink w:anchor="_Toc140830977" w:history="1">
            <w:r w:rsidRPr="00377C10">
              <w:rPr>
                <w:rStyle w:val="a9"/>
                <w:rFonts w:ascii="Times New Roman" w:eastAsia="楷体" w:hAnsi="Times New Roman"/>
                <w:b/>
                <w:noProof/>
              </w:rPr>
              <w:t>天然橡胶</w:t>
            </w:r>
            <w:r w:rsidRPr="00377C10">
              <w:rPr>
                <w:rStyle w:val="a9"/>
                <w:rFonts w:ascii="Times New Roman" w:eastAsia="楷体" w:hAnsi="Times New Roman"/>
                <w:b/>
                <w:noProof/>
              </w:rPr>
              <w:t>:</w:t>
            </w:r>
            <w:r w:rsidRPr="00377C10">
              <w:rPr>
                <w:rStyle w:val="a9"/>
                <w:rFonts w:ascii="楷体" w:eastAsia="楷体" w:hAnsi="楷体"/>
                <w:b/>
                <w:noProof/>
              </w:rPr>
              <w:t xml:space="preserve"> 基本面偏弱 短期RU仍有小幅回落预期</w:t>
            </w:r>
          </w:hyperlink>
        </w:p>
        <w:p w:rsidR="007C7B84" w:rsidRDefault="007C7B84">
          <w:pPr>
            <w:pStyle w:val="23"/>
            <w:tabs>
              <w:tab w:val="right" w:leader="dot" w:pos="8296"/>
            </w:tabs>
            <w:rPr>
              <w:rFonts w:eastAsiaTheme="minorEastAsia"/>
              <w:noProof/>
              <w:szCs w:val="22"/>
            </w:rPr>
          </w:pPr>
          <w:hyperlink w:anchor="_Toc140830978" w:history="1">
            <w:r w:rsidRPr="00377C10">
              <w:rPr>
                <w:rStyle w:val="a9"/>
                <w:rFonts w:ascii="楷体" w:eastAsia="楷体" w:hAnsi="楷体"/>
                <w:b/>
                <w:noProof/>
              </w:rPr>
              <w:t>PTA：驱动接近尾声 关注09上方压力位</w:t>
            </w:r>
          </w:hyperlink>
        </w:p>
        <w:p w:rsidR="007C7B84" w:rsidRDefault="007C7B84">
          <w:pPr>
            <w:pStyle w:val="23"/>
            <w:tabs>
              <w:tab w:val="right" w:leader="dot" w:pos="8296"/>
            </w:tabs>
            <w:rPr>
              <w:rFonts w:eastAsiaTheme="minorEastAsia"/>
              <w:noProof/>
              <w:szCs w:val="22"/>
            </w:rPr>
          </w:pPr>
          <w:hyperlink w:anchor="_Toc140830979" w:history="1">
            <w:r w:rsidRPr="00377C10">
              <w:rPr>
                <w:rStyle w:val="a9"/>
                <w:rFonts w:ascii="楷体" w:eastAsia="楷体" w:hAnsi="楷体"/>
                <w:b/>
                <w:noProof/>
              </w:rPr>
              <w:t>PVC：高库存+弱复苏 驱动不足</w:t>
            </w:r>
          </w:hyperlink>
        </w:p>
        <w:p w:rsidR="007C7B84" w:rsidRDefault="007C7B84">
          <w:pPr>
            <w:pStyle w:val="23"/>
            <w:tabs>
              <w:tab w:val="right" w:leader="dot" w:pos="8296"/>
            </w:tabs>
            <w:rPr>
              <w:rFonts w:eastAsiaTheme="minorEastAsia"/>
              <w:noProof/>
              <w:szCs w:val="22"/>
            </w:rPr>
          </w:pPr>
          <w:hyperlink w:anchor="_Toc140830980" w:history="1">
            <w:r w:rsidRPr="00377C10">
              <w:rPr>
                <w:rStyle w:val="a9"/>
                <w:rFonts w:ascii="楷体" w:eastAsia="楷体" w:hAnsi="楷体"/>
                <w:b/>
                <w:noProof/>
              </w:rPr>
              <w:t>聚烯烃：终端订单跟进有限，聚烯烃或震荡整理为主</w:t>
            </w:r>
          </w:hyperlink>
        </w:p>
        <w:p w:rsidR="007C7B84" w:rsidRDefault="007C7B84">
          <w:pPr>
            <w:pStyle w:val="23"/>
            <w:tabs>
              <w:tab w:val="right" w:leader="dot" w:pos="8296"/>
            </w:tabs>
            <w:rPr>
              <w:rFonts w:eastAsiaTheme="minorEastAsia"/>
              <w:noProof/>
              <w:szCs w:val="22"/>
            </w:rPr>
          </w:pPr>
          <w:hyperlink w:anchor="_Toc140830981" w:history="1">
            <w:r w:rsidRPr="00377C10">
              <w:rPr>
                <w:rStyle w:val="a9"/>
                <w:rFonts w:ascii="楷体" w:eastAsia="楷体" w:hAnsi="楷体"/>
                <w:b/>
                <w:noProof/>
              </w:rPr>
              <w:t>MEG：成本端提振 短期仍有支撑</w:t>
            </w:r>
          </w:hyperlink>
        </w:p>
        <w:p w:rsidR="007C7B84" w:rsidRDefault="007C7B84">
          <w:pPr>
            <w:pStyle w:val="23"/>
            <w:tabs>
              <w:tab w:val="right" w:leader="dot" w:pos="8296"/>
            </w:tabs>
            <w:rPr>
              <w:rFonts w:eastAsiaTheme="minorEastAsia"/>
              <w:noProof/>
              <w:szCs w:val="22"/>
            </w:rPr>
          </w:pPr>
          <w:hyperlink w:anchor="_Toc140830982" w:history="1">
            <w:r w:rsidRPr="00377C10">
              <w:rPr>
                <w:rStyle w:val="a9"/>
                <w:rFonts w:ascii="楷体" w:eastAsia="楷体" w:hAnsi="楷体"/>
                <w:b/>
                <w:noProof/>
              </w:rPr>
              <w:t>玻璃：周内去库，产销小幅回落</w:t>
            </w:r>
          </w:hyperlink>
        </w:p>
        <w:p w:rsidR="007C7B84" w:rsidRDefault="007C7B84">
          <w:pPr>
            <w:pStyle w:val="23"/>
            <w:tabs>
              <w:tab w:val="right" w:leader="dot" w:pos="8296"/>
            </w:tabs>
            <w:rPr>
              <w:rFonts w:eastAsiaTheme="minorEastAsia"/>
              <w:noProof/>
              <w:szCs w:val="22"/>
            </w:rPr>
          </w:pPr>
          <w:hyperlink w:anchor="_Toc140830983" w:history="1">
            <w:r w:rsidRPr="00377C10">
              <w:rPr>
                <w:rStyle w:val="a9"/>
                <w:rFonts w:ascii="楷体" w:eastAsia="楷体" w:hAnsi="楷体"/>
                <w:b/>
                <w:noProof/>
              </w:rPr>
              <w:t>纯碱：库存回到历史低位，盘面出现逼仓行情</w:t>
            </w:r>
          </w:hyperlink>
        </w:p>
        <w:p w:rsidR="007C7B84" w:rsidRDefault="007C7B84">
          <w:pPr>
            <w:pStyle w:val="11"/>
            <w:tabs>
              <w:tab w:val="right" w:leader="dot" w:pos="8296"/>
            </w:tabs>
            <w:rPr>
              <w:rFonts w:eastAsiaTheme="minorEastAsia"/>
              <w:noProof/>
              <w:szCs w:val="22"/>
            </w:rPr>
          </w:pPr>
          <w:hyperlink w:anchor="_Toc140830984" w:history="1">
            <w:r w:rsidRPr="00377C10">
              <w:rPr>
                <w:rStyle w:val="a9"/>
                <w:rFonts w:ascii="Times New Roman" w:eastAsia="楷体" w:hAnsi="Times New Roman"/>
                <w:b/>
                <w:noProof/>
              </w:rPr>
              <w:t>[</w:t>
            </w:r>
            <w:r w:rsidRPr="00377C10">
              <w:rPr>
                <w:rStyle w:val="a9"/>
                <w:rFonts w:ascii="Times New Roman" w:eastAsia="楷体" w:hAnsi="Times New Roman"/>
                <w:b/>
                <w:noProof/>
              </w:rPr>
              <w:t>农产品</w:t>
            </w:r>
            <w:r w:rsidRPr="00377C10">
              <w:rPr>
                <w:rStyle w:val="a9"/>
                <w:rFonts w:ascii="Times New Roman" w:eastAsia="楷体" w:hAnsi="Times New Roman"/>
                <w:b/>
                <w:noProof/>
              </w:rPr>
              <w:t>]</w:t>
            </w:r>
          </w:hyperlink>
        </w:p>
        <w:p w:rsidR="007C7B84" w:rsidRDefault="007C7B84">
          <w:pPr>
            <w:pStyle w:val="23"/>
            <w:tabs>
              <w:tab w:val="right" w:leader="dot" w:pos="8296"/>
            </w:tabs>
            <w:rPr>
              <w:rFonts w:eastAsiaTheme="minorEastAsia"/>
              <w:noProof/>
              <w:szCs w:val="22"/>
            </w:rPr>
          </w:pPr>
          <w:hyperlink w:anchor="_Toc140830985" w:history="1">
            <w:r w:rsidRPr="00377C10">
              <w:rPr>
                <w:rStyle w:val="a9"/>
                <w:rFonts w:ascii="楷体" w:eastAsia="楷体" w:hAnsi="楷体"/>
                <w:b/>
                <w:noProof/>
              </w:rPr>
              <w:t>豆粕/菜粕：短期维持高位震荡，谨慎追多</w:t>
            </w:r>
          </w:hyperlink>
        </w:p>
        <w:p w:rsidR="007C7B84" w:rsidRDefault="007C7B84">
          <w:pPr>
            <w:pStyle w:val="23"/>
            <w:tabs>
              <w:tab w:val="right" w:leader="dot" w:pos="8296"/>
            </w:tabs>
            <w:rPr>
              <w:rFonts w:eastAsiaTheme="minorEastAsia"/>
              <w:noProof/>
              <w:szCs w:val="22"/>
            </w:rPr>
          </w:pPr>
          <w:hyperlink w:anchor="_Toc140830986" w:history="1">
            <w:r w:rsidRPr="00377C10">
              <w:rPr>
                <w:rStyle w:val="a9"/>
                <w:rFonts w:ascii="楷体" w:eastAsia="楷体" w:hAnsi="楷体"/>
                <w:b/>
                <w:noProof/>
              </w:rPr>
              <w:t>油脂：延续偏强趋势</w:t>
            </w:r>
          </w:hyperlink>
        </w:p>
        <w:p w:rsidR="007C7B84" w:rsidRDefault="007C7B84">
          <w:pPr>
            <w:pStyle w:val="23"/>
            <w:tabs>
              <w:tab w:val="right" w:leader="dot" w:pos="8296"/>
            </w:tabs>
            <w:rPr>
              <w:rFonts w:eastAsiaTheme="minorEastAsia"/>
              <w:noProof/>
              <w:szCs w:val="22"/>
            </w:rPr>
          </w:pPr>
          <w:hyperlink w:anchor="_Toc140830987" w:history="1">
            <w:r w:rsidRPr="00377C10">
              <w:rPr>
                <w:rStyle w:val="a9"/>
                <w:rFonts w:ascii="楷体" w:eastAsia="楷体" w:hAnsi="楷体"/>
                <w:b/>
                <w:bCs/>
                <w:noProof/>
              </w:rPr>
              <w:t>玉米与淀粉：</w:t>
            </w:r>
            <w:r w:rsidRPr="00377C10">
              <w:rPr>
                <w:rStyle w:val="a9"/>
                <w:rFonts w:ascii="楷体" w:eastAsia="楷体" w:hAnsi="楷体"/>
                <w:b/>
                <w:noProof/>
              </w:rPr>
              <w:t>夜盘期价再度回落调整</w:t>
            </w:r>
          </w:hyperlink>
        </w:p>
        <w:p w:rsidR="007C7B84" w:rsidRDefault="007C7B84">
          <w:pPr>
            <w:pStyle w:val="23"/>
            <w:tabs>
              <w:tab w:val="right" w:leader="dot" w:pos="8296"/>
            </w:tabs>
            <w:rPr>
              <w:rFonts w:eastAsiaTheme="minorEastAsia"/>
              <w:noProof/>
              <w:szCs w:val="22"/>
            </w:rPr>
          </w:pPr>
          <w:hyperlink w:anchor="_Toc140830988" w:history="1">
            <w:r w:rsidRPr="00377C10">
              <w:rPr>
                <w:rStyle w:val="a9"/>
                <w:rFonts w:ascii="楷体" w:eastAsia="楷体" w:hAnsi="楷体"/>
                <w:b/>
                <w:bCs/>
                <w:noProof/>
              </w:rPr>
              <w:t>畜禽养殖：鸡蛋基差持续走强</w:t>
            </w:r>
          </w:hyperlink>
        </w:p>
        <w:p w:rsidR="007C7B84" w:rsidRDefault="007C7B84">
          <w:pPr>
            <w:pStyle w:val="23"/>
            <w:tabs>
              <w:tab w:val="right" w:leader="dot" w:pos="8296"/>
            </w:tabs>
            <w:rPr>
              <w:rFonts w:eastAsiaTheme="minorEastAsia"/>
              <w:noProof/>
              <w:szCs w:val="22"/>
            </w:rPr>
          </w:pPr>
          <w:hyperlink w:anchor="_Toc140830989" w:history="1">
            <w:r w:rsidRPr="00377C10">
              <w:rPr>
                <w:rStyle w:val="a9"/>
                <w:rFonts w:ascii="楷体" w:eastAsia="楷体" w:hAnsi="楷体"/>
                <w:b/>
                <w:noProof/>
              </w:rPr>
              <w:t>郑棉：09看跌期权卖权持有或观望</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lastRenderedPageBreak/>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083096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0830961"/>
      <w:bookmarkEnd w:id="4"/>
      <w:r>
        <w:rPr>
          <w:rFonts w:ascii="Times New Roman" w:eastAsia="楷体" w:hAnsi="Times New Roman" w:hint="eastAsia"/>
          <w:b/>
          <w:color w:val="000000" w:themeColor="text1"/>
          <w:sz w:val="24"/>
          <w:szCs w:val="24"/>
        </w:rPr>
        <w:t>股指：</w:t>
      </w:r>
      <w:bookmarkEnd w:id="6"/>
      <w:bookmarkEnd w:id="7"/>
      <w:r w:rsidR="00F50569" w:rsidRPr="00F50569">
        <w:rPr>
          <w:rFonts w:ascii="Times New Roman" w:eastAsia="楷体" w:hAnsi="Times New Roman" w:hint="eastAsia"/>
          <w:b/>
          <w:color w:val="000000" w:themeColor="text1"/>
          <w:sz w:val="24"/>
          <w:szCs w:val="24"/>
        </w:rPr>
        <w:t>有仓位者轻仓持有观望，待企稳后低多</w:t>
      </w:r>
      <w:bookmarkEnd w:id="8"/>
    </w:p>
    <w:p w:rsidR="003F56A5" w:rsidRDefault="00F50569" w:rsidP="00D14B3E">
      <w:pPr>
        <w:ind w:leftChars="300" w:left="630"/>
        <w:rPr>
          <w:rFonts w:ascii="Times New Roman" w:eastAsia="楷体" w:hAnsi="Times New Roman"/>
          <w:color w:val="000000" w:themeColor="text1"/>
          <w:sz w:val="24"/>
          <w:szCs w:val="24"/>
        </w:rPr>
      </w:pPr>
      <w:r w:rsidRPr="00F50569">
        <w:rPr>
          <w:rFonts w:ascii="Times New Roman" w:eastAsia="楷体" w:hAnsi="Times New Roman" w:hint="eastAsia"/>
          <w:color w:val="000000" w:themeColor="text1"/>
          <w:sz w:val="24"/>
          <w:szCs w:val="24"/>
        </w:rPr>
        <w:t>近期经济数据与政策预期的博弈使短线市场仍难以形成一致性预期方向，市场对于利好政策钝化，股商走势分化，机构期货套保单增多，资金对未来信心偏弱，但当前位置市场机会大于风险，有仓位者轻仓持有观望，待企稳后低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083096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0830963"/>
      <w:r>
        <w:rPr>
          <w:rFonts w:ascii="Times New Roman" w:eastAsia="楷体" w:hAnsi="Times New Roman" w:hint="eastAsia"/>
          <w:b/>
          <w:color w:val="000000" w:themeColor="text1"/>
          <w:sz w:val="24"/>
          <w:szCs w:val="24"/>
        </w:rPr>
        <w:t>贵金属：</w:t>
      </w:r>
      <w:r w:rsidR="00F50569" w:rsidRPr="00F50569">
        <w:rPr>
          <w:rFonts w:ascii="Times New Roman" w:eastAsia="楷体" w:hAnsi="Times New Roman" w:hint="eastAsia"/>
          <w:b/>
          <w:color w:val="000000" w:themeColor="text1"/>
          <w:sz w:val="24"/>
          <w:szCs w:val="24"/>
        </w:rPr>
        <w:t>美国初请失业金人数低于预期，贵金属价格回落</w:t>
      </w:r>
      <w:bookmarkEnd w:id="10"/>
    </w:p>
    <w:p w:rsidR="003F56A5" w:rsidRDefault="00F50569">
      <w:pPr>
        <w:ind w:leftChars="300" w:left="630"/>
        <w:rPr>
          <w:rFonts w:ascii="Times New Roman" w:eastAsia="楷体" w:hAnsi="Times New Roman"/>
          <w:sz w:val="24"/>
          <w:szCs w:val="24"/>
        </w:rPr>
      </w:pPr>
      <w:r w:rsidRPr="00F50569">
        <w:rPr>
          <w:rFonts w:ascii="Times New Roman" w:eastAsia="楷体" w:hAnsi="Times New Roman" w:hint="eastAsia"/>
          <w:color w:val="000000" w:themeColor="text1"/>
          <w:sz w:val="24"/>
          <w:szCs w:val="24"/>
        </w:rPr>
        <w:t>美联储将于下周开启</w:t>
      </w:r>
      <w:r w:rsidRPr="00F50569">
        <w:rPr>
          <w:rFonts w:ascii="Times New Roman" w:eastAsia="楷体" w:hAnsi="Times New Roman" w:hint="eastAsia"/>
          <w:color w:val="000000" w:themeColor="text1"/>
          <w:sz w:val="24"/>
          <w:szCs w:val="24"/>
        </w:rPr>
        <w:t>7</w:t>
      </w:r>
      <w:r w:rsidRPr="00F50569">
        <w:rPr>
          <w:rFonts w:ascii="Times New Roman" w:eastAsia="楷体" w:hAnsi="Times New Roman" w:hint="eastAsia"/>
          <w:color w:val="000000" w:themeColor="text1"/>
          <w:sz w:val="24"/>
          <w:szCs w:val="24"/>
        </w:rPr>
        <w:t>月议息会议，市场预计</w:t>
      </w:r>
      <w:r w:rsidRPr="00F50569">
        <w:rPr>
          <w:rFonts w:ascii="Times New Roman" w:eastAsia="楷体" w:hAnsi="Times New Roman" w:hint="eastAsia"/>
          <w:color w:val="000000" w:themeColor="text1"/>
          <w:sz w:val="24"/>
          <w:szCs w:val="24"/>
        </w:rPr>
        <w:t>7</w:t>
      </w:r>
      <w:r w:rsidRPr="00F50569">
        <w:rPr>
          <w:rFonts w:ascii="Times New Roman" w:eastAsia="楷体" w:hAnsi="Times New Roman" w:hint="eastAsia"/>
          <w:color w:val="000000" w:themeColor="text1"/>
          <w:sz w:val="24"/>
          <w:szCs w:val="24"/>
        </w:rPr>
        <w:t>月或为本轮紧缩周期最后一次加息，明年二季度后有望降息。美国上周初请失业金人数为</w:t>
      </w:r>
      <w:r w:rsidRPr="00F50569">
        <w:rPr>
          <w:rFonts w:ascii="Times New Roman" w:eastAsia="楷体" w:hAnsi="Times New Roman" w:hint="eastAsia"/>
          <w:color w:val="000000" w:themeColor="text1"/>
          <w:sz w:val="24"/>
          <w:szCs w:val="24"/>
        </w:rPr>
        <w:t>22.8</w:t>
      </w:r>
      <w:r w:rsidRPr="00F50569">
        <w:rPr>
          <w:rFonts w:ascii="Times New Roman" w:eastAsia="楷体" w:hAnsi="Times New Roman" w:hint="eastAsia"/>
          <w:color w:val="000000" w:themeColor="text1"/>
          <w:sz w:val="24"/>
          <w:szCs w:val="24"/>
        </w:rPr>
        <w:t>万人，创近</w:t>
      </w:r>
      <w:r w:rsidRPr="00F50569">
        <w:rPr>
          <w:rFonts w:ascii="Times New Roman" w:eastAsia="楷体" w:hAnsi="Times New Roman" w:hint="eastAsia"/>
          <w:color w:val="000000" w:themeColor="text1"/>
          <w:sz w:val="24"/>
          <w:szCs w:val="24"/>
        </w:rPr>
        <w:t>2</w:t>
      </w:r>
      <w:r w:rsidRPr="00F50569">
        <w:rPr>
          <w:rFonts w:ascii="Times New Roman" w:eastAsia="楷体" w:hAnsi="Times New Roman" w:hint="eastAsia"/>
          <w:color w:val="000000" w:themeColor="text1"/>
          <w:sz w:val="24"/>
          <w:szCs w:val="24"/>
        </w:rPr>
        <w:t>个月来新低，低于此前预期；截止</w:t>
      </w:r>
      <w:r w:rsidRPr="00F50569">
        <w:rPr>
          <w:rFonts w:ascii="Times New Roman" w:eastAsia="楷体" w:hAnsi="Times New Roman" w:hint="eastAsia"/>
          <w:color w:val="000000" w:themeColor="text1"/>
          <w:sz w:val="24"/>
          <w:szCs w:val="24"/>
        </w:rPr>
        <w:t>7</w:t>
      </w:r>
      <w:r w:rsidRPr="00F50569">
        <w:rPr>
          <w:rFonts w:ascii="Times New Roman" w:eastAsia="楷体" w:hAnsi="Times New Roman" w:hint="eastAsia"/>
          <w:color w:val="000000" w:themeColor="text1"/>
          <w:sz w:val="24"/>
          <w:szCs w:val="24"/>
        </w:rPr>
        <w:t>月</w:t>
      </w:r>
      <w:r w:rsidRPr="00F50569">
        <w:rPr>
          <w:rFonts w:ascii="Times New Roman" w:eastAsia="楷体" w:hAnsi="Times New Roman" w:hint="eastAsia"/>
          <w:color w:val="000000" w:themeColor="text1"/>
          <w:sz w:val="24"/>
          <w:szCs w:val="24"/>
        </w:rPr>
        <w:t>8</w:t>
      </w:r>
      <w:r w:rsidRPr="00F50569">
        <w:rPr>
          <w:rFonts w:ascii="Times New Roman" w:eastAsia="楷体" w:hAnsi="Times New Roman" w:hint="eastAsia"/>
          <w:color w:val="000000" w:themeColor="text1"/>
          <w:sz w:val="24"/>
          <w:szCs w:val="24"/>
        </w:rPr>
        <w:t>日当周续请失业金人数</w:t>
      </w:r>
      <w:r w:rsidRPr="00F50569">
        <w:rPr>
          <w:rFonts w:ascii="Times New Roman" w:eastAsia="楷体" w:hAnsi="Times New Roman" w:hint="eastAsia"/>
          <w:color w:val="000000" w:themeColor="text1"/>
          <w:sz w:val="24"/>
          <w:szCs w:val="24"/>
        </w:rPr>
        <w:t>175.4</w:t>
      </w:r>
      <w:r w:rsidRPr="00F50569">
        <w:rPr>
          <w:rFonts w:ascii="Times New Roman" w:eastAsia="楷体" w:hAnsi="Times New Roman" w:hint="eastAsia"/>
          <w:color w:val="000000" w:themeColor="text1"/>
          <w:sz w:val="24"/>
          <w:szCs w:val="24"/>
        </w:rPr>
        <w:t>万人，略高于此前预期，前值小幅下修。因高频就业数据显示美国就业相对向好，沪金昨夜小幅低开，沪银大幅下挫。近期海外市场利率预期反复修正，贵金属价格或维持区间震荡</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083096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0830965"/>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Pr="00F50569">
        <w:rPr>
          <w:rFonts w:ascii="楷体" w:eastAsia="楷体" w:hAnsi="楷体" w:hint="eastAsia"/>
          <w:b/>
          <w:color w:val="000000" w:themeColor="text1"/>
          <w:sz w:val="24"/>
          <w:szCs w:val="24"/>
        </w:rPr>
        <w:t>期货正式上市，锂价或扩大跌幅</w:t>
      </w:r>
      <w:bookmarkEnd w:id="18"/>
    </w:p>
    <w:p w:rsidR="00F50569" w:rsidRDefault="00F50569" w:rsidP="00F50569">
      <w:pPr>
        <w:ind w:leftChars="300" w:left="630"/>
        <w:rPr>
          <w:rFonts w:ascii="楷体" w:eastAsia="楷体" w:hAnsi="楷体"/>
          <w:color w:val="000000" w:themeColor="text1"/>
          <w:sz w:val="24"/>
          <w:szCs w:val="24"/>
        </w:rPr>
      </w:pPr>
      <w:r w:rsidRPr="00F50569">
        <w:rPr>
          <w:rFonts w:ascii="楷体" w:eastAsia="楷体" w:hAnsi="楷体" w:hint="eastAsia"/>
          <w:color w:val="000000" w:themeColor="text1"/>
          <w:sz w:val="24"/>
          <w:szCs w:val="24"/>
        </w:rPr>
        <w:t>碳酸锂期货将于今日正式上市交易，首批上市交易合约挂牌基准价均为24.60万元/吨。上市首日，碳酸锂期货合约交易保证金水平为合约价值的9%，涨跌停板幅度为挂牌基准价的±14%。电池级碳酸锂现货价连跌7日，当前暂报293500元/吨。挂牌基准价低于当前现货价，一定程度上反映了下半年碳酸锂供应增速相对更大，产业内部相对看空的价格预期。碳酸锂上市首日，在市场资金博弈下存在高开的概率，但相对于部分产能而言盘面仍有一定的利润空间，因此建议以逢高做空为主，锂价或扩大跌幅。碳酸锂生产企业可尝试进行卖出套保策略，锁定当前生产利润，规避未来锂价持续走弱风险。考虑到远月合约流动性，且由于标准仓单每年3月、7月、11月最后一个交易日注销，可考虑多近月（LC2401）、空远月（LC2403）的跨期套利策略</w:t>
      </w:r>
      <w:r>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0830966"/>
      <w:r>
        <w:rPr>
          <w:rFonts w:ascii="楷体" w:eastAsia="楷体" w:hAnsi="楷体" w:hint="eastAsia"/>
          <w:b/>
          <w:color w:val="000000" w:themeColor="text1"/>
          <w:sz w:val="24"/>
          <w:szCs w:val="24"/>
        </w:rPr>
        <w:t>螺纹钢：</w:t>
      </w:r>
      <w:bookmarkEnd w:id="16"/>
      <w:bookmarkEnd w:id="17"/>
      <w:r w:rsidR="00F50569" w:rsidRPr="00F50569">
        <w:rPr>
          <w:rFonts w:ascii="楷体" w:eastAsia="楷体" w:hAnsi="楷体" w:hint="eastAsia"/>
          <w:b/>
          <w:color w:val="000000" w:themeColor="text1"/>
          <w:sz w:val="24"/>
          <w:szCs w:val="24"/>
        </w:rPr>
        <w:t>需求较难与情绪共振，或继续偏强震荡</w:t>
      </w:r>
      <w:bookmarkEnd w:id="19"/>
    </w:p>
    <w:p w:rsidR="003F56A5" w:rsidRDefault="00F50569" w:rsidP="00201944">
      <w:pPr>
        <w:ind w:leftChars="300" w:left="630"/>
        <w:rPr>
          <w:rFonts w:ascii="楷体" w:eastAsia="楷体" w:hAnsi="楷体"/>
          <w:color w:val="000000" w:themeColor="text1"/>
          <w:sz w:val="24"/>
          <w:szCs w:val="24"/>
        </w:rPr>
      </w:pPr>
      <w:r w:rsidRPr="00F50569">
        <w:rPr>
          <w:rFonts w:ascii="楷体" w:eastAsia="楷体" w:hAnsi="楷体" w:hint="eastAsia"/>
          <w:color w:val="000000" w:themeColor="text1"/>
          <w:sz w:val="24"/>
          <w:szCs w:val="24"/>
        </w:rPr>
        <w:t>煤价强势推动成本端的强支撑，国内内需政策的刺激、中美关系的缓和成为宏观的主要驱动，但现货端依旧相对谨慎，盘面技术性突破后开始回落，加速上行或仍需酝酿，预计价格短期或继续震荡偏强，预计运行区间（3730,3820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0830967"/>
      <w:r>
        <w:rPr>
          <w:rFonts w:ascii="楷体" w:eastAsia="楷体" w:hAnsi="楷体" w:hint="eastAsia"/>
          <w:b/>
          <w:color w:val="000000" w:themeColor="text1"/>
          <w:sz w:val="24"/>
          <w:szCs w:val="24"/>
        </w:rPr>
        <w:t>焦炭：</w:t>
      </w:r>
      <w:bookmarkEnd w:id="20"/>
      <w:bookmarkEnd w:id="21"/>
      <w:r w:rsidR="00F50569" w:rsidRPr="00F50569">
        <w:rPr>
          <w:rFonts w:ascii="楷体" w:eastAsia="楷体" w:hAnsi="楷体" w:hint="eastAsia"/>
          <w:b/>
          <w:color w:val="000000" w:themeColor="text1"/>
          <w:sz w:val="24"/>
          <w:szCs w:val="24"/>
        </w:rPr>
        <w:t>港口现货大涨，震荡等待第三轮博弈</w:t>
      </w:r>
      <w:bookmarkEnd w:id="22"/>
    </w:p>
    <w:p w:rsidR="003F56A5" w:rsidRDefault="00F50569" w:rsidP="00572E35">
      <w:pPr>
        <w:ind w:leftChars="300" w:left="630"/>
        <w:rPr>
          <w:rFonts w:ascii="楷体" w:eastAsia="楷体" w:hAnsi="楷体"/>
          <w:color w:val="000000" w:themeColor="text1"/>
          <w:sz w:val="24"/>
          <w:szCs w:val="24"/>
        </w:rPr>
      </w:pPr>
      <w:r w:rsidRPr="00F50569">
        <w:rPr>
          <w:rFonts w:ascii="楷体" w:eastAsia="楷体" w:hAnsi="楷体" w:hint="eastAsia"/>
          <w:color w:val="000000" w:themeColor="text1"/>
          <w:sz w:val="24"/>
          <w:szCs w:val="24"/>
        </w:rPr>
        <w:t>期货带动现货价格大幅度上涨，第二轮提涨落地，第三轮提涨加速提出，</w:t>
      </w:r>
      <w:r w:rsidRPr="00F50569">
        <w:rPr>
          <w:rFonts w:ascii="楷体" w:eastAsia="楷体" w:hAnsi="楷体" w:hint="eastAsia"/>
          <w:color w:val="000000" w:themeColor="text1"/>
          <w:sz w:val="24"/>
          <w:szCs w:val="24"/>
        </w:rPr>
        <w:lastRenderedPageBreak/>
        <w:t>煤价带动焦炭价格大幅度上行，预计短期焦炭价格或偏强运行，震荡区间（2260，2330）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0830968"/>
      <w:r>
        <w:rPr>
          <w:rFonts w:ascii="楷体" w:eastAsia="楷体" w:hAnsi="楷体" w:hint="eastAsia"/>
          <w:b/>
          <w:color w:val="000000" w:themeColor="text1"/>
          <w:sz w:val="24"/>
          <w:szCs w:val="24"/>
        </w:rPr>
        <w:t>焦煤：</w:t>
      </w:r>
      <w:r w:rsidR="00F50569" w:rsidRPr="00F50569">
        <w:rPr>
          <w:rFonts w:ascii="楷体" w:eastAsia="楷体" w:hAnsi="楷体" w:hint="eastAsia"/>
          <w:b/>
          <w:sz w:val="24"/>
          <w:szCs w:val="24"/>
        </w:rPr>
        <w:t>煤价继续强势运行，09合约加速冲顶</w:t>
      </w:r>
      <w:bookmarkEnd w:id="23"/>
    </w:p>
    <w:p w:rsidR="003F56A5" w:rsidRDefault="00F50569">
      <w:pPr>
        <w:ind w:leftChars="300" w:left="630"/>
        <w:rPr>
          <w:rFonts w:ascii="楷体" w:eastAsia="楷体" w:hAnsi="楷体"/>
          <w:bCs/>
          <w:sz w:val="24"/>
          <w:szCs w:val="24"/>
        </w:rPr>
      </w:pPr>
      <w:r w:rsidRPr="00F50569">
        <w:rPr>
          <w:rFonts w:ascii="楷体" w:eastAsia="楷体" w:hAnsi="楷体" w:hint="eastAsia"/>
          <w:sz w:val="24"/>
          <w:szCs w:val="24"/>
        </w:rPr>
        <w:t>安全事故导致山西焦煤或环比减量7%，刺激煤价投机情绪再次发酵，贸易商二次补库。短期现货开始紧张，预计继续偏强震荡，顶部交易难度较大，建议观望为主，中长期关注01合约见顶逢高空的机会。预计09合约或在（1500,1560）区间运行</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0830969"/>
      <w:r>
        <w:rPr>
          <w:rFonts w:ascii="楷体" w:eastAsia="楷体" w:hAnsi="楷体" w:hint="eastAsia"/>
          <w:b/>
          <w:color w:val="000000" w:themeColor="text1"/>
          <w:sz w:val="24"/>
          <w:szCs w:val="24"/>
        </w:rPr>
        <w:t>铜：</w:t>
      </w:r>
      <w:bookmarkEnd w:id="24"/>
      <w:bookmarkEnd w:id="25"/>
      <w:r w:rsidR="00F50569" w:rsidRPr="00F50569">
        <w:rPr>
          <w:rFonts w:ascii="楷体" w:eastAsia="楷体" w:hAnsi="楷体" w:hint="eastAsia"/>
          <w:b/>
          <w:color w:val="000000" w:themeColor="text1"/>
          <w:sz w:val="24"/>
          <w:szCs w:val="24"/>
        </w:rPr>
        <w:t>短期震荡格局难改</w:t>
      </w:r>
      <w:bookmarkEnd w:id="26"/>
    </w:p>
    <w:p w:rsidR="00F50569" w:rsidRPr="00F50569" w:rsidRDefault="00F50569" w:rsidP="00F50569">
      <w:pPr>
        <w:ind w:leftChars="300" w:left="630"/>
        <w:rPr>
          <w:rFonts w:ascii="楷体" w:eastAsia="楷体" w:hAnsi="楷体" w:hint="eastAsia"/>
          <w:color w:val="000000" w:themeColor="text1"/>
          <w:sz w:val="24"/>
          <w:szCs w:val="24"/>
        </w:rPr>
      </w:pPr>
      <w:r w:rsidRPr="00F50569">
        <w:rPr>
          <w:rFonts w:ascii="楷体" w:eastAsia="楷体" w:hAnsi="楷体" w:hint="eastAsia"/>
          <w:color w:val="000000" w:themeColor="text1"/>
          <w:sz w:val="24"/>
          <w:szCs w:val="24"/>
        </w:rPr>
        <w:t>(1)产业：世界金属统计局(WBMS)公布的最新报告显示，2023年5月，全球精炼铜产量为221.37万吨，消费量为238.89万吨，供应短缺17.52万吨。2023年1-5月，全球精炼铜产量为1084.44万吨，消费量为1108.51万吨，供应短缺24.07万吨。</w:t>
      </w:r>
    </w:p>
    <w:p w:rsidR="00F50569" w:rsidRPr="00F50569" w:rsidRDefault="00F50569" w:rsidP="00F50569">
      <w:pPr>
        <w:ind w:leftChars="300" w:left="630"/>
        <w:rPr>
          <w:rFonts w:ascii="楷体" w:eastAsia="楷体" w:hAnsi="楷体" w:hint="eastAsia"/>
          <w:color w:val="000000" w:themeColor="text1"/>
          <w:sz w:val="24"/>
          <w:szCs w:val="24"/>
        </w:rPr>
      </w:pPr>
      <w:r w:rsidRPr="00F50569">
        <w:rPr>
          <w:rFonts w:ascii="楷体" w:eastAsia="楷体" w:hAnsi="楷体" w:hint="eastAsia"/>
          <w:color w:val="000000" w:themeColor="text1"/>
          <w:sz w:val="24"/>
          <w:szCs w:val="24"/>
        </w:rPr>
        <w:t>(2)库存：7月20日，SHFE仓单库存34781吨，减1002吨；LME仓单库存58800吨，减525吨。</w:t>
      </w:r>
    </w:p>
    <w:p w:rsidR="00F50569" w:rsidRPr="00F50569" w:rsidRDefault="00F50569" w:rsidP="00F50569">
      <w:pPr>
        <w:ind w:leftChars="300" w:left="630"/>
        <w:rPr>
          <w:rFonts w:ascii="楷体" w:eastAsia="楷体" w:hAnsi="楷体" w:hint="eastAsia"/>
          <w:color w:val="000000" w:themeColor="text1"/>
          <w:sz w:val="24"/>
          <w:szCs w:val="24"/>
        </w:rPr>
      </w:pPr>
      <w:r w:rsidRPr="00F50569">
        <w:rPr>
          <w:rFonts w:ascii="楷体" w:eastAsia="楷体" w:hAnsi="楷体" w:hint="eastAsia"/>
          <w:color w:val="000000" w:themeColor="text1"/>
          <w:sz w:val="24"/>
          <w:szCs w:val="24"/>
        </w:rPr>
        <w:t>(3)精废价差：7月20日，Mysteel精废价差1800，收窄96。目前价差在合理价差1386之上。</w:t>
      </w:r>
    </w:p>
    <w:p w:rsidR="00F50569" w:rsidRPr="00F50569" w:rsidRDefault="00F50569" w:rsidP="00F50569">
      <w:pPr>
        <w:ind w:leftChars="300" w:left="630"/>
        <w:rPr>
          <w:rFonts w:ascii="楷体" w:eastAsia="楷体" w:hAnsi="楷体"/>
          <w:color w:val="000000" w:themeColor="text1"/>
          <w:sz w:val="24"/>
          <w:szCs w:val="24"/>
        </w:rPr>
      </w:pPr>
    </w:p>
    <w:p w:rsidR="00127803" w:rsidRPr="00127803" w:rsidRDefault="00F50569" w:rsidP="00F50569">
      <w:pPr>
        <w:ind w:leftChars="300" w:left="630"/>
        <w:rPr>
          <w:rFonts w:ascii="楷体" w:eastAsia="楷体" w:hAnsi="楷体"/>
          <w:color w:val="000000" w:themeColor="text1"/>
          <w:sz w:val="24"/>
          <w:szCs w:val="24"/>
        </w:rPr>
      </w:pPr>
      <w:r w:rsidRPr="00F50569">
        <w:rPr>
          <w:rFonts w:ascii="楷体" w:eastAsia="楷体" w:hAnsi="楷体" w:hint="eastAsia"/>
          <w:color w:val="000000" w:themeColor="text1"/>
          <w:sz w:val="24"/>
          <w:szCs w:val="24"/>
        </w:rPr>
        <w:t>综述：近期美元指数震荡整理，对铜价影响弱化，市场对国内刺激政策出台及由此带来的需求增量仍有所期待，受预期支撑铜价表现抗跌，基本面现阶段对价格影响不大，低库存与供应宽松预期共存，供需矛盾不突出，短期铜价震荡格局难改</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2C73FE" w:rsidRDefault="00CC3FFA" w:rsidP="002C73FE">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0830970"/>
      <w:r>
        <w:rPr>
          <w:rFonts w:ascii="楷体" w:eastAsia="楷体" w:hAnsi="楷体" w:hint="eastAsia"/>
          <w:b/>
          <w:color w:val="000000" w:themeColor="text1"/>
          <w:sz w:val="24"/>
          <w:szCs w:val="24"/>
        </w:rPr>
        <w:t>铝：</w:t>
      </w:r>
      <w:bookmarkEnd w:id="27"/>
      <w:bookmarkEnd w:id="28"/>
      <w:r w:rsidR="00F50569" w:rsidRPr="00F50569">
        <w:rPr>
          <w:rFonts w:ascii="楷体" w:eastAsia="楷体" w:hAnsi="楷体" w:hint="eastAsia"/>
          <w:b/>
          <w:color w:val="000000" w:themeColor="text1"/>
          <w:sz w:val="24"/>
          <w:szCs w:val="24"/>
        </w:rPr>
        <w:t>多空博弈价格窄幅震荡运行</w:t>
      </w:r>
      <w:bookmarkEnd w:id="29"/>
    </w:p>
    <w:p w:rsidR="003F56A5" w:rsidRDefault="00F50569" w:rsidP="00127803">
      <w:pPr>
        <w:ind w:leftChars="300" w:left="630"/>
        <w:rPr>
          <w:rFonts w:ascii="楷体" w:eastAsia="楷体" w:hAnsi="楷体"/>
          <w:color w:val="000000" w:themeColor="text1"/>
          <w:sz w:val="24"/>
          <w:szCs w:val="24"/>
        </w:rPr>
      </w:pPr>
      <w:r w:rsidRPr="00F50569">
        <w:rPr>
          <w:rFonts w:ascii="楷体" w:eastAsia="楷体" w:hAnsi="楷体" w:hint="eastAsia"/>
          <w:color w:val="000000" w:themeColor="text1"/>
          <w:sz w:val="24"/>
          <w:szCs w:val="24"/>
        </w:rPr>
        <w:t>联储加息接近尾声，国内经济政策利多释放，宏观情绪仍有支撑。供应端持续扰动，在淡季企业备库、退水转铸锭及云南复产的影响下仍有较强的累库压力，四川高温限电 影响小部分电解铝产量仍需关注西南地区的产能变化情况，氧化铝价格上行带动电解铝成本走升，下游淡季影响消费表现维持弱修复状态。短期多空博弈陷入僵局，铝价区间震荡运行</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0830971"/>
      <w:r>
        <w:rPr>
          <w:rFonts w:ascii="楷体" w:eastAsia="楷体" w:hAnsi="楷体" w:hint="eastAsia"/>
          <w:b/>
          <w:color w:val="000000" w:themeColor="text1"/>
          <w:sz w:val="24"/>
          <w:szCs w:val="24"/>
        </w:rPr>
        <w:t>锌：</w:t>
      </w:r>
      <w:r w:rsidR="00F50569" w:rsidRPr="00F50569">
        <w:rPr>
          <w:rFonts w:ascii="楷体" w:eastAsia="楷体" w:hAnsi="楷体" w:hint="eastAsia"/>
          <w:b/>
          <w:color w:val="000000" w:themeColor="text1"/>
          <w:sz w:val="24"/>
          <w:szCs w:val="24"/>
        </w:rPr>
        <w:t>宏观利多基本面偏空，锌价上下震荡</w:t>
      </w:r>
      <w:bookmarkEnd w:id="30"/>
    </w:p>
    <w:p w:rsidR="003F56A5" w:rsidRDefault="00F50569" w:rsidP="000B0648">
      <w:pPr>
        <w:ind w:leftChars="300" w:left="630"/>
        <w:rPr>
          <w:rFonts w:ascii="楷体" w:eastAsia="楷体" w:hAnsi="楷体"/>
          <w:color w:val="000000" w:themeColor="text1"/>
          <w:sz w:val="24"/>
          <w:szCs w:val="24"/>
        </w:rPr>
      </w:pPr>
      <w:r w:rsidRPr="00F50569">
        <w:rPr>
          <w:rFonts w:ascii="楷体" w:eastAsia="楷体" w:hAnsi="楷体" w:hint="eastAsia"/>
          <w:color w:val="000000" w:themeColor="text1"/>
          <w:sz w:val="24"/>
          <w:szCs w:val="24"/>
        </w:rPr>
        <w:t>宏观情绪偏多支撑，市场交投情绪偏暖，国内政策利多带来未来需求乐观改善预期，基本面来看驱动偏弱，矿端供应偏松，精炼锌产量维持高位，伴随国产TC走升，冶炼利润持续修复，支撑厂家积极生产，现实需求延续淡季疲弱状态，供强需弱格局延续。短期来看，价格震荡运行但仍有下行压力，宏观利多释放后转向基本面驱动则偏空看待为主</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0830972"/>
      <w:r>
        <w:rPr>
          <w:rFonts w:ascii="楷体" w:eastAsia="楷体" w:hAnsi="楷体" w:hint="eastAsia"/>
          <w:b/>
          <w:color w:val="000000" w:themeColor="text1"/>
          <w:sz w:val="24"/>
          <w:szCs w:val="24"/>
        </w:rPr>
        <w:t>镍：</w:t>
      </w:r>
      <w:r w:rsidR="00D14B3E" w:rsidRPr="00D14B3E">
        <w:rPr>
          <w:rFonts w:ascii="楷体" w:eastAsia="楷体" w:hAnsi="楷体" w:hint="eastAsia"/>
          <w:b/>
          <w:color w:val="000000" w:themeColor="text1"/>
          <w:sz w:val="24"/>
          <w:szCs w:val="24"/>
        </w:rPr>
        <w:t>低库存仍支撑价格维持区间震荡</w:t>
      </w:r>
      <w:bookmarkEnd w:id="31"/>
    </w:p>
    <w:p w:rsidR="003F56A5" w:rsidRDefault="00D14B3E">
      <w:pPr>
        <w:ind w:leftChars="300" w:left="630"/>
        <w:rPr>
          <w:rFonts w:ascii="楷体" w:eastAsia="楷体" w:hAnsi="楷体"/>
          <w:color w:val="000000" w:themeColor="text1"/>
          <w:sz w:val="24"/>
          <w:szCs w:val="24"/>
        </w:rPr>
      </w:pPr>
      <w:r w:rsidRPr="00D14B3E">
        <w:rPr>
          <w:rFonts w:ascii="楷体" w:eastAsia="楷体" w:hAnsi="楷体" w:hint="eastAsia"/>
          <w:color w:val="000000" w:themeColor="text1"/>
          <w:sz w:val="24"/>
          <w:szCs w:val="24"/>
        </w:rPr>
        <w:t>近期镍价维持区间震荡，核心逻辑没变，供应过剩压制反弹空间，但低库存维持对价格仍有支撑，按当前08合约持仓量依旧存在挤仓风险。短期价格跟随宏观情绪波动，等待基本面矛盾积累。操作上，反弹过程逐步布局空单，上方安全边际可参考2309合约压力位17.5万一线</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0830973"/>
      <w:r>
        <w:rPr>
          <w:rFonts w:ascii="楷体" w:eastAsia="楷体" w:hAnsi="楷体" w:hint="eastAsia"/>
          <w:b/>
          <w:color w:val="000000" w:themeColor="text1"/>
          <w:sz w:val="24"/>
          <w:szCs w:val="24"/>
        </w:rPr>
        <w:lastRenderedPageBreak/>
        <w:t>铅</w:t>
      </w:r>
      <w:r w:rsidR="008B13D2">
        <w:rPr>
          <w:rFonts w:ascii="楷体" w:eastAsia="楷体" w:hAnsi="楷体" w:hint="eastAsia"/>
          <w:b/>
          <w:color w:val="000000" w:themeColor="text1"/>
          <w:sz w:val="24"/>
          <w:szCs w:val="24"/>
        </w:rPr>
        <w:t>：</w:t>
      </w:r>
      <w:r w:rsidR="00F50569" w:rsidRPr="00F50569">
        <w:rPr>
          <w:rFonts w:ascii="楷体" w:eastAsia="楷体" w:hAnsi="楷体" w:hint="eastAsia"/>
          <w:b/>
          <w:color w:val="000000" w:themeColor="text1"/>
          <w:sz w:val="24"/>
          <w:szCs w:val="24"/>
        </w:rPr>
        <w:t>成本侧支撑，震荡偏强运行</w:t>
      </w:r>
      <w:bookmarkEnd w:id="32"/>
    </w:p>
    <w:p w:rsidR="008B13D2" w:rsidRPr="008B13D2" w:rsidRDefault="00F50569" w:rsidP="008B13D2">
      <w:pPr>
        <w:ind w:leftChars="300" w:left="630"/>
        <w:rPr>
          <w:rFonts w:ascii="楷体" w:eastAsia="楷体" w:hAnsi="楷体"/>
          <w:color w:val="000000" w:themeColor="text1"/>
          <w:sz w:val="24"/>
          <w:szCs w:val="24"/>
        </w:rPr>
      </w:pPr>
      <w:r w:rsidRPr="00F50569">
        <w:rPr>
          <w:rFonts w:ascii="楷体" w:eastAsia="楷体" w:hAnsi="楷体" w:hint="eastAsia"/>
          <w:color w:val="000000" w:themeColor="text1"/>
          <w:sz w:val="24"/>
          <w:szCs w:val="24"/>
        </w:rPr>
        <w:t>7月合约交割后铅锭市场散单紧俏局面持续，炼企及持货商出货积极性一般；进口铅精矿供应偏紧，再生铅与废电瓶价格上涨，成本端支撑铅价。铅酸蓄电池终端消费整体上需求恢复缓慢，但市场存在三季度消费传统旺季预期。成本坚挺叠加消费向好预期，沪铅震荡偏强运行</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0830974"/>
      <w:r>
        <w:rPr>
          <w:rFonts w:ascii="楷体" w:eastAsia="楷体" w:hAnsi="楷体" w:hint="eastAsia"/>
          <w:b/>
          <w:color w:val="000000" w:themeColor="text1"/>
          <w:sz w:val="24"/>
          <w:szCs w:val="24"/>
        </w:rPr>
        <w:t>不锈钢：</w:t>
      </w:r>
      <w:r w:rsidR="00F50569" w:rsidRPr="00F50569">
        <w:rPr>
          <w:rFonts w:ascii="楷体" w:eastAsia="楷体" w:hAnsi="楷体" w:hint="eastAsia"/>
          <w:b/>
          <w:color w:val="000000" w:themeColor="text1"/>
          <w:sz w:val="24"/>
          <w:szCs w:val="24"/>
        </w:rPr>
        <w:t>收储消息提振不锈钢价</w:t>
      </w:r>
      <w:bookmarkEnd w:id="33"/>
    </w:p>
    <w:p w:rsidR="003F56A5" w:rsidRDefault="00F50569">
      <w:pPr>
        <w:ind w:leftChars="300" w:left="630"/>
        <w:rPr>
          <w:rFonts w:ascii="楷体" w:eastAsia="楷体" w:hAnsi="楷体"/>
          <w:color w:val="000000" w:themeColor="text1"/>
          <w:sz w:val="24"/>
          <w:szCs w:val="24"/>
        </w:rPr>
      </w:pPr>
      <w:r w:rsidRPr="00F50569">
        <w:rPr>
          <w:rFonts w:ascii="楷体" w:eastAsia="楷体" w:hAnsi="楷体" w:hint="eastAsia"/>
          <w:color w:val="000000" w:themeColor="text1"/>
          <w:sz w:val="24"/>
          <w:szCs w:val="24"/>
        </w:rPr>
        <w:t>昨日市场传出镍铁收储消息，驱动不锈钢价格大幅拉涨，当前国内镍铁厂除山东地区基本处于全面亏损状态，但镍铁过剩的格局压制价格弱势运行，如果收储行为落地，预计将缓解市场过剩局面，镍铁价格大概率将有所反弹，从而在成本端驱动不锈钢价格。短期价格拉涨后预计震荡整理为主，等待进一步消息</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0830975"/>
      <w:r>
        <w:rPr>
          <w:rFonts w:ascii="楷体" w:eastAsia="楷体" w:hAnsi="楷体" w:hint="eastAsia"/>
          <w:b/>
          <w:color w:val="000000" w:themeColor="text1"/>
          <w:sz w:val="24"/>
          <w:szCs w:val="24"/>
        </w:rPr>
        <w:t>工业硅：</w:t>
      </w:r>
      <w:r w:rsidR="00F50569" w:rsidRPr="00F50569">
        <w:rPr>
          <w:rFonts w:ascii="楷体" w:eastAsia="楷体" w:hAnsi="楷体" w:hint="eastAsia"/>
          <w:b/>
          <w:sz w:val="24"/>
          <w:szCs w:val="24"/>
        </w:rPr>
        <w:t>实际需求维持偏弱，反弹空间或有限</w:t>
      </w:r>
      <w:bookmarkEnd w:id="34"/>
    </w:p>
    <w:p w:rsidR="003F56A5" w:rsidRDefault="00F50569" w:rsidP="00827E8A">
      <w:pPr>
        <w:ind w:leftChars="300" w:left="630"/>
        <w:rPr>
          <w:rFonts w:ascii="楷体" w:eastAsia="楷体" w:hAnsi="楷体"/>
          <w:sz w:val="24"/>
          <w:szCs w:val="24"/>
        </w:rPr>
      </w:pPr>
      <w:r w:rsidRPr="00F50569">
        <w:rPr>
          <w:rFonts w:ascii="楷体" w:eastAsia="楷体" w:hAnsi="楷体" w:hint="eastAsia"/>
          <w:sz w:val="24"/>
          <w:szCs w:val="24"/>
        </w:rPr>
        <w:t>7月20日，Si2309主力合约呈反弹走势，收盘价13540元/吨，较上一收盘价涨跌幅+1.07%。据海关数据统计，2023年6月中国金属硅出口量为4.8万吨，环比减少2.4%，同比减少17.7%。2023年1-6月金属硅累计出口量28.8万吨，同比减少17.2%。而国内实际需求亦未出现明显改善，预计市场反弹空间有限，但同时需要注意四川高温限电担忧仍有一定支撑，暂时单边驱动因素不强，短期市场或以震荡为主，预计09合约运行区间（13100，13800），建议以波段操作为主</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083097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5B790A" w:rsidRDefault="00CC3FFA" w:rsidP="005B790A">
      <w:pPr>
        <w:ind w:firstLineChars="200" w:firstLine="482"/>
        <w:outlineLvl w:val="1"/>
        <w:rPr>
          <w:rFonts w:ascii="楷体" w:eastAsia="楷体" w:hAnsi="楷体"/>
          <w:b/>
          <w:sz w:val="24"/>
          <w:szCs w:val="24"/>
        </w:rPr>
      </w:pPr>
      <w:bookmarkStart w:id="37" w:name="_Toc140830977"/>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F50569" w:rsidRPr="00F50569">
        <w:rPr>
          <w:rFonts w:ascii="楷体" w:eastAsia="楷体" w:hAnsi="楷体" w:hint="eastAsia"/>
          <w:b/>
          <w:sz w:val="24"/>
          <w:szCs w:val="24"/>
        </w:rPr>
        <w:t>基本面偏弱 短期RU仍有小幅回落预期</w:t>
      </w:r>
      <w:bookmarkEnd w:id="37"/>
    </w:p>
    <w:p w:rsidR="003F56A5" w:rsidRDefault="00F50569">
      <w:pPr>
        <w:ind w:leftChars="300" w:left="630"/>
        <w:rPr>
          <w:rFonts w:ascii="楷体" w:eastAsia="楷体" w:hAnsi="楷体"/>
          <w:sz w:val="24"/>
          <w:szCs w:val="24"/>
        </w:rPr>
      </w:pPr>
      <w:r w:rsidRPr="00F50569">
        <w:rPr>
          <w:rFonts w:ascii="楷体" w:eastAsia="楷体" w:hAnsi="楷体" w:hint="eastAsia"/>
          <w:sz w:val="24"/>
          <w:szCs w:val="24"/>
        </w:rPr>
        <w:t>点评：沪胶震荡表现，现货市场主流价格区间窄调，下游逢低刚需采购，交投气氛一般。短期来看，橡胶供需基本面维持偏弱。供给端，随着国内替代指标落地，海外供给上量，供应端压力逐步加大；中游库存反复变动，绝对值仍处高位，去库难度较大。需求端来看，下游轮胎企业开工率处于高位，但内销市场出货偏慢，导致成品库存小幅提升，因此短期开工率继续提升的空间有限。消息层面，尽管网传收储信息不断，但仍不见官方正式公告，市场炒作情绪或再度降温。而在橡胶基本面依旧弱势的情况下，同时近端09合约高价差矛盾没有解决下，整体盘面依旧维持偏弱表现。操作上，短期建议观望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0830978"/>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F50569" w:rsidRPr="00F50569">
        <w:rPr>
          <w:rFonts w:ascii="楷体" w:eastAsia="楷体" w:hAnsi="楷体" w:hint="eastAsia"/>
          <w:b/>
          <w:color w:val="000000" w:themeColor="text1"/>
          <w:sz w:val="24"/>
          <w:szCs w:val="24"/>
        </w:rPr>
        <w:t>驱动接近尾声 关注09上方压力位</w:t>
      </w:r>
      <w:bookmarkEnd w:id="38"/>
      <w:r w:rsidR="008F1360" w:rsidRPr="008F1360">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F50569" w:rsidP="002C73FE">
      <w:pPr>
        <w:ind w:leftChars="300" w:left="630"/>
        <w:rPr>
          <w:rFonts w:ascii="楷体" w:eastAsia="楷体" w:hAnsi="楷体"/>
          <w:color w:val="000000" w:themeColor="text1"/>
          <w:sz w:val="24"/>
          <w:szCs w:val="24"/>
        </w:rPr>
      </w:pPr>
      <w:r w:rsidRPr="00F50569">
        <w:rPr>
          <w:rFonts w:ascii="楷体" w:eastAsia="楷体" w:hAnsi="楷体" w:hint="eastAsia"/>
          <w:color w:val="000000" w:themeColor="text1"/>
          <w:sz w:val="24"/>
          <w:szCs w:val="24"/>
        </w:rPr>
        <w:t>PTA供给方面，本周福海创450万吨重启，逸盛海南200万吨，新材料360万吨提负，能投100万吨装置计划外停车，PTA负荷提升至78.3%。7月减产利好叠加汽油需求将进入季节性峰值阶段，原油基本面结构改善，短期盘面支撑仍较强。近期美亚地区高辛烷值价格走高，高辛烷值组份估值抬升，PX调油需求及PTA大厂采购需求偏强。需求方面，本周因电力故障、天然气供应等原因，瓶片工厂局部出现减产及长丝负荷有局部调整，综合来看聚酯负荷有所下滑。截至本周四，初步核算国内大陆地区聚酯负荷在</w:t>
      </w:r>
      <w:r w:rsidRPr="00F50569">
        <w:rPr>
          <w:rFonts w:ascii="楷体" w:eastAsia="楷体" w:hAnsi="楷体" w:hint="eastAsia"/>
          <w:color w:val="000000" w:themeColor="text1"/>
          <w:sz w:val="24"/>
          <w:szCs w:val="24"/>
        </w:rPr>
        <w:lastRenderedPageBreak/>
        <w:t>93%附近。受原料价格走高影响，江浙终端开工率继续小幅下降。但市场对9-10月份旺季有预期，低库存下预计7月聚酯不会轻易减停产。展望后市，海外出行旺季下PXN难压缩，PTA近期检修增多开工率下滑，聚酯因库存低位高开工维持需求韧性尚可。PTA近期货源相对充足，随着装置检修恢复或进入阶段性累库阶段。但成本端PX仍偏强及聚酯高开工提振，PTA 短期进入震荡市，关注上方6000压力位。仅供参考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0830979"/>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40" w:name="_Toc140830980"/>
      <w:r>
        <w:rPr>
          <w:rFonts w:ascii="楷体" w:eastAsia="楷体" w:hAnsi="楷体" w:hint="eastAsia"/>
          <w:b/>
          <w:color w:val="000000" w:themeColor="text1"/>
          <w:sz w:val="24"/>
          <w:szCs w:val="24"/>
        </w:rPr>
        <w:t>聚烯烃：</w:t>
      </w:r>
      <w:r w:rsidR="00F50569" w:rsidRPr="00F50569">
        <w:rPr>
          <w:rFonts w:ascii="楷体" w:eastAsia="楷体" w:hAnsi="楷体" w:hint="eastAsia"/>
          <w:b/>
          <w:color w:val="000000" w:themeColor="text1"/>
          <w:sz w:val="24"/>
          <w:szCs w:val="24"/>
        </w:rPr>
        <w:t>终端订单跟进有限，聚烯烃或震荡整理为主</w:t>
      </w:r>
      <w:bookmarkEnd w:id="40"/>
    </w:p>
    <w:p w:rsidR="003F56A5" w:rsidRDefault="00F50569">
      <w:pPr>
        <w:ind w:leftChars="300" w:left="630"/>
        <w:rPr>
          <w:rFonts w:ascii="楷体" w:eastAsia="楷体" w:hAnsi="楷体"/>
          <w:bCs/>
          <w:sz w:val="24"/>
          <w:szCs w:val="24"/>
        </w:rPr>
      </w:pPr>
      <w:r w:rsidRPr="00F50569">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主要生产国最近削减产量为油价提供支撑，交易商对能源需求前景保持谨慎，国际油价继续小幅波动，欧美原油期货小幅收涨。需求方面，PE下游方面，农膜整体需求平平，工厂生产清淡。棚膜工厂多停机检修；PP下游方面，BOPP市场成交刚需有量，整体量较上一交易日增加，BOPP企业未交付订单多数在一周以内，个别可至八月上旬。综合来看，PE方面，近期计划开车装置较多，进口套利窗口多打开，供应有增加压力；但是下游农膜需求开始好转，市场低价成交尚可，贸易商多压力不大，随行出货为主。市场供需矛盾暂时不大，预计今日PE价格呈小幅震荡走势。PP方面，高温导致部分下游工厂停工停产，终端订单跟进有限，拿货积极性一般，商业库存呈现上涨态势，在成本提振不明显下，PP价格或延续震荡走势</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0830981"/>
      <w:r>
        <w:rPr>
          <w:rFonts w:ascii="楷体" w:eastAsia="楷体" w:hAnsi="楷体" w:hint="eastAsia"/>
          <w:b/>
          <w:color w:val="000000" w:themeColor="text1"/>
          <w:sz w:val="24"/>
          <w:szCs w:val="24"/>
        </w:rPr>
        <w:t>MEG：</w:t>
      </w:r>
      <w:r w:rsidR="00F50569" w:rsidRPr="00F50569">
        <w:rPr>
          <w:rFonts w:ascii="楷体" w:eastAsia="楷体" w:hAnsi="楷体" w:hint="eastAsia"/>
          <w:b/>
          <w:color w:val="000000" w:themeColor="text1"/>
          <w:sz w:val="24"/>
          <w:szCs w:val="24"/>
        </w:rPr>
        <w:t>成本端提振 短期仍有支撑</w:t>
      </w:r>
      <w:bookmarkEnd w:id="41"/>
    </w:p>
    <w:p w:rsidR="003F56A5" w:rsidRDefault="00F50569" w:rsidP="00115EEA">
      <w:pPr>
        <w:ind w:leftChars="300" w:left="630"/>
        <w:rPr>
          <w:rFonts w:ascii="楷体" w:eastAsia="楷体" w:hAnsi="楷体"/>
          <w:color w:val="000000" w:themeColor="text1"/>
          <w:sz w:val="24"/>
          <w:szCs w:val="24"/>
        </w:rPr>
      </w:pPr>
      <w:r w:rsidRPr="00F50569">
        <w:rPr>
          <w:rFonts w:ascii="楷体" w:eastAsia="楷体" w:hAnsi="楷体" w:hint="eastAsia"/>
          <w:color w:val="000000" w:themeColor="text1"/>
          <w:sz w:val="24"/>
          <w:szCs w:val="24"/>
        </w:rPr>
        <w:t>供需情况，7.17 华东主港地区MEG港口库存约108.7万吨附近，环比上期增加3.8万吨。显性库存仍高企，刚需支撑下港口发货良好隐形库存略去化。截至7月20日，中国大陆地区乙二醇整体开工负荷在63.69%（-0.26%），中科炼化7.10起停车检修，预计检修时长在半个月附近，整体开工率小幅下滑；煤化工方面，煤制乙二醇开工负荷在62.76%（+1.97%），</w:t>
      </w:r>
      <w:r w:rsidRPr="00F50569">
        <w:rPr>
          <w:rFonts w:ascii="楷体" w:eastAsia="楷体" w:hAnsi="楷体" w:hint="eastAsia"/>
          <w:color w:val="000000" w:themeColor="text1"/>
          <w:sz w:val="24"/>
          <w:szCs w:val="24"/>
        </w:rPr>
        <w:lastRenderedPageBreak/>
        <w:t>近期陕煤榆林化学7-8月分别有60万吨单线进行为期10-15天的检修。陕煤渭化一套30万吨/年的乙二醇装置停车。截至7.20，初步核算国内大陆地区聚酯负荷在93%附近。受原料价格走高影响，江浙终端开工率继续小幅下降。江浙加弹综合开工率77%（-4%），江浙织机综合开工率69%（-3%），江浙印染综合开工率72%（-3%），涤丝产销氛围转弱，江浙终端工厂原料备货下降，部分加弹和织造企业因亏损或者库存压力选择适当减产。展望后市，乙二醇成本端煤炭、乙烯及天然气走强，叠加聚酯高开工带动下乙二醇走出一波估值修复行情。后续来看，成本端煤价反弹尚未结束而聚酯开工率高位维持，7-8月有望从累库转为去库格局，短期乙二醇走势仍偏强，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0830982"/>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F50569" w:rsidRPr="00F50569">
        <w:rPr>
          <w:rFonts w:ascii="楷体" w:eastAsia="楷体" w:hAnsi="楷体" w:hint="eastAsia"/>
          <w:b/>
          <w:color w:val="000000" w:themeColor="text1"/>
          <w:sz w:val="24"/>
          <w:szCs w:val="24"/>
        </w:rPr>
        <w:t>周内去库，产销小幅回落</w:t>
      </w:r>
      <w:bookmarkEnd w:id="42"/>
    </w:p>
    <w:p w:rsidR="00A71A7E" w:rsidRDefault="00F50569" w:rsidP="001F79C6">
      <w:pPr>
        <w:ind w:leftChars="300" w:left="630"/>
        <w:rPr>
          <w:rFonts w:ascii="楷体" w:eastAsia="楷体" w:hAnsi="楷体"/>
          <w:color w:val="000000" w:themeColor="text1"/>
          <w:sz w:val="24"/>
          <w:szCs w:val="24"/>
        </w:rPr>
      </w:pPr>
      <w:r w:rsidRPr="00F50569">
        <w:rPr>
          <w:rFonts w:ascii="楷体" w:eastAsia="楷体" w:hAnsi="楷体" w:hint="eastAsia"/>
          <w:color w:val="000000" w:themeColor="text1"/>
          <w:sz w:val="24"/>
          <w:szCs w:val="24"/>
        </w:rPr>
        <w:t>隆众资讯7月20日报道：今日浮法玻璃现货价格1880，较上交易日+9。供给端，河源旗滨二线600万吨/年和湖北亿均一线600万吨/年周内点火，产量上升。现货端，本周多地区产销持续偏强，综合产销110%以上,多家企业主动上调玻璃价格。周内总库存4750.8万重箱，环比下滑483.7万重箱，环比-9.24%，同比-40.65%。折库存天数20.2天，较上期-2.2天。需求上，现货价格提涨，加上宏观情绪较好，贸易商和加工厂适量补充库存，但近期补库情绪小幅回落，0809合约由贴水转升水，盘面到了前期加工厂心理价位分水岭，如果不能产销持续走强配合期价放量突破前高，建议1750-1780上方逢高做空</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0830983"/>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F50569" w:rsidRPr="00F50569">
        <w:rPr>
          <w:rFonts w:ascii="楷体" w:eastAsia="楷体" w:hAnsi="楷体" w:hint="eastAsia"/>
          <w:b/>
          <w:color w:val="000000" w:themeColor="text1"/>
          <w:sz w:val="24"/>
          <w:szCs w:val="24"/>
        </w:rPr>
        <w:t>库存回到历史低位，盘面出现逼仓行情</w:t>
      </w:r>
      <w:bookmarkEnd w:id="43"/>
    </w:p>
    <w:p w:rsidR="00A71A7E" w:rsidRDefault="00F50569" w:rsidP="00A71A7E">
      <w:pPr>
        <w:ind w:leftChars="300" w:left="630"/>
        <w:rPr>
          <w:rFonts w:ascii="楷体" w:eastAsia="楷体" w:hAnsi="楷体"/>
          <w:bCs/>
          <w:sz w:val="24"/>
          <w:szCs w:val="24"/>
        </w:rPr>
      </w:pPr>
      <w:r w:rsidRPr="00F50569">
        <w:rPr>
          <w:rFonts w:ascii="楷体" w:eastAsia="楷体" w:hAnsi="楷体" w:hint="eastAsia"/>
          <w:color w:val="000000" w:themeColor="text1"/>
          <w:sz w:val="24"/>
          <w:szCs w:val="24"/>
        </w:rPr>
        <w:t>国内纯碱市场价格近期无大幅变化。本周纯碱厂家库存31.30万吨，环比-5.23万吨，跌幅14.32%，轻重同步下跌，重碱跌幅较大；周内纯碱待发订单增加，目前维持13+天。供给端，本月检修较多，供给收缩。库存重新回到历史极低水平（最低库存在今年3月24.12万吨），预计下周继续去库，现货更加紧张。盘面在低库存影响下，08合约出现逼仓，由贴水现货转升水，09合约贴水现货70元/吨（按重碱2050元/吨计算），基差由期货端向上收敛。09合约因持仓量较大，现货出现局部紧缺，有可能延续逼仓行情。建议谨慎参与。而10月以后远兴和金山新增产能到位，产能过剩，建议逢高空远月2401合约</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083098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0830985"/>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F50569" w:rsidRPr="00F50569">
        <w:rPr>
          <w:rFonts w:ascii="楷体" w:eastAsia="楷体" w:hAnsi="楷体" w:hint="eastAsia"/>
          <w:b/>
          <w:sz w:val="24"/>
          <w:szCs w:val="24"/>
        </w:rPr>
        <w:t>短期维持高位震荡，谨慎追多</w:t>
      </w:r>
      <w:bookmarkEnd w:id="45"/>
    </w:p>
    <w:p w:rsidR="003F56A5" w:rsidRDefault="00F50569">
      <w:pPr>
        <w:ind w:leftChars="300" w:left="630"/>
        <w:rPr>
          <w:rFonts w:ascii="楷体" w:eastAsia="楷体" w:hAnsi="楷体"/>
          <w:sz w:val="24"/>
          <w:szCs w:val="24"/>
        </w:rPr>
      </w:pPr>
      <w:r w:rsidRPr="00F50569">
        <w:rPr>
          <w:rFonts w:ascii="楷体" w:eastAsia="楷体" w:hAnsi="楷体" w:hint="eastAsia"/>
          <w:sz w:val="24"/>
          <w:szCs w:val="24"/>
        </w:rPr>
        <w:t>多单减仓离场，两粕高位回落。国际方面，市场焦点重回天气，叠加黑海局势升级，美豆短期易涨难跌。在美豆种植面积大幅减少的背景下，生长期天气仍十分关键，虽7月美农报告仍维持52单产预期，在未来干旱预期下，市场担忧仍存。美豆在近期持续降雨下，干旱范围收窄，种植情况有所改善，截至7月18日当周，美国大豆优良率为55%，前一周为51%，上年同期为61%。但七月下旬仍存干旱预期，需持续关注。国内市场，随着当前大豆到港量增加，油厂已基本恢复开机压榨，但压榨节奏表现有差</w:t>
      </w:r>
      <w:r w:rsidRPr="00F50569">
        <w:rPr>
          <w:rFonts w:ascii="楷体" w:eastAsia="楷体" w:hAnsi="楷体" w:hint="eastAsia"/>
          <w:sz w:val="24"/>
          <w:szCs w:val="24"/>
        </w:rPr>
        <w:lastRenderedPageBreak/>
        <w:t>异，部分地区油厂存在胀库停机现象，豆粕库存修复缓慢，支撑现货报价坚挺，当前主流油厂豆粕现货报价小幅上调至4260-4380元/吨。大豆4-6月到港量较大，6月进口到港1027万吨，环比减14.5%。下游养殖利润表现仍不佳，且在杂粕替代下饲企和养殖企业等对豆粕饲用需求增量有限，但终端企业库存偏低，仍存补库需求。菜粕当前供给相对偏紧，随着6月份后菜籽到港预计减少，油厂压榨也在逐步下滑。而需求方面，当前为水产养殖旺季，替代需求方面，随着近期菜粕价格的上涨，替代优势减弱，但整体供需表现紧张，对价格构成支撑。策略方面，短期建议谨慎看多，建议回调企稳仍偏多参与为主</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0830986"/>
      <w:r>
        <w:rPr>
          <w:rFonts w:ascii="楷体" w:eastAsia="楷体" w:hAnsi="楷体" w:hint="eastAsia"/>
          <w:b/>
          <w:color w:val="000000" w:themeColor="text1"/>
          <w:sz w:val="24"/>
          <w:szCs w:val="24"/>
        </w:rPr>
        <w:t>油脂：</w:t>
      </w:r>
      <w:r w:rsidR="00F50569" w:rsidRPr="00F50569">
        <w:rPr>
          <w:rFonts w:ascii="楷体" w:eastAsia="楷体" w:hAnsi="楷体" w:hint="eastAsia"/>
          <w:b/>
          <w:sz w:val="24"/>
          <w:szCs w:val="24"/>
        </w:rPr>
        <w:t>延续偏强趋势</w:t>
      </w:r>
      <w:bookmarkEnd w:id="46"/>
    </w:p>
    <w:p w:rsidR="003F56A5" w:rsidRDefault="00F50569" w:rsidP="00792D31">
      <w:pPr>
        <w:ind w:leftChars="300" w:left="630"/>
        <w:rPr>
          <w:rFonts w:ascii="楷体" w:eastAsia="楷体" w:hAnsi="楷体"/>
          <w:sz w:val="24"/>
          <w:szCs w:val="24"/>
        </w:rPr>
      </w:pPr>
      <w:r w:rsidRPr="00F50569">
        <w:rPr>
          <w:rFonts w:ascii="楷体" w:eastAsia="楷体" w:hAnsi="楷体" w:hint="eastAsia"/>
          <w:sz w:val="24"/>
          <w:szCs w:val="24"/>
        </w:rPr>
        <w:t>国际市场，黑海协议终止，且局势再度恶化，影响葵花油出口，提振豆油及棕榈油等油脂需求，对内盘油脂构成支撑。但三大油脂基本面仍存在差异，终端需求疲软。棕榈油，印尼国内销售配比环比并没有进行调整，叠加7-8月份出口税费上调，提振马来棕榈油出口需求。ITS的数据显示出口量为554,054吨，环比增长19.3%。虽市场开始炒作厄尔尼诺现象，但中期无法改变产地棕榈油累库的趋势，但产量修复或受天气影响，产地整体压力不大。国内棕榈油在6月份进口增加以及需求疲软下，库存持续回升，也限制当前价格反弹空间。因前期产地报价下滑，国内进口利润有所修复，6-7月船期买船增加，最新商业库存为66.75万吨。需求端，随着气温回升利好棕榈油消费，近期成交略有好转，但尚无亮点。豆油近期累库放缓。随着4-7月进口大豆到港增加，油厂陆续恢复开机，但整体开机及压榨水平稳定且不及预期，在刚需补库下累库放缓。需求端，在中小学及高校陆续进入暑期，且无大型节日消费提振，预计进入消费淡季。菜油在进口菜籽减少下，供应压力减轻。当前主产地菜籽在生长期，供应处于青黄不接的阶段，全球菜籽新作产量不确定性仍存。随着后续进口加籽到港量的减少，菜籽开机及压榨水平也有所降低，5月菜籽进口68.6万吨，菜油进口17万吨，均较同期增加。需求方面，从菜油整体表需来看，已恢复至19年的水平，当前库存已逐步回落，需求修复仍待继续关注。对于油脂维持回调后低多观点，可关注油脂间套利，多配菜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0830987"/>
      <w:r>
        <w:rPr>
          <w:rFonts w:ascii="楷体" w:eastAsia="楷体" w:hAnsi="楷体" w:hint="eastAsia"/>
          <w:b/>
          <w:bCs/>
          <w:color w:val="000000" w:themeColor="text1"/>
        </w:rPr>
        <w:t>玉米与淀粉：</w:t>
      </w:r>
      <w:r w:rsidR="00F50569" w:rsidRPr="00F50569">
        <w:rPr>
          <w:rFonts w:ascii="楷体" w:eastAsia="楷体" w:hAnsi="楷体" w:hint="eastAsia"/>
          <w:b/>
        </w:rPr>
        <w:t>夜盘期价再度回落调整</w:t>
      </w:r>
      <w:bookmarkEnd w:id="47"/>
    </w:p>
    <w:p w:rsidR="00F50569" w:rsidRPr="00F50569" w:rsidRDefault="00F50569" w:rsidP="00F50569">
      <w:pPr>
        <w:pStyle w:val="paragraph"/>
        <w:spacing w:before="60" w:after="60"/>
        <w:ind w:leftChars="300" w:left="630"/>
        <w:rPr>
          <w:rFonts w:ascii="楷体" w:eastAsia="楷体" w:hAnsi="楷体" w:hint="eastAsia"/>
        </w:rPr>
      </w:pPr>
      <w:r w:rsidRPr="00F50569">
        <w:rPr>
          <w:rFonts w:ascii="楷体" w:eastAsia="楷体" w:hAnsi="楷体" w:hint="eastAsia"/>
        </w:rPr>
        <w:t>对于玉米而言，继前期外盘天气炒作熄火之后，近期国内现货出现回落，意味着另一大驱动即旧作被动补库存亦出现动力不足的迹象，这主要源于市场对小麦饲用替代增量和陈化水稻抛储的担忧，而华北-东北和产销区玉米价差持续走扩之后，东北玉米贸易商心态松动，出货意愿增强。但我们仍维持谨慎乐观心态，主要原因有三，其一是下方空间受限，这主要源于陈化水稻成本支撑；其二是虽深加工企业和饲料企业原料库存有所回升，但仍处于历史同期低位；其三是当前和下一年度产需缺口的补充存在较大变数，如后期产区天气仍需要留意。在这种情况下，我们维持谨慎看多观点，但短期受国内现货带动或继续回落调整，建议激进投资者持有前期多单，谨慎投资者继续等待再次入场机会。</w:t>
      </w:r>
    </w:p>
    <w:p w:rsidR="003F56A5" w:rsidRDefault="00F50569" w:rsidP="00F50569">
      <w:pPr>
        <w:pStyle w:val="paragraph"/>
        <w:spacing w:before="60" w:beforeAutospacing="0" w:after="60" w:afterAutospacing="0"/>
        <w:ind w:leftChars="300" w:left="630"/>
        <w:rPr>
          <w:rFonts w:ascii="楷体" w:eastAsia="楷体" w:hAnsi="楷体"/>
        </w:rPr>
      </w:pPr>
      <w:r w:rsidRPr="00F50569">
        <w:rPr>
          <w:rFonts w:ascii="楷体" w:eastAsia="楷体" w:hAnsi="楷体" w:hint="eastAsia"/>
        </w:rPr>
        <w:lastRenderedPageBreak/>
        <w:t>对于淀粉而言，近期淀粉-玉米价差收窄符合我们之前预期，主要源于两个方面，其一是副产品价格，受蛋白粕带动淀粉副产品价格大幅反弹，淀粉期现货生产利润改善，有望带动行业开机率回升；其二是需求端的季节性因素，在旺季备货之后或步入一段时间的需求低迷期，在这两方面的带动下，淀粉供需改善或不及预期。但我们不建议入场做缩这一价差，主要原因有二，其一是原料成本端的担忧；其二是现货带来的基差支撑。在这种情况下，我们建议淀粉-玉米价差离场后观望为宜，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0830988"/>
      <w:r>
        <w:rPr>
          <w:rFonts w:ascii="楷体" w:eastAsia="楷体" w:hAnsi="楷体" w:hint="eastAsia"/>
          <w:b/>
          <w:bCs/>
          <w:color w:val="000000" w:themeColor="text1"/>
        </w:rPr>
        <w:t>畜禽养殖：</w:t>
      </w:r>
      <w:r w:rsidR="00F50569" w:rsidRPr="00F50569">
        <w:rPr>
          <w:rFonts w:ascii="楷体" w:eastAsia="楷体" w:hAnsi="楷体" w:hint="eastAsia"/>
          <w:b/>
          <w:bCs/>
          <w:color w:val="000000" w:themeColor="text1"/>
        </w:rPr>
        <w:t>鸡蛋基差持续走强</w:t>
      </w:r>
      <w:bookmarkEnd w:id="48"/>
    </w:p>
    <w:p w:rsidR="00F50569" w:rsidRPr="00F50569" w:rsidRDefault="00F50569" w:rsidP="00F50569">
      <w:pPr>
        <w:pStyle w:val="paragraph"/>
        <w:spacing w:before="60" w:after="60"/>
        <w:ind w:leftChars="300" w:left="630"/>
        <w:rPr>
          <w:rFonts w:ascii="楷体" w:eastAsia="楷体" w:hAnsi="楷体" w:hint="eastAsia"/>
        </w:rPr>
      </w:pPr>
      <w:r w:rsidRPr="00F50569">
        <w:rPr>
          <w:rFonts w:ascii="楷体" w:eastAsia="楷体" w:hAnsi="楷体" w:hint="eastAsia"/>
        </w:rPr>
        <w:t>对于生猪而言，在前期报告中我们指出，3月以来现货表现不及我们之前预期，问题出在供应量，集中在三个方面，其一是春节前堆积的供应量，其二是节前仔猪带来的生猪出栏量，其三是年后二次育肥带来的供应延迟释放。供应释放过程伴随着行业产能的去化，市场会关注两个方面的交易机会，其一是周期见底，其二是阶段性反弹。周期见底尚需等待，因市场普遍认为目前产能仍处于高位，但随着仔猪的下跌，这一过程有望加速。阶段性反弹机会更多源于供应去化，从时间上看上述三方面的供应或逐步消化，涌益咨询公布的日度生猪屠宰量、农业农村部公布的规模以上屠宰企业生猪屠宰量和各大上市公司公布的6月生猪销量均已环比下降，但冷库库容比仍有待去化，再加上高温对需求的抑制，这或许是压制生猪现货的主要原因所在。在这种情况下，维持谨慎看多观点，但建议暂以观望为宜。</w:t>
      </w:r>
    </w:p>
    <w:p w:rsidR="003F56A5" w:rsidRDefault="00F50569" w:rsidP="00F50569">
      <w:pPr>
        <w:pStyle w:val="paragraph"/>
        <w:spacing w:before="60" w:beforeAutospacing="0" w:after="60" w:afterAutospacing="0"/>
        <w:ind w:leftChars="300" w:left="630"/>
        <w:rPr>
          <w:rFonts w:ascii="楷体" w:eastAsia="楷体" w:hAnsi="楷体"/>
        </w:rPr>
      </w:pPr>
      <w:r w:rsidRPr="00F50569">
        <w:rPr>
          <w:rFonts w:ascii="楷体" w:eastAsia="楷体" w:hAnsi="楷体" w:hint="eastAsia"/>
        </w:rPr>
        <w:t>对于鸡蛋而言，当前市场的主要矛盾体现在近弱远强上，1-9和5-9价差走强，背后反映前期的逻辑发生改变，即前期的供需改善预期可能存在变数。这主要源于5月以来，随着鸡蛋现货价格的下跌，蛋鸡养殖利润亦有显著下滑，带动养殖户补栏积极性下滑，与此同时，养殖户淘汰积极性上升。虽然9月合约一度跌至博亚和讯测算的鸡蛋养殖成本线，再加上9月处于季节性旺季，供需之外还有季节性规律，其下方空间有限。但市场对春节后补栏形成的蛋鸡新开产存在担忧，远月-近月价差走强，移仓至远月合约或许更为合适。在这种情况下，我们维持谨慎看多观点，建议谨慎投资者观望，激进投资者持有前期9月多单，止损下移至前低，或者将多单移至远月合约</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0830989"/>
      <w:r>
        <w:rPr>
          <w:rFonts w:ascii="楷体" w:eastAsia="楷体" w:hAnsi="楷体" w:hint="eastAsia"/>
          <w:b/>
          <w:sz w:val="24"/>
          <w:szCs w:val="24"/>
        </w:rPr>
        <w:t>郑棉：</w:t>
      </w:r>
      <w:r w:rsidR="00F50569" w:rsidRPr="00F50569">
        <w:rPr>
          <w:rFonts w:ascii="楷体" w:eastAsia="楷体" w:hAnsi="楷体" w:hint="eastAsia"/>
          <w:b/>
          <w:sz w:val="24"/>
          <w:szCs w:val="24"/>
        </w:rPr>
        <w:t>09看跌期权卖权持有或观望</w:t>
      </w:r>
      <w:bookmarkEnd w:id="49"/>
    </w:p>
    <w:p w:rsidR="003F56A5" w:rsidRDefault="00F50569" w:rsidP="007B3290">
      <w:pPr>
        <w:ind w:leftChars="300" w:left="630"/>
        <w:rPr>
          <w:rFonts w:ascii="楷体" w:eastAsia="楷体" w:hAnsi="楷体"/>
          <w:sz w:val="24"/>
          <w:szCs w:val="24"/>
        </w:rPr>
      </w:pPr>
      <w:r w:rsidRPr="00F50569">
        <w:rPr>
          <w:rFonts w:ascii="楷体" w:eastAsia="楷体" w:hAnsi="楷体" w:hint="eastAsia"/>
          <w:sz w:val="24"/>
          <w:szCs w:val="24"/>
        </w:rPr>
        <w:t>下半年经济规划出炉，市场情绪得到强提振。中概股暴涨，国内商品同样走强。黑海协议和厄尔尼诺现象继续助推农产品板块大涨。在宏观背景走强影响下，政策调控对情绪的压制迅速消退。抛储系统即将开始模拟交易，抛储进入倒计时。内外棉价震荡偏强，前期看跌期权卖权继续持有，或等待回落后的低多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0" w:name="_Toc71212556"/>
      <w:bookmarkStart w:id="51" w:name="_Toc19667"/>
      <w:bookmarkStart w:id="52" w:name="_Toc98426751"/>
      <w:bookmarkStart w:id="53" w:name="_Toc12779"/>
      <w:bookmarkStart w:id="54" w:name="_Toc72481108"/>
      <w:r>
        <w:rPr>
          <w:rFonts w:ascii="Times New Roman" w:eastAsia="楷体" w:hAnsi="Times New Roman"/>
          <w:b/>
          <w:color w:val="411D05"/>
          <w:sz w:val="30"/>
          <w:szCs w:val="30"/>
        </w:rPr>
        <w:lastRenderedPageBreak/>
        <w:t>免责声明</w:t>
      </w:r>
      <w:bookmarkEnd w:id="50"/>
      <w:bookmarkEnd w:id="51"/>
      <w:bookmarkEnd w:id="52"/>
      <w:bookmarkEnd w:id="53"/>
      <w:bookmarkEnd w:id="54"/>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537" w:rsidRDefault="00F90537">
      <w:r>
        <w:separator/>
      </w:r>
    </w:p>
  </w:endnote>
  <w:endnote w:type="continuationSeparator" w:id="0">
    <w:p w:rsidR="00F90537" w:rsidRDefault="00F9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53163C59" wp14:editId="17161187">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7C7B84">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7C7B84">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537" w:rsidRDefault="00F90537">
      <w:r>
        <w:separator/>
      </w:r>
    </w:p>
  </w:footnote>
  <w:footnote w:type="continuationSeparator" w:id="0">
    <w:p w:rsidR="00F90537" w:rsidRDefault="00F905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6B0AAE79" wp14:editId="13D45038">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44AB30CC" wp14:editId="767BEA42">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F50569">
      <w:rPr>
        <w:rFonts w:ascii="Times New Roman" w:eastAsia="楷体" w:hAnsi="Times New Roman" w:hint="eastAsia"/>
        <w:b/>
        <w:bCs/>
        <w:noProof/>
        <w:color w:val="833C0B"/>
        <w:sz w:val="21"/>
      </w:rPr>
      <w:t>2023</w:t>
    </w:r>
    <w:r w:rsidR="00F50569">
      <w:rPr>
        <w:rFonts w:ascii="Times New Roman" w:eastAsia="楷体" w:hAnsi="Times New Roman" w:hint="eastAsia"/>
        <w:b/>
        <w:bCs/>
        <w:noProof/>
        <w:color w:val="833C0B"/>
        <w:sz w:val="21"/>
      </w:rPr>
      <w:t>年</w:t>
    </w:r>
    <w:r w:rsidR="00F50569">
      <w:rPr>
        <w:rFonts w:ascii="Times New Roman" w:eastAsia="楷体" w:hAnsi="Times New Roman" w:hint="eastAsia"/>
        <w:b/>
        <w:bCs/>
        <w:noProof/>
        <w:color w:val="833C0B"/>
        <w:sz w:val="21"/>
      </w:rPr>
      <w:t>7</w:t>
    </w:r>
    <w:r w:rsidR="00F50569">
      <w:rPr>
        <w:rFonts w:ascii="Times New Roman" w:eastAsia="楷体" w:hAnsi="Times New Roman" w:hint="eastAsia"/>
        <w:b/>
        <w:bCs/>
        <w:noProof/>
        <w:color w:val="833C0B"/>
        <w:sz w:val="21"/>
      </w:rPr>
      <w:t>月</w:t>
    </w:r>
    <w:r w:rsidR="00F50569">
      <w:rPr>
        <w:rFonts w:ascii="Times New Roman" w:eastAsia="楷体" w:hAnsi="Times New Roman" w:hint="eastAsia"/>
        <w:b/>
        <w:bCs/>
        <w:noProof/>
        <w:color w:val="833C0B"/>
        <w:sz w:val="21"/>
      </w:rPr>
      <w:t>21</w:t>
    </w:r>
    <w:r w:rsidR="00F50569">
      <w:rPr>
        <w:rFonts w:ascii="Times New Roman" w:eastAsia="楷体" w:hAnsi="Times New Roman" w:hint="eastAsia"/>
        <w:b/>
        <w:bCs/>
        <w:noProof/>
        <w:color w:val="833C0B"/>
        <w:sz w:val="21"/>
      </w:rPr>
      <w:t>日星期五</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35EB2"/>
    <w:rsid w:val="000417D7"/>
    <w:rsid w:val="00050B6C"/>
    <w:rsid w:val="0005286B"/>
    <w:rsid w:val="0005726F"/>
    <w:rsid w:val="00072EAA"/>
    <w:rsid w:val="00076420"/>
    <w:rsid w:val="000820C6"/>
    <w:rsid w:val="00093E40"/>
    <w:rsid w:val="00096258"/>
    <w:rsid w:val="000A413E"/>
    <w:rsid w:val="000B0648"/>
    <w:rsid w:val="000B4E70"/>
    <w:rsid w:val="000C102A"/>
    <w:rsid w:val="000C475E"/>
    <w:rsid w:val="000D36DC"/>
    <w:rsid w:val="000D42E2"/>
    <w:rsid w:val="000D7CF0"/>
    <w:rsid w:val="000E03FC"/>
    <w:rsid w:val="000E0C15"/>
    <w:rsid w:val="000E4EEB"/>
    <w:rsid w:val="00115EEA"/>
    <w:rsid w:val="00117470"/>
    <w:rsid w:val="00120B1F"/>
    <w:rsid w:val="00127803"/>
    <w:rsid w:val="00127FF1"/>
    <w:rsid w:val="00147668"/>
    <w:rsid w:val="00147B03"/>
    <w:rsid w:val="0015047B"/>
    <w:rsid w:val="00156FE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F5438"/>
    <w:rsid w:val="001F79C6"/>
    <w:rsid w:val="00201944"/>
    <w:rsid w:val="00206537"/>
    <w:rsid w:val="002074A1"/>
    <w:rsid w:val="00216C1E"/>
    <w:rsid w:val="00226406"/>
    <w:rsid w:val="0023093E"/>
    <w:rsid w:val="00230DB7"/>
    <w:rsid w:val="00235529"/>
    <w:rsid w:val="00244CA3"/>
    <w:rsid w:val="0025590B"/>
    <w:rsid w:val="00267FFD"/>
    <w:rsid w:val="00282262"/>
    <w:rsid w:val="00285297"/>
    <w:rsid w:val="00291461"/>
    <w:rsid w:val="00292AE8"/>
    <w:rsid w:val="002951EB"/>
    <w:rsid w:val="00297A1B"/>
    <w:rsid w:val="002A0670"/>
    <w:rsid w:val="002A6C89"/>
    <w:rsid w:val="002B2257"/>
    <w:rsid w:val="002B32AE"/>
    <w:rsid w:val="002C73FE"/>
    <w:rsid w:val="002F075C"/>
    <w:rsid w:val="002F545E"/>
    <w:rsid w:val="002F6AD1"/>
    <w:rsid w:val="002F7810"/>
    <w:rsid w:val="0031065A"/>
    <w:rsid w:val="00320AB1"/>
    <w:rsid w:val="00321629"/>
    <w:rsid w:val="003230A0"/>
    <w:rsid w:val="00323550"/>
    <w:rsid w:val="0033167B"/>
    <w:rsid w:val="00332F22"/>
    <w:rsid w:val="0033644D"/>
    <w:rsid w:val="003416C2"/>
    <w:rsid w:val="00341727"/>
    <w:rsid w:val="003471F4"/>
    <w:rsid w:val="00357545"/>
    <w:rsid w:val="00370D25"/>
    <w:rsid w:val="00371ED6"/>
    <w:rsid w:val="00374836"/>
    <w:rsid w:val="00375F0B"/>
    <w:rsid w:val="00376AF1"/>
    <w:rsid w:val="00380E38"/>
    <w:rsid w:val="0038626D"/>
    <w:rsid w:val="003953FD"/>
    <w:rsid w:val="003A1F3C"/>
    <w:rsid w:val="003A3DB4"/>
    <w:rsid w:val="003A5D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7F77"/>
    <w:rsid w:val="00491DD7"/>
    <w:rsid w:val="004977A9"/>
    <w:rsid w:val="004A1926"/>
    <w:rsid w:val="004A382D"/>
    <w:rsid w:val="004A3F85"/>
    <w:rsid w:val="004A65B5"/>
    <w:rsid w:val="004B4D4D"/>
    <w:rsid w:val="004C11A7"/>
    <w:rsid w:val="004C5F3F"/>
    <w:rsid w:val="004D6F74"/>
    <w:rsid w:val="004E3A10"/>
    <w:rsid w:val="004E58A5"/>
    <w:rsid w:val="004E6093"/>
    <w:rsid w:val="005145ED"/>
    <w:rsid w:val="005245A4"/>
    <w:rsid w:val="00533D1C"/>
    <w:rsid w:val="00535DC9"/>
    <w:rsid w:val="00540298"/>
    <w:rsid w:val="00541F3F"/>
    <w:rsid w:val="00547DD7"/>
    <w:rsid w:val="00550252"/>
    <w:rsid w:val="00551A8D"/>
    <w:rsid w:val="005523A5"/>
    <w:rsid w:val="00553DEC"/>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5F5D8E"/>
    <w:rsid w:val="00606E2B"/>
    <w:rsid w:val="00610C41"/>
    <w:rsid w:val="00612D79"/>
    <w:rsid w:val="0061390B"/>
    <w:rsid w:val="00615F78"/>
    <w:rsid w:val="00637F19"/>
    <w:rsid w:val="00641752"/>
    <w:rsid w:val="00650F05"/>
    <w:rsid w:val="0065454E"/>
    <w:rsid w:val="00657B01"/>
    <w:rsid w:val="00661BB3"/>
    <w:rsid w:val="00666DE4"/>
    <w:rsid w:val="006811C5"/>
    <w:rsid w:val="006911F3"/>
    <w:rsid w:val="006A135D"/>
    <w:rsid w:val="006A5214"/>
    <w:rsid w:val="006A7A79"/>
    <w:rsid w:val="006B4A5D"/>
    <w:rsid w:val="006D21ED"/>
    <w:rsid w:val="006E3745"/>
    <w:rsid w:val="006F6553"/>
    <w:rsid w:val="007029E1"/>
    <w:rsid w:val="00710028"/>
    <w:rsid w:val="007103A5"/>
    <w:rsid w:val="0072164F"/>
    <w:rsid w:val="007253E7"/>
    <w:rsid w:val="0072736C"/>
    <w:rsid w:val="007315D8"/>
    <w:rsid w:val="00743CFD"/>
    <w:rsid w:val="007664C1"/>
    <w:rsid w:val="00772382"/>
    <w:rsid w:val="00785519"/>
    <w:rsid w:val="007866A5"/>
    <w:rsid w:val="0079299D"/>
    <w:rsid w:val="00792D31"/>
    <w:rsid w:val="00794D36"/>
    <w:rsid w:val="007952E9"/>
    <w:rsid w:val="007A410D"/>
    <w:rsid w:val="007A66FE"/>
    <w:rsid w:val="007B3290"/>
    <w:rsid w:val="007B4FCE"/>
    <w:rsid w:val="007C2FD2"/>
    <w:rsid w:val="007C7B84"/>
    <w:rsid w:val="007D29EC"/>
    <w:rsid w:val="007D4BBD"/>
    <w:rsid w:val="007F09BE"/>
    <w:rsid w:val="007F1327"/>
    <w:rsid w:val="007F140C"/>
    <w:rsid w:val="007F186E"/>
    <w:rsid w:val="0080612D"/>
    <w:rsid w:val="00806354"/>
    <w:rsid w:val="0080692E"/>
    <w:rsid w:val="00806F4A"/>
    <w:rsid w:val="0080753A"/>
    <w:rsid w:val="008111C8"/>
    <w:rsid w:val="008149F4"/>
    <w:rsid w:val="00815011"/>
    <w:rsid w:val="00815817"/>
    <w:rsid w:val="00820D28"/>
    <w:rsid w:val="00822591"/>
    <w:rsid w:val="00827E8A"/>
    <w:rsid w:val="0083605E"/>
    <w:rsid w:val="00840F4E"/>
    <w:rsid w:val="008463FD"/>
    <w:rsid w:val="00853880"/>
    <w:rsid w:val="00856132"/>
    <w:rsid w:val="008649BB"/>
    <w:rsid w:val="00867CA5"/>
    <w:rsid w:val="00873ECE"/>
    <w:rsid w:val="008740D4"/>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1360"/>
    <w:rsid w:val="008F229B"/>
    <w:rsid w:val="008F2A6E"/>
    <w:rsid w:val="00906E0C"/>
    <w:rsid w:val="00907943"/>
    <w:rsid w:val="00916E97"/>
    <w:rsid w:val="00920372"/>
    <w:rsid w:val="0092326A"/>
    <w:rsid w:val="009260D3"/>
    <w:rsid w:val="009316EC"/>
    <w:rsid w:val="009317CD"/>
    <w:rsid w:val="00934728"/>
    <w:rsid w:val="009644D9"/>
    <w:rsid w:val="0097131C"/>
    <w:rsid w:val="00972485"/>
    <w:rsid w:val="00973185"/>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E0994"/>
    <w:rsid w:val="009E4452"/>
    <w:rsid w:val="009E7578"/>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C00CF"/>
    <w:rsid w:val="00AC52CB"/>
    <w:rsid w:val="00AC7794"/>
    <w:rsid w:val="00AC7ECD"/>
    <w:rsid w:val="00AD009F"/>
    <w:rsid w:val="00AE6128"/>
    <w:rsid w:val="00AF54C5"/>
    <w:rsid w:val="00AF56FD"/>
    <w:rsid w:val="00AF5EA0"/>
    <w:rsid w:val="00B066DA"/>
    <w:rsid w:val="00B072C0"/>
    <w:rsid w:val="00B10135"/>
    <w:rsid w:val="00B118A2"/>
    <w:rsid w:val="00B133D0"/>
    <w:rsid w:val="00B15418"/>
    <w:rsid w:val="00B17165"/>
    <w:rsid w:val="00B1737C"/>
    <w:rsid w:val="00B1758C"/>
    <w:rsid w:val="00B17639"/>
    <w:rsid w:val="00B23E58"/>
    <w:rsid w:val="00B443CE"/>
    <w:rsid w:val="00B4555A"/>
    <w:rsid w:val="00B53C56"/>
    <w:rsid w:val="00B60464"/>
    <w:rsid w:val="00B606EF"/>
    <w:rsid w:val="00B618F8"/>
    <w:rsid w:val="00B64133"/>
    <w:rsid w:val="00B72E2D"/>
    <w:rsid w:val="00B745CB"/>
    <w:rsid w:val="00B805BD"/>
    <w:rsid w:val="00B91D3D"/>
    <w:rsid w:val="00B94E7D"/>
    <w:rsid w:val="00B97F08"/>
    <w:rsid w:val="00BA4663"/>
    <w:rsid w:val="00BA696B"/>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43DDB"/>
    <w:rsid w:val="00C575E9"/>
    <w:rsid w:val="00C62202"/>
    <w:rsid w:val="00C6240E"/>
    <w:rsid w:val="00C647F2"/>
    <w:rsid w:val="00C66C6C"/>
    <w:rsid w:val="00C70FDD"/>
    <w:rsid w:val="00C80C0D"/>
    <w:rsid w:val="00C82E4D"/>
    <w:rsid w:val="00C91234"/>
    <w:rsid w:val="00C93E36"/>
    <w:rsid w:val="00CA1C01"/>
    <w:rsid w:val="00CB0962"/>
    <w:rsid w:val="00CB1AC3"/>
    <w:rsid w:val="00CB1F18"/>
    <w:rsid w:val="00CB2FD2"/>
    <w:rsid w:val="00CB3015"/>
    <w:rsid w:val="00CC03C4"/>
    <w:rsid w:val="00CC3E40"/>
    <w:rsid w:val="00CC3FFA"/>
    <w:rsid w:val="00CC6C03"/>
    <w:rsid w:val="00CD5884"/>
    <w:rsid w:val="00CD5DE8"/>
    <w:rsid w:val="00CD70A0"/>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45E53"/>
    <w:rsid w:val="00D47039"/>
    <w:rsid w:val="00D55EAF"/>
    <w:rsid w:val="00D63655"/>
    <w:rsid w:val="00D75630"/>
    <w:rsid w:val="00D762B2"/>
    <w:rsid w:val="00D842AA"/>
    <w:rsid w:val="00D86D76"/>
    <w:rsid w:val="00D87130"/>
    <w:rsid w:val="00D93E0B"/>
    <w:rsid w:val="00DA7546"/>
    <w:rsid w:val="00DD145E"/>
    <w:rsid w:val="00DD334E"/>
    <w:rsid w:val="00DE02C4"/>
    <w:rsid w:val="00DF1796"/>
    <w:rsid w:val="00DF270D"/>
    <w:rsid w:val="00DF3B28"/>
    <w:rsid w:val="00DF56EC"/>
    <w:rsid w:val="00E020F2"/>
    <w:rsid w:val="00E12059"/>
    <w:rsid w:val="00E25D21"/>
    <w:rsid w:val="00E2618F"/>
    <w:rsid w:val="00E31716"/>
    <w:rsid w:val="00E32B95"/>
    <w:rsid w:val="00E34551"/>
    <w:rsid w:val="00E34EAB"/>
    <w:rsid w:val="00E373B2"/>
    <w:rsid w:val="00E40036"/>
    <w:rsid w:val="00E45000"/>
    <w:rsid w:val="00E451FD"/>
    <w:rsid w:val="00E4667F"/>
    <w:rsid w:val="00E50E93"/>
    <w:rsid w:val="00E556EC"/>
    <w:rsid w:val="00E55B22"/>
    <w:rsid w:val="00E60D44"/>
    <w:rsid w:val="00E64502"/>
    <w:rsid w:val="00E7672C"/>
    <w:rsid w:val="00E771D2"/>
    <w:rsid w:val="00E80EDB"/>
    <w:rsid w:val="00E84794"/>
    <w:rsid w:val="00E847DF"/>
    <w:rsid w:val="00E90013"/>
    <w:rsid w:val="00E928BB"/>
    <w:rsid w:val="00E93488"/>
    <w:rsid w:val="00EA0CCD"/>
    <w:rsid w:val="00EA28CA"/>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31CCA"/>
    <w:rsid w:val="00F43E0E"/>
    <w:rsid w:val="00F473F0"/>
    <w:rsid w:val="00F47540"/>
    <w:rsid w:val="00F50569"/>
    <w:rsid w:val="00F622ED"/>
    <w:rsid w:val="00F65EEA"/>
    <w:rsid w:val="00F776D3"/>
    <w:rsid w:val="00F90537"/>
    <w:rsid w:val="00F91733"/>
    <w:rsid w:val="00F95209"/>
    <w:rsid w:val="00FB3956"/>
    <w:rsid w:val="00FC0F8B"/>
    <w:rsid w:val="00FD6B0E"/>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A3CCC"/>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679DFC-092B-4099-924A-A1624C27D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3140</TotalTime>
  <Pages>10</Pages>
  <Words>1532</Words>
  <Characters>8733</Characters>
  <Application>Microsoft Office Word</Application>
  <DocSecurity>0</DocSecurity>
  <Lines>72</Lines>
  <Paragraphs>20</Paragraphs>
  <ScaleCrop>false</ScaleCrop>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40</cp:revision>
  <cp:lastPrinted>2023-06-08T02:23:00Z</cp:lastPrinted>
  <dcterms:created xsi:type="dcterms:W3CDTF">2022-11-15T10:06:00Z</dcterms:created>
  <dcterms:modified xsi:type="dcterms:W3CDTF">2023-07-21T03:22:00Z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