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bookmarkStart w:id="1" w:name="_GoBack"/>
      <w:bookmarkEnd w:id="1"/>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2326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40581092" w:history="1">
            <w:r w:rsidR="0092326A" w:rsidRPr="00812CD6">
              <w:rPr>
                <w:rStyle w:val="a9"/>
                <w:rFonts w:ascii="Times New Roman" w:eastAsia="楷体" w:hAnsi="Times New Roman"/>
                <w:b/>
                <w:noProof/>
              </w:rPr>
              <w:t>[</w:t>
            </w:r>
            <w:r w:rsidR="0092326A" w:rsidRPr="00812CD6">
              <w:rPr>
                <w:rStyle w:val="a9"/>
                <w:rFonts w:ascii="Times New Roman" w:eastAsia="楷体" w:hAnsi="Times New Roman"/>
                <w:b/>
                <w:noProof/>
              </w:rPr>
              <w:t>金融</w:t>
            </w:r>
            <w:r w:rsidR="0092326A" w:rsidRPr="00812CD6">
              <w:rPr>
                <w:rStyle w:val="a9"/>
                <w:rFonts w:ascii="Times New Roman" w:eastAsia="楷体" w:hAnsi="Times New Roman"/>
                <w:b/>
                <w:noProof/>
              </w:rPr>
              <w:t>]</w:t>
            </w:r>
          </w:hyperlink>
        </w:p>
        <w:p w:rsidR="0092326A" w:rsidRDefault="0092326A">
          <w:pPr>
            <w:pStyle w:val="23"/>
            <w:tabs>
              <w:tab w:val="right" w:leader="dot" w:pos="8296"/>
            </w:tabs>
            <w:rPr>
              <w:rFonts w:eastAsiaTheme="minorEastAsia"/>
              <w:noProof/>
              <w:szCs w:val="22"/>
            </w:rPr>
          </w:pPr>
          <w:hyperlink w:anchor="_Toc140581093" w:history="1">
            <w:r w:rsidRPr="00812CD6">
              <w:rPr>
                <w:rStyle w:val="a9"/>
                <w:rFonts w:ascii="Times New Roman" w:eastAsia="楷体" w:hAnsi="Times New Roman"/>
                <w:b/>
                <w:noProof/>
              </w:rPr>
              <w:t>股指：低多</w:t>
            </w:r>
            <w:r w:rsidRPr="00812CD6">
              <w:rPr>
                <w:rStyle w:val="a9"/>
                <w:rFonts w:ascii="Times New Roman" w:eastAsia="楷体" w:hAnsi="Times New Roman"/>
                <w:b/>
                <w:noProof/>
              </w:rPr>
              <w:t>IF</w:t>
            </w:r>
            <w:r w:rsidRPr="00812CD6">
              <w:rPr>
                <w:rStyle w:val="a9"/>
                <w:rFonts w:ascii="Times New Roman" w:eastAsia="楷体" w:hAnsi="Times New Roman"/>
                <w:b/>
                <w:noProof/>
              </w:rPr>
              <w:t>、</w:t>
            </w:r>
            <w:r w:rsidRPr="00812CD6">
              <w:rPr>
                <w:rStyle w:val="a9"/>
                <w:rFonts w:ascii="Times New Roman" w:eastAsia="楷体" w:hAnsi="Times New Roman"/>
                <w:b/>
                <w:noProof/>
              </w:rPr>
              <w:t>IM</w:t>
            </w:r>
          </w:hyperlink>
        </w:p>
        <w:p w:rsidR="0092326A" w:rsidRDefault="0092326A">
          <w:pPr>
            <w:pStyle w:val="11"/>
            <w:tabs>
              <w:tab w:val="right" w:leader="dot" w:pos="8296"/>
            </w:tabs>
            <w:rPr>
              <w:rFonts w:eastAsiaTheme="minorEastAsia"/>
              <w:noProof/>
              <w:szCs w:val="22"/>
            </w:rPr>
          </w:pPr>
          <w:hyperlink w:anchor="_Toc140581094" w:history="1">
            <w:r w:rsidRPr="00812CD6">
              <w:rPr>
                <w:rStyle w:val="a9"/>
                <w:rFonts w:ascii="Times New Roman" w:eastAsia="楷体" w:hAnsi="Times New Roman"/>
                <w:b/>
                <w:noProof/>
              </w:rPr>
              <w:t>[</w:t>
            </w:r>
            <w:r w:rsidRPr="00812CD6">
              <w:rPr>
                <w:rStyle w:val="a9"/>
                <w:rFonts w:ascii="Times New Roman" w:eastAsia="楷体" w:hAnsi="Times New Roman"/>
                <w:b/>
                <w:noProof/>
              </w:rPr>
              <w:t>贵金属</w:t>
            </w:r>
            <w:r w:rsidRPr="00812CD6">
              <w:rPr>
                <w:rStyle w:val="a9"/>
                <w:rFonts w:ascii="Times New Roman" w:eastAsia="楷体" w:hAnsi="Times New Roman"/>
                <w:b/>
                <w:noProof/>
              </w:rPr>
              <w:t>]</w:t>
            </w:r>
          </w:hyperlink>
        </w:p>
        <w:p w:rsidR="0092326A" w:rsidRDefault="0092326A">
          <w:pPr>
            <w:pStyle w:val="23"/>
            <w:tabs>
              <w:tab w:val="right" w:leader="dot" w:pos="8296"/>
            </w:tabs>
            <w:rPr>
              <w:rFonts w:eastAsiaTheme="minorEastAsia"/>
              <w:noProof/>
              <w:szCs w:val="22"/>
            </w:rPr>
          </w:pPr>
          <w:hyperlink w:anchor="_Toc140581095" w:history="1">
            <w:r w:rsidRPr="00812CD6">
              <w:rPr>
                <w:rStyle w:val="a9"/>
                <w:rFonts w:ascii="Times New Roman" w:eastAsia="楷体" w:hAnsi="Times New Roman"/>
                <w:b/>
                <w:noProof/>
              </w:rPr>
              <w:t>贵金属：美元指数偏弱运行，贵金属价格窄幅震荡</w:t>
            </w:r>
          </w:hyperlink>
        </w:p>
        <w:p w:rsidR="0092326A" w:rsidRDefault="0092326A">
          <w:pPr>
            <w:pStyle w:val="11"/>
            <w:tabs>
              <w:tab w:val="right" w:leader="dot" w:pos="8296"/>
            </w:tabs>
            <w:rPr>
              <w:rFonts w:eastAsiaTheme="minorEastAsia"/>
              <w:noProof/>
              <w:szCs w:val="22"/>
            </w:rPr>
          </w:pPr>
          <w:hyperlink w:anchor="_Toc140581096" w:history="1">
            <w:r w:rsidRPr="00812CD6">
              <w:rPr>
                <w:rStyle w:val="a9"/>
                <w:rFonts w:ascii="Times New Roman" w:eastAsia="楷体" w:hAnsi="Times New Roman"/>
                <w:b/>
                <w:noProof/>
              </w:rPr>
              <w:t>[</w:t>
            </w:r>
            <w:r w:rsidRPr="00812CD6">
              <w:rPr>
                <w:rStyle w:val="a9"/>
                <w:rFonts w:ascii="Times New Roman" w:eastAsia="楷体" w:hAnsi="Times New Roman"/>
                <w:b/>
                <w:noProof/>
              </w:rPr>
              <w:t>金属</w:t>
            </w:r>
            <w:r w:rsidRPr="00812CD6">
              <w:rPr>
                <w:rStyle w:val="a9"/>
                <w:rFonts w:ascii="Times New Roman" w:eastAsia="楷体" w:hAnsi="Times New Roman"/>
                <w:b/>
                <w:noProof/>
              </w:rPr>
              <w:t>]</w:t>
            </w:r>
          </w:hyperlink>
        </w:p>
        <w:p w:rsidR="0092326A" w:rsidRDefault="0092326A">
          <w:pPr>
            <w:pStyle w:val="23"/>
            <w:tabs>
              <w:tab w:val="right" w:leader="dot" w:pos="8296"/>
            </w:tabs>
            <w:rPr>
              <w:rFonts w:eastAsiaTheme="minorEastAsia"/>
              <w:noProof/>
              <w:szCs w:val="22"/>
            </w:rPr>
          </w:pPr>
          <w:hyperlink w:anchor="_Toc140581097" w:history="1">
            <w:r w:rsidRPr="00812CD6">
              <w:rPr>
                <w:rStyle w:val="a9"/>
                <w:rFonts w:ascii="楷体" w:eastAsia="楷体" w:hAnsi="楷体"/>
                <w:b/>
                <w:noProof/>
              </w:rPr>
              <w:t>螺纹钢：成本推动，上方压力相对明显</w:t>
            </w:r>
          </w:hyperlink>
        </w:p>
        <w:p w:rsidR="0092326A" w:rsidRDefault="0092326A">
          <w:pPr>
            <w:pStyle w:val="23"/>
            <w:tabs>
              <w:tab w:val="right" w:leader="dot" w:pos="8296"/>
            </w:tabs>
            <w:rPr>
              <w:rFonts w:eastAsiaTheme="minorEastAsia"/>
              <w:noProof/>
              <w:szCs w:val="22"/>
            </w:rPr>
          </w:pPr>
          <w:hyperlink w:anchor="_Toc140581098" w:history="1">
            <w:r w:rsidRPr="00812CD6">
              <w:rPr>
                <w:rStyle w:val="a9"/>
                <w:rFonts w:ascii="楷体" w:eastAsia="楷体" w:hAnsi="楷体"/>
                <w:b/>
                <w:noProof/>
              </w:rPr>
              <w:t>焦炭：煤价强势，高位偏强震荡</w:t>
            </w:r>
          </w:hyperlink>
        </w:p>
        <w:p w:rsidR="0092326A" w:rsidRDefault="0092326A">
          <w:pPr>
            <w:pStyle w:val="23"/>
            <w:tabs>
              <w:tab w:val="right" w:leader="dot" w:pos="8296"/>
            </w:tabs>
            <w:rPr>
              <w:rFonts w:eastAsiaTheme="minorEastAsia"/>
              <w:noProof/>
              <w:szCs w:val="22"/>
            </w:rPr>
          </w:pPr>
          <w:hyperlink w:anchor="_Toc140581099" w:history="1">
            <w:r w:rsidRPr="00812CD6">
              <w:rPr>
                <w:rStyle w:val="a9"/>
                <w:rFonts w:ascii="楷体" w:eastAsia="楷体" w:hAnsi="楷体"/>
                <w:b/>
                <w:noProof/>
              </w:rPr>
              <w:t>焦煤：利多消息刺激，谨防冲高回落</w:t>
            </w:r>
          </w:hyperlink>
        </w:p>
        <w:p w:rsidR="0092326A" w:rsidRDefault="0092326A">
          <w:pPr>
            <w:pStyle w:val="23"/>
            <w:tabs>
              <w:tab w:val="right" w:leader="dot" w:pos="8296"/>
            </w:tabs>
            <w:rPr>
              <w:rFonts w:eastAsiaTheme="minorEastAsia"/>
              <w:noProof/>
              <w:szCs w:val="22"/>
            </w:rPr>
          </w:pPr>
          <w:hyperlink w:anchor="_Toc140581100" w:history="1">
            <w:r w:rsidRPr="00812CD6">
              <w:rPr>
                <w:rStyle w:val="a9"/>
                <w:rFonts w:ascii="楷体" w:eastAsia="楷体" w:hAnsi="楷体"/>
                <w:b/>
                <w:noProof/>
              </w:rPr>
              <w:t>铜：维持高位震荡</w:t>
            </w:r>
          </w:hyperlink>
        </w:p>
        <w:p w:rsidR="0092326A" w:rsidRDefault="0092326A">
          <w:pPr>
            <w:pStyle w:val="23"/>
            <w:tabs>
              <w:tab w:val="right" w:leader="dot" w:pos="8296"/>
            </w:tabs>
            <w:rPr>
              <w:rFonts w:eastAsiaTheme="minorEastAsia"/>
              <w:noProof/>
              <w:szCs w:val="22"/>
            </w:rPr>
          </w:pPr>
          <w:hyperlink w:anchor="_Toc140581101" w:history="1">
            <w:r w:rsidRPr="00812CD6">
              <w:rPr>
                <w:rStyle w:val="a9"/>
                <w:rFonts w:ascii="楷体" w:eastAsia="楷体" w:hAnsi="楷体"/>
                <w:b/>
                <w:noProof/>
              </w:rPr>
              <w:t>铝：宏观情绪支撑，基本面偏弱维持，注意价格回调风险</w:t>
            </w:r>
          </w:hyperlink>
        </w:p>
        <w:p w:rsidR="0092326A" w:rsidRDefault="0092326A">
          <w:pPr>
            <w:pStyle w:val="23"/>
            <w:tabs>
              <w:tab w:val="right" w:leader="dot" w:pos="8296"/>
            </w:tabs>
            <w:rPr>
              <w:rFonts w:eastAsiaTheme="minorEastAsia"/>
              <w:noProof/>
              <w:szCs w:val="22"/>
            </w:rPr>
          </w:pPr>
          <w:hyperlink w:anchor="_Toc140581102" w:history="1">
            <w:r w:rsidRPr="00812CD6">
              <w:rPr>
                <w:rStyle w:val="a9"/>
                <w:rFonts w:ascii="楷体" w:eastAsia="楷体" w:hAnsi="楷体"/>
                <w:b/>
                <w:noProof/>
              </w:rPr>
              <w:t>锌：宏观及基本面情绪分化，价格上驱但支撑不足</w:t>
            </w:r>
          </w:hyperlink>
        </w:p>
        <w:p w:rsidR="0092326A" w:rsidRDefault="0092326A">
          <w:pPr>
            <w:pStyle w:val="23"/>
            <w:tabs>
              <w:tab w:val="right" w:leader="dot" w:pos="8296"/>
            </w:tabs>
            <w:rPr>
              <w:rFonts w:eastAsiaTheme="minorEastAsia"/>
              <w:noProof/>
              <w:szCs w:val="22"/>
            </w:rPr>
          </w:pPr>
          <w:hyperlink w:anchor="_Toc140581103" w:history="1">
            <w:r w:rsidRPr="00812CD6">
              <w:rPr>
                <w:rStyle w:val="a9"/>
                <w:rFonts w:ascii="楷体" w:eastAsia="楷体" w:hAnsi="楷体"/>
                <w:b/>
                <w:noProof/>
              </w:rPr>
              <w:t>镍：供应预期压力仍在，镍价反弹空间有限</w:t>
            </w:r>
          </w:hyperlink>
        </w:p>
        <w:p w:rsidR="0092326A" w:rsidRDefault="0092326A">
          <w:pPr>
            <w:pStyle w:val="23"/>
            <w:tabs>
              <w:tab w:val="right" w:leader="dot" w:pos="8296"/>
            </w:tabs>
            <w:rPr>
              <w:rFonts w:eastAsiaTheme="minorEastAsia"/>
              <w:noProof/>
              <w:szCs w:val="22"/>
            </w:rPr>
          </w:pPr>
          <w:hyperlink w:anchor="_Toc140581104" w:history="1">
            <w:r w:rsidRPr="00812CD6">
              <w:rPr>
                <w:rStyle w:val="a9"/>
                <w:rFonts w:ascii="楷体" w:eastAsia="楷体" w:hAnsi="楷体"/>
                <w:b/>
                <w:noProof/>
              </w:rPr>
              <w:t>铅：宏观情绪提振铅价，短期震荡上行</w:t>
            </w:r>
          </w:hyperlink>
        </w:p>
        <w:p w:rsidR="0092326A" w:rsidRDefault="0092326A">
          <w:pPr>
            <w:pStyle w:val="23"/>
            <w:tabs>
              <w:tab w:val="right" w:leader="dot" w:pos="8296"/>
            </w:tabs>
            <w:rPr>
              <w:rFonts w:eastAsiaTheme="minorEastAsia"/>
              <w:noProof/>
              <w:szCs w:val="22"/>
            </w:rPr>
          </w:pPr>
          <w:hyperlink w:anchor="_Toc140581105" w:history="1">
            <w:r w:rsidRPr="00812CD6">
              <w:rPr>
                <w:rStyle w:val="a9"/>
                <w:rFonts w:ascii="楷体" w:eastAsia="楷体" w:hAnsi="楷体"/>
                <w:b/>
                <w:noProof/>
              </w:rPr>
              <w:t>不锈钢：基本面边际转弱，价格承压运行</w:t>
            </w:r>
          </w:hyperlink>
        </w:p>
        <w:p w:rsidR="0092326A" w:rsidRDefault="0092326A">
          <w:pPr>
            <w:pStyle w:val="23"/>
            <w:tabs>
              <w:tab w:val="right" w:leader="dot" w:pos="8296"/>
            </w:tabs>
            <w:rPr>
              <w:rFonts w:eastAsiaTheme="minorEastAsia"/>
              <w:noProof/>
              <w:szCs w:val="22"/>
            </w:rPr>
          </w:pPr>
          <w:hyperlink w:anchor="_Toc140581106" w:history="1">
            <w:r w:rsidRPr="00812CD6">
              <w:rPr>
                <w:rStyle w:val="a9"/>
                <w:rFonts w:ascii="楷体" w:eastAsia="楷体" w:hAnsi="楷体"/>
                <w:b/>
                <w:noProof/>
              </w:rPr>
              <w:t>工业硅：高温担忧未解除，持续下行或有限</w:t>
            </w:r>
          </w:hyperlink>
        </w:p>
        <w:p w:rsidR="0092326A" w:rsidRDefault="0092326A">
          <w:pPr>
            <w:pStyle w:val="11"/>
            <w:tabs>
              <w:tab w:val="right" w:leader="dot" w:pos="8296"/>
            </w:tabs>
            <w:rPr>
              <w:rFonts w:eastAsiaTheme="minorEastAsia"/>
              <w:noProof/>
              <w:szCs w:val="22"/>
            </w:rPr>
          </w:pPr>
          <w:hyperlink w:anchor="_Toc140581107" w:history="1">
            <w:r w:rsidRPr="00812CD6">
              <w:rPr>
                <w:rStyle w:val="a9"/>
                <w:rFonts w:ascii="Times New Roman" w:eastAsia="楷体" w:hAnsi="Times New Roman"/>
                <w:b/>
                <w:noProof/>
              </w:rPr>
              <w:t>[</w:t>
            </w:r>
            <w:r w:rsidRPr="00812CD6">
              <w:rPr>
                <w:rStyle w:val="a9"/>
                <w:rFonts w:ascii="Times New Roman" w:eastAsia="楷体" w:hAnsi="Times New Roman"/>
                <w:b/>
                <w:noProof/>
              </w:rPr>
              <w:t>化工</w:t>
            </w:r>
            <w:r w:rsidRPr="00812CD6">
              <w:rPr>
                <w:rStyle w:val="a9"/>
                <w:rFonts w:ascii="Times New Roman" w:eastAsia="楷体" w:hAnsi="Times New Roman"/>
                <w:b/>
                <w:noProof/>
              </w:rPr>
              <w:t>]</w:t>
            </w:r>
          </w:hyperlink>
        </w:p>
        <w:p w:rsidR="0092326A" w:rsidRDefault="0092326A">
          <w:pPr>
            <w:pStyle w:val="23"/>
            <w:tabs>
              <w:tab w:val="right" w:leader="dot" w:pos="8296"/>
            </w:tabs>
            <w:rPr>
              <w:rFonts w:eastAsiaTheme="minorEastAsia"/>
              <w:noProof/>
              <w:szCs w:val="22"/>
            </w:rPr>
          </w:pPr>
          <w:hyperlink w:anchor="_Toc140581108" w:history="1">
            <w:r w:rsidRPr="00812CD6">
              <w:rPr>
                <w:rStyle w:val="a9"/>
                <w:rFonts w:ascii="Times New Roman" w:eastAsia="楷体" w:hAnsi="Times New Roman"/>
                <w:b/>
                <w:noProof/>
              </w:rPr>
              <w:t>天然橡胶</w:t>
            </w:r>
            <w:r w:rsidRPr="00812CD6">
              <w:rPr>
                <w:rStyle w:val="a9"/>
                <w:rFonts w:ascii="Times New Roman" w:eastAsia="楷体" w:hAnsi="Times New Roman"/>
                <w:b/>
                <w:noProof/>
              </w:rPr>
              <w:t>:</w:t>
            </w:r>
            <w:r w:rsidRPr="00812CD6">
              <w:rPr>
                <w:rStyle w:val="a9"/>
                <w:rFonts w:ascii="楷体" w:eastAsia="楷体" w:hAnsi="楷体"/>
                <w:b/>
                <w:noProof/>
              </w:rPr>
              <w:t xml:space="preserve"> 收储炒作淡化与基本面弱势博弈 短期RU仍有小幅走弱预期</w:t>
            </w:r>
          </w:hyperlink>
        </w:p>
        <w:p w:rsidR="0092326A" w:rsidRDefault="0092326A">
          <w:pPr>
            <w:pStyle w:val="23"/>
            <w:tabs>
              <w:tab w:val="right" w:leader="dot" w:pos="8296"/>
            </w:tabs>
            <w:rPr>
              <w:rFonts w:eastAsiaTheme="minorEastAsia"/>
              <w:noProof/>
              <w:szCs w:val="22"/>
            </w:rPr>
          </w:pPr>
          <w:hyperlink w:anchor="_Toc140581109" w:history="1">
            <w:r w:rsidRPr="00812CD6">
              <w:rPr>
                <w:rStyle w:val="a9"/>
                <w:rFonts w:ascii="楷体" w:eastAsia="楷体" w:hAnsi="楷体"/>
                <w:b/>
                <w:noProof/>
              </w:rPr>
              <w:t>PTA：驱动接近尾声 关注09上方压力位</w:t>
            </w:r>
          </w:hyperlink>
        </w:p>
        <w:p w:rsidR="0092326A" w:rsidRDefault="0092326A">
          <w:pPr>
            <w:pStyle w:val="23"/>
            <w:tabs>
              <w:tab w:val="right" w:leader="dot" w:pos="8296"/>
            </w:tabs>
            <w:rPr>
              <w:rFonts w:eastAsiaTheme="minorEastAsia"/>
              <w:noProof/>
              <w:szCs w:val="22"/>
            </w:rPr>
          </w:pPr>
          <w:hyperlink w:anchor="_Toc140581110" w:history="1">
            <w:r w:rsidRPr="00812CD6">
              <w:rPr>
                <w:rStyle w:val="a9"/>
                <w:rFonts w:ascii="楷体" w:eastAsia="楷体" w:hAnsi="楷体"/>
                <w:b/>
                <w:noProof/>
              </w:rPr>
              <w:t>PVC：高库存+弱复苏 驱动不足</w:t>
            </w:r>
          </w:hyperlink>
        </w:p>
        <w:p w:rsidR="0092326A" w:rsidRDefault="0092326A">
          <w:pPr>
            <w:pStyle w:val="23"/>
            <w:tabs>
              <w:tab w:val="right" w:leader="dot" w:pos="8296"/>
            </w:tabs>
            <w:rPr>
              <w:rFonts w:eastAsiaTheme="minorEastAsia"/>
              <w:noProof/>
              <w:szCs w:val="22"/>
            </w:rPr>
          </w:pPr>
          <w:hyperlink w:anchor="_Toc140581111" w:history="1">
            <w:r w:rsidRPr="00812CD6">
              <w:rPr>
                <w:rStyle w:val="a9"/>
                <w:rFonts w:ascii="楷体" w:eastAsia="楷体" w:hAnsi="楷体"/>
                <w:b/>
                <w:noProof/>
              </w:rPr>
              <w:t>聚烯烃：成本面支撑不足，聚烯烃价格或偏弱整理为主</w:t>
            </w:r>
          </w:hyperlink>
        </w:p>
        <w:p w:rsidR="0092326A" w:rsidRDefault="0092326A">
          <w:pPr>
            <w:pStyle w:val="23"/>
            <w:tabs>
              <w:tab w:val="right" w:leader="dot" w:pos="8296"/>
            </w:tabs>
            <w:rPr>
              <w:rFonts w:eastAsiaTheme="minorEastAsia"/>
              <w:noProof/>
              <w:szCs w:val="22"/>
            </w:rPr>
          </w:pPr>
          <w:hyperlink w:anchor="_Toc140581112" w:history="1">
            <w:r w:rsidRPr="00812CD6">
              <w:rPr>
                <w:rStyle w:val="a9"/>
                <w:rFonts w:ascii="楷体" w:eastAsia="楷体" w:hAnsi="楷体"/>
                <w:b/>
                <w:noProof/>
              </w:rPr>
              <w:t>MEG：供需紧平衡格局 短期仍有支撑</w:t>
            </w:r>
          </w:hyperlink>
        </w:p>
        <w:p w:rsidR="0092326A" w:rsidRDefault="0092326A">
          <w:pPr>
            <w:pStyle w:val="23"/>
            <w:tabs>
              <w:tab w:val="right" w:leader="dot" w:pos="8296"/>
            </w:tabs>
            <w:rPr>
              <w:rFonts w:eastAsiaTheme="minorEastAsia"/>
              <w:noProof/>
              <w:szCs w:val="22"/>
            </w:rPr>
          </w:pPr>
          <w:hyperlink w:anchor="_Toc140581113" w:history="1">
            <w:r w:rsidRPr="00812CD6">
              <w:rPr>
                <w:rStyle w:val="a9"/>
                <w:rFonts w:ascii="楷体" w:eastAsia="楷体" w:hAnsi="楷体"/>
                <w:b/>
                <w:noProof/>
              </w:rPr>
              <w:t>玻璃：产销转强，持仓量下降</w:t>
            </w:r>
          </w:hyperlink>
        </w:p>
        <w:p w:rsidR="0092326A" w:rsidRDefault="0092326A">
          <w:pPr>
            <w:pStyle w:val="23"/>
            <w:tabs>
              <w:tab w:val="right" w:leader="dot" w:pos="8296"/>
            </w:tabs>
            <w:rPr>
              <w:rFonts w:eastAsiaTheme="minorEastAsia"/>
              <w:noProof/>
              <w:szCs w:val="22"/>
            </w:rPr>
          </w:pPr>
          <w:hyperlink w:anchor="_Toc140581114" w:history="1">
            <w:r w:rsidRPr="00812CD6">
              <w:rPr>
                <w:rStyle w:val="a9"/>
                <w:rFonts w:ascii="楷体" w:eastAsia="楷体" w:hAnsi="楷体"/>
                <w:b/>
                <w:noProof/>
              </w:rPr>
              <w:t>纯碱：持仓量下降，盘面震荡</w:t>
            </w:r>
          </w:hyperlink>
        </w:p>
        <w:p w:rsidR="0092326A" w:rsidRDefault="0092326A">
          <w:pPr>
            <w:pStyle w:val="11"/>
            <w:tabs>
              <w:tab w:val="right" w:leader="dot" w:pos="8296"/>
            </w:tabs>
            <w:rPr>
              <w:rFonts w:eastAsiaTheme="minorEastAsia"/>
              <w:noProof/>
              <w:szCs w:val="22"/>
            </w:rPr>
          </w:pPr>
          <w:hyperlink w:anchor="_Toc140581115" w:history="1">
            <w:r w:rsidRPr="00812CD6">
              <w:rPr>
                <w:rStyle w:val="a9"/>
                <w:rFonts w:ascii="Times New Roman" w:eastAsia="楷体" w:hAnsi="Times New Roman"/>
                <w:b/>
                <w:noProof/>
              </w:rPr>
              <w:t>[</w:t>
            </w:r>
            <w:r w:rsidRPr="00812CD6">
              <w:rPr>
                <w:rStyle w:val="a9"/>
                <w:rFonts w:ascii="Times New Roman" w:eastAsia="楷体" w:hAnsi="Times New Roman"/>
                <w:b/>
                <w:noProof/>
              </w:rPr>
              <w:t>农产品</w:t>
            </w:r>
            <w:r w:rsidRPr="00812CD6">
              <w:rPr>
                <w:rStyle w:val="a9"/>
                <w:rFonts w:ascii="Times New Roman" w:eastAsia="楷体" w:hAnsi="Times New Roman"/>
                <w:b/>
                <w:noProof/>
              </w:rPr>
              <w:t>]</w:t>
            </w:r>
          </w:hyperlink>
        </w:p>
        <w:p w:rsidR="0092326A" w:rsidRDefault="0092326A">
          <w:pPr>
            <w:pStyle w:val="23"/>
            <w:tabs>
              <w:tab w:val="right" w:leader="dot" w:pos="8296"/>
            </w:tabs>
            <w:rPr>
              <w:rFonts w:eastAsiaTheme="minorEastAsia"/>
              <w:noProof/>
              <w:szCs w:val="22"/>
            </w:rPr>
          </w:pPr>
          <w:hyperlink w:anchor="_Toc140581116" w:history="1">
            <w:r w:rsidRPr="00812CD6">
              <w:rPr>
                <w:rStyle w:val="a9"/>
                <w:rFonts w:ascii="楷体" w:eastAsia="楷体" w:hAnsi="楷体"/>
                <w:b/>
                <w:noProof/>
              </w:rPr>
              <w:t>豆粕/菜粕：短期维持高位震荡</w:t>
            </w:r>
          </w:hyperlink>
        </w:p>
        <w:p w:rsidR="0092326A" w:rsidRDefault="0092326A">
          <w:pPr>
            <w:pStyle w:val="23"/>
            <w:tabs>
              <w:tab w:val="right" w:leader="dot" w:pos="8296"/>
            </w:tabs>
            <w:rPr>
              <w:rFonts w:eastAsiaTheme="minorEastAsia"/>
              <w:noProof/>
              <w:szCs w:val="22"/>
            </w:rPr>
          </w:pPr>
          <w:hyperlink w:anchor="_Toc140581117" w:history="1">
            <w:r w:rsidRPr="00812CD6">
              <w:rPr>
                <w:rStyle w:val="a9"/>
                <w:rFonts w:ascii="楷体" w:eastAsia="楷体" w:hAnsi="楷体"/>
                <w:b/>
                <w:noProof/>
              </w:rPr>
              <w:t>油脂：短期震荡整理</w:t>
            </w:r>
          </w:hyperlink>
        </w:p>
        <w:p w:rsidR="0092326A" w:rsidRDefault="0092326A">
          <w:pPr>
            <w:pStyle w:val="23"/>
            <w:tabs>
              <w:tab w:val="right" w:leader="dot" w:pos="8296"/>
            </w:tabs>
            <w:rPr>
              <w:rFonts w:eastAsiaTheme="minorEastAsia"/>
              <w:noProof/>
              <w:szCs w:val="22"/>
            </w:rPr>
          </w:pPr>
          <w:hyperlink w:anchor="_Toc140581118" w:history="1">
            <w:r w:rsidRPr="00812CD6">
              <w:rPr>
                <w:rStyle w:val="a9"/>
                <w:rFonts w:ascii="楷体" w:eastAsia="楷体" w:hAnsi="楷体"/>
                <w:b/>
                <w:bCs/>
                <w:noProof/>
              </w:rPr>
              <w:t>玉米与淀粉：</w:t>
            </w:r>
            <w:r w:rsidRPr="00812CD6">
              <w:rPr>
                <w:rStyle w:val="a9"/>
                <w:rFonts w:ascii="楷体" w:eastAsia="楷体" w:hAnsi="楷体"/>
                <w:b/>
                <w:noProof/>
              </w:rPr>
              <w:t>期价夜盘再度回落调整</w:t>
            </w:r>
          </w:hyperlink>
        </w:p>
        <w:p w:rsidR="0092326A" w:rsidRDefault="0092326A">
          <w:pPr>
            <w:pStyle w:val="23"/>
            <w:tabs>
              <w:tab w:val="right" w:leader="dot" w:pos="8296"/>
            </w:tabs>
            <w:rPr>
              <w:rFonts w:eastAsiaTheme="minorEastAsia"/>
              <w:noProof/>
              <w:szCs w:val="22"/>
            </w:rPr>
          </w:pPr>
          <w:hyperlink w:anchor="_Toc140581119" w:history="1">
            <w:r w:rsidRPr="00812CD6">
              <w:rPr>
                <w:rStyle w:val="a9"/>
                <w:rFonts w:ascii="楷体" w:eastAsia="楷体" w:hAnsi="楷体"/>
                <w:b/>
                <w:bCs/>
                <w:noProof/>
              </w:rPr>
              <w:t>畜禽养殖：现货带动期价近强远弱分化运行</w:t>
            </w:r>
          </w:hyperlink>
        </w:p>
        <w:p w:rsidR="0092326A" w:rsidRDefault="0092326A">
          <w:pPr>
            <w:pStyle w:val="23"/>
            <w:tabs>
              <w:tab w:val="right" w:leader="dot" w:pos="8296"/>
            </w:tabs>
            <w:rPr>
              <w:rFonts w:eastAsiaTheme="minorEastAsia"/>
              <w:noProof/>
              <w:szCs w:val="22"/>
            </w:rPr>
          </w:pPr>
          <w:hyperlink w:anchor="_Toc140581120" w:history="1">
            <w:r w:rsidRPr="00812CD6">
              <w:rPr>
                <w:rStyle w:val="a9"/>
                <w:rFonts w:ascii="楷体" w:eastAsia="楷体" w:hAnsi="楷体"/>
                <w:b/>
                <w:noProof/>
              </w:rPr>
              <w:t>郑棉：09看跌期权卖权持有，等待01在16500附近逢低买入机会</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058109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0581093"/>
      <w:bookmarkEnd w:id="4"/>
      <w:r>
        <w:rPr>
          <w:rFonts w:ascii="Times New Roman" w:eastAsia="楷体" w:hAnsi="Times New Roman" w:hint="eastAsia"/>
          <w:b/>
          <w:color w:val="000000" w:themeColor="text1"/>
          <w:sz w:val="24"/>
          <w:szCs w:val="24"/>
        </w:rPr>
        <w:t>股指：</w:t>
      </w:r>
      <w:bookmarkEnd w:id="6"/>
      <w:bookmarkEnd w:id="7"/>
      <w:r w:rsidR="00380E38" w:rsidRPr="00380E38">
        <w:rPr>
          <w:rFonts w:ascii="Times New Roman" w:eastAsia="楷体" w:hAnsi="Times New Roman" w:hint="eastAsia"/>
          <w:b/>
          <w:color w:val="000000" w:themeColor="text1"/>
          <w:sz w:val="24"/>
          <w:szCs w:val="24"/>
        </w:rPr>
        <w:t>低多</w:t>
      </w:r>
      <w:r w:rsidR="00380E38" w:rsidRPr="00380E38">
        <w:rPr>
          <w:rFonts w:ascii="Times New Roman" w:eastAsia="楷体" w:hAnsi="Times New Roman" w:hint="eastAsia"/>
          <w:b/>
          <w:color w:val="000000" w:themeColor="text1"/>
          <w:sz w:val="24"/>
          <w:szCs w:val="24"/>
        </w:rPr>
        <w:t>IF</w:t>
      </w:r>
      <w:r w:rsidR="00380E38" w:rsidRPr="00380E38">
        <w:rPr>
          <w:rFonts w:ascii="Times New Roman" w:eastAsia="楷体" w:hAnsi="Times New Roman" w:hint="eastAsia"/>
          <w:b/>
          <w:color w:val="000000" w:themeColor="text1"/>
          <w:sz w:val="24"/>
          <w:szCs w:val="24"/>
        </w:rPr>
        <w:t>、</w:t>
      </w:r>
      <w:r w:rsidR="00380E38" w:rsidRPr="00380E38">
        <w:rPr>
          <w:rFonts w:ascii="Times New Roman" w:eastAsia="楷体" w:hAnsi="Times New Roman" w:hint="eastAsia"/>
          <w:b/>
          <w:color w:val="000000" w:themeColor="text1"/>
          <w:sz w:val="24"/>
          <w:szCs w:val="24"/>
        </w:rPr>
        <w:t>IM</w:t>
      </w:r>
      <w:bookmarkEnd w:id="8"/>
    </w:p>
    <w:p w:rsidR="003F56A5" w:rsidRDefault="00380E38">
      <w:pPr>
        <w:ind w:leftChars="300" w:left="630"/>
        <w:rPr>
          <w:rFonts w:ascii="Times New Roman" w:eastAsia="楷体" w:hAnsi="Times New Roman"/>
          <w:color w:val="000000" w:themeColor="text1"/>
          <w:sz w:val="24"/>
          <w:szCs w:val="24"/>
        </w:rPr>
      </w:pPr>
      <w:r w:rsidRPr="00380E38">
        <w:rPr>
          <w:rFonts w:ascii="Times New Roman" w:eastAsia="楷体" w:hAnsi="Times New Roman" w:hint="eastAsia"/>
          <w:color w:val="000000" w:themeColor="text1"/>
          <w:sz w:val="24"/>
          <w:szCs w:val="24"/>
        </w:rPr>
        <w:t>美国非农首次低于预期后，通胀数据再度低于预期，海外流动性修复拐点逐步显现。尽管未来终点预期的变化可能仍有扰动，</w:t>
      </w:r>
      <w:r w:rsidRPr="00380E38">
        <w:rPr>
          <w:rFonts w:ascii="Times New Roman" w:eastAsia="楷体" w:hAnsi="Times New Roman" w:hint="eastAsia"/>
          <w:color w:val="000000" w:themeColor="text1"/>
          <w:sz w:val="24"/>
          <w:szCs w:val="24"/>
        </w:rPr>
        <w:t xml:space="preserve"> </w:t>
      </w:r>
      <w:r w:rsidRPr="00380E38">
        <w:rPr>
          <w:rFonts w:ascii="Times New Roman" w:eastAsia="楷体" w:hAnsi="Times New Roman" w:hint="eastAsia"/>
          <w:color w:val="000000" w:themeColor="text1"/>
          <w:sz w:val="24"/>
          <w:szCs w:val="24"/>
        </w:rPr>
        <w:t>但美元指数和美债收益率的下行趋势已基本明确。</w:t>
      </w:r>
      <w:r w:rsidRPr="00380E38">
        <w:rPr>
          <w:rFonts w:ascii="Times New Roman" w:eastAsia="楷体" w:hAnsi="Times New Roman" w:hint="eastAsia"/>
          <w:color w:val="000000" w:themeColor="text1"/>
          <w:sz w:val="24"/>
          <w:szCs w:val="24"/>
        </w:rPr>
        <w:t>6</w:t>
      </w:r>
      <w:r w:rsidRPr="00380E38">
        <w:rPr>
          <w:rFonts w:ascii="Times New Roman" w:eastAsia="楷体" w:hAnsi="Times New Roman" w:hint="eastAsia"/>
          <w:color w:val="000000" w:themeColor="text1"/>
          <w:sz w:val="24"/>
          <w:szCs w:val="24"/>
        </w:rPr>
        <w:t>月新增社融和信贷规模超预期，结构有所改善，工业企业盈利增速迎来拐点，下半年信用企稳扩张是大概率事件。人民币兑美元汇率开始企稳回升，外资有望延续净流入，</w:t>
      </w:r>
      <w:r w:rsidRPr="00380E38">
        <w:rPr>
          <w:rFonts w:ascii="Times New Roman" w:eastAsia="楷体" w:hAnsi="Times New Roman" w:hint="eastAsia"/>
          <w:color w:val="000000" w:themeColor="text1"/>
          <w:sz w:val="24"/>
          <w:szCs w:val="24"/>
        </w:rPr>
        <w:t>A</w:t>
      </w:r>
      <w:r w:rsidRPr="00380E38">
        <w:rPr>
          <w:rFonts w:ascii="Times New Roman" w:eastAsia="楷体" w:hAnsi="Times New Roman" w:hint="eastAsia"/>
          <w:color w:val="000000" w:themeColor="text1"/>
          <w:sz w:val="24"/>
          <w:szCs w:val="24"/>
        </w:rPr>
        <w:t>股成长风格有望重回占优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058109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0581095"/>
      <w:r>
        <w:rPr>
          <w:rFonts w:ascii="Times New Roman" w:eastAsia="楷体" w:hAnsi="Times New Roman" w:hint="eastAsia"/>
          <w:b/>
          <w:color w:val="000000" w:themeColor="text1"/>
          <w:sz w:val="24"/>
          <w:szCs w:val="24"/>
        </w:rPr>
        <w:t>贵金属：</w:t>
      </w:r>
      <w:r w:rsidR="00201944" w:rsidRPr="00201944">
        <w:rPr>
          <w:rFonts w:ascii="Times New Roman" w:eastAsia="楷体" w:hAnsi="Times New Roman" w:hint="eastAsia"/>
          <w:b/>
          <w:color w:val="000000" w:themeColor="text1"/>
          <w:sz w:val="24"/>
          <w:szCs w:val="24"/>
        </w:rPr>
        <w:t>美元指数偏弱运行，贵金属价格窄幅震荡</w:t>
      </w:r>
      <w:bookmarkEnd w:id="10"/>
    </w:p>
    <w:p w:rsidR="003F56A5" w:rsidRDefault="00201944">
      <w:pPr>
        <w:ind w:leftChars="300" w:left="630"/>
        <w:rPr>
          <w:rFonts w:ascii="Times New Roman" w:eastAsia="楷体" w:hAnsi="Times New Roman"/>
          <w:sz w:val="24"/>
          <w:szCs w:val="24"/>
        </w:rPr>
      </w:pPr>
      <w:r w:rsidRPr="00201944">
        <w:rPr>
          <w:rFonts w:ascii="Times New Roman" w:eastAsia="楷体" w:hAnsi="Times New Roman" w:hint="eastAsia"/>
          <w:color w:val="000000" w:themeColor="text1"/>
          <w:sz w:val="24"/>
          <w:szCs w:val="24"/>
        </w:rPr>
        <w:t>美国财长耶伦称，美国经济增长放缓但劳动力市场强劲，不认为会出现经济衰退，抗通胀方面已取得进展。欧央行行长拉加德表示，地缘紧张局势加剧和全球贸易疲软正在重塑全球经济，可能对中东欧及东南欧国家产生深远影响；中东欧及东南欧国家地区超过</w:t>
      </w:r>
      <w:r w:rsidRPr="00201944">
        <w:rPr>
          <w:rFonts w:ascii="Times New Roman" w:eastAsia="楷体" w:hAnsi="Times New Roman" w:hint="eastAsia"/>
          <w:color w:val="000000" w:themeColor="text1"/>
          <w:sz w:val="24"/>
          <w:szCs w:val="24"/>
        </w:rPr>
        <w:t>2/3</w:t>
      </w:r>
      <w:r w:rsidRPr="00201944">
        <w:rPr>
          <w:rFonts w:ascii="Times New Roman" w:eastAsia="楷体" w:hAnsi="Times New Roman" w:hint="eastAsia"/>
          <w:color w:val="000000" w:themeColor="text1"/>
          <w:sz w:val="24"/>
          <w:szCs w:val="24"/>
        </w:rPr>
        <w:t>经济体</w:t>
      </w:r>
      <w:r w:rsidRPr="00201944">
        <w:rPr>
          <w:rFonts w:ascii="Times New Roman" w:eastAsia="楷体" w:hAnsi="Times New Roman" w:hint="eastAsia"/>
          <w:color w:val="000000" w:themeColor="text1"/>
          <w:sz w:val="24"/>
          <w:szCs w:val="24"/>
        </w:rPr>
        <w:t>2022</w:t>
      </w:r>
      <w:r w:rsidRPr="00201944">
        <w:rPr>
          <w:rFonts w:ascii="Times New Roman" w:eastAsia="楷体" w:hAnsi="Times New Roman" w:hint="eastAsia"/>
          <w:color w:val="000000" w:themeColor="text1"/>
          <w:sz w:val="24"/>
          <w:szCs w:val="24"/>
        </w:rPr>
        <w:t>年通胀超过</w:t>
      </w:r>
      <w:r w:rsidRPr="00201944">
        <w:rPr>
          <w:rFonts w:ascii="Times New Roman" w:eastAsia="楷体" w:hAnsi="Times New Roman" w:hint="eastAsia"/>
          <w:color w:val="000000" w:themeColor="text1"/>
          <w:sz w:val="24"/>
          <w:szCs w:val="24"/>
        </w:rPr>
        <w:t>13%</w:t>
      </w:r>
      <w:r w:rsidRPr="00201944">
        <w:rPr>
          <w:rFonts w:ascii="Times New Roman" w:eastAsia="楷体" w:hAnsi="Times New Roman" w:hint="eastAsia"/>
          <w:color w:val="000000" w:themeColor="text1"/>
          <w:sz w:val="24"/>
          <w:szCs w:val="24"/>
        </w:rPr>
        <w:t>。美元指数向上测试</w:t>
      </w:r>
      <w:r w:rsidRPr="00201944">
        <w:rPr>
          <w:rFonts w:ascii="Times New Roman" w:eastAsia="楷体" w:hAnsi="Times New Roman" w:hint="eastAsia"/>
          <w:color w:val="000000" w:themeColor="text1"/>
          <w:sz w:val="24"/>
          <w:szCs w:val="24"/>
        </w:rPr>
        <w:t>100</w:t>
      </w:r>
      <w:r w:rsidRPr="00201944">
        <w:rPr>
          <w:rFonts w:ascii="Times New Roman" w:eastAsia="楷体" w:hAnsi="Times New Roman" w:hint="eastAsia"/>
          <w:color w:val="000000" w:themeColor="text1"/>
          <w:sz w:val="24"/>
          <w:szCs w:val="24"/>
        </w:rPr>
        <w:t>整数关口，美十债收益率于</w:t>
      </w:r>
      <w:r w:rsidRPr="00201944">
        <w:rPr>
          <w:rFonts w:ascii="Times New Roman" w:eastAsia="楷体" w:hAnsi="Times New Roman" w:hint="eastAsia"/>
          <w:color w:val="000000" w:themeColor="text1"/>
          <w:sz w:val="24"/>
          <w:szCs w:val="24"/>
        </w:rPr>
        <w:t>3.80%</w:t>
      </w:r>
      <w:r w:rsidRPr="00201944">
        <w:rPr>
          <w:rFonts w:ascii="Times New Roman" w:eastAsia="楷体" w:hAnsi="Times New Roman" w:hint="eastAsia"/>
          <w:color w:val="000000" w:themeColor="text1"/>
          <w:sz w:val="24"/>
          <w:szCs w:val="24"/>
        </w:rPr>
        <w:t>附近运行。昨夜沪金、沪银窄幅震荡，美元指数偏弱运行支撑贵金属价格表现，建议沪金、沪银逢低试多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058109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0581097"/>
      <w:r>
        <w:rPr>
          <w:rFonts w:ascii="楷体" w:eastAsia="楷体" w:hAnsi="楷体" w:hint="eastAsia"/>
          <w:b/>
          <w:color w:val="000000" w:themeColor="text1"/>
          <w:sz w:val="24"/>
          <w:szCs w:val="24"/>
        </w:rPr>
        <w:t>螺纹钢：</w:t>
      </w:r>
      <w:bookmarkEnd w:id="16"/>
      <w:bookmarkEnd w:id="17"/>
      <w:r w:rsidR="00201944" w:rsidRPr="00201944">
        <w:rPr>
          <w:rFonts w:ascii="楷体" w:eastAsia="楷体" w:hAnsi="楷体" w:hint="eastAsia"/>
          <w:b/>
          <w:color w:val="000000" w:themeColor="text1"/>
          <w:sz w:val="24"/>
          <w:szCs w:val="24"/>
        </w:rPr>
        <w:t>成本推动，上方压力相对明显</w:t>
      </w:r>
      <w:bookmarkEnd w:id="18"/>
    </w:p>
    <w:p w:rsidR="00201944" w:rsidRPr="00201944" w:rsidRDefault="00201944" w:rsidP="00201944">
      <w:pPr>
        <w:ind w:leftChars="300" w:left="630"/>
        <w:rPr>
          <w:rFonts w:ascii="楷体" w:eastAsia="楷体" w:hAnsi="楷体" w:hint="eastAsia"/>
          <w:color w:val="000000" w:themeColor="text1"/>
          <w:sz w:val="24"/>
          <w:szCs w:val="24"/>
        </w:rPr>
      </w:pPr>
      <w:r w:rsidRPr="00201944">
        <w:rPr>
          <w:rFonts w:ascii="楷体" w:eastAsia="楷体" w:hAnsi="楷体" w:hint="eastAsia"/>
          <w:color w:val="000000" w:themeColor="text1"/>
          <w:sz w:val="24"/>
          <w:szCs w:val="24"/>
        </w:rPr>
        <w:t>螺纹钢：成本推动，上方压力相对明显</w:t>
      </w:r>
    </w:p>
    <w:p w:rsidR="003F56A5" w:rsidRDefault="00201944" w:rsidP="00201944">
      <w:pPr>
        <w:ind w:leftChars="300" w:left="630"/>
        <w:rPr>
          <w:rFonts w:ascii="楷体" w:eastAsia="楷体" w:hAnsi="楷体"/>
          <w:color w:val="000000" w:themeColor="text1"/>
          <w:sz w:val="24"/>
          <w:szCs w:val="24"/>
        </w:rPr>
      </w:pPr>
      <w:r w:rsidRPr="00201944">
        <w:rPr>
          <w:rFonts w:ascii="楷体" w:eastAsia="楷体" w:hAnsi="楷体" w:hint="eastAsia"/>
          <w:color w:val="000000" w:themeColor="text1"/>
          <w:sz w:val="24"/>
          <w:szCs w:val="24"/>
        </w:rPr>
        <w:t>昨日经济数据环比超出市场预期，同比稍低于预期，市场情绪大幅度回落，但现货刚性成交较好，价格下方具有支撑。整体成本端短期仍偏强运行，预计价格短期或继续震荡偏弱，预计运行区间（3650,3730）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40581098"/>
      <w:r>
        <w:rPr>
          <w:rFonts w:ascii="楷体" w:eastAsia="楷体" w:hAnsi="楷体" w:hint="eastAsia"/>
          <w:b/>
          <w:color w:val="000000" w:themeColor="text1"/>
          <w:sz w:val="24"/>
          <w:szCs w:val="24"/>
        </w:rPr>
        <w:t>焦炭：</w:t>
      </w:r>
      <w:bookmarkEnd w:id="19"/>
      <w:bookmarkEnd w:id="20"/>
      <w:r w:rsidR="00201944" w:rsidRPr="00201944">
        <w:rPr>
          <w:rFonts w:ascii="楷体" w:eastAsia="楷体" w:hAnsi="楷体" w:hint="eastAsia"/>
          <w:b/>
          <w:color w:val="000000" w:themeColor="text1"/>
          <w:sz w:val="24"/>
          <w:szCs w:val="24"/>
        </w:rPr>
        <w:t>煤价强势，高位偏强震荡</w:t>
      </w:r>
      <w:bookmarkEnd w:id="21"/>
    </w:p>
    <w:p w:rsidR="003F56A5" w:rsidRDefault="00201944" w:rsidP="00572E35">
      <w:pPr>
        <w:ind w:leftChars="300" w:left="630"/>
        <w:rPr>
          <w:rFonts w:ascii="楷体" w:eastAsia="楷体" w:hAnsi="楷体"/>
          <w:color w:val="000000" w:themeColor="text1"/>
          <w:sz w:val="24"/>
          <w:szCs w:val="24"/>
        </w:rPr>
      </w:pPr>
      <w:r w:rsidRPr="00201944">
        <w:rPr>
          <w:rFonts w:ascii="楷体" w:eastAsia="楷体" w:hAnsi="楷体" w:hint="eastAsia"/>
          <w:color w:val="000000" w:themeColor="text1"/>
          <w:sz w:val="24"/>
          <w:szCs w:val="24"/>
        </w:rPr>
        <w:t>港口现货出现惜售情况，第二轮提涨落地概率较大，预期市场围绕第三轮提涨博弈。被动补库下现货价格具有较强支撑，短期铁水高位下，价格较难下行。但盘面兑现涨幅，预计焦炭价格高位偏强震荡，预计震荡区间（2200，2280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40581099"/>
      <w:r>
        <w:rPr>
          <w:rFonts w:ascii="楷体" w:eastAsia="楷体" w:hAnsi="楷体" w:hint="eastAsia"/>
          <w:b/>
          <w:color w:val="000000" w:themeColor="text1"/>
          <w:sz w:val="24"/>
          <w:szCs w:val="24"/>
        </w:rPr>
        <w:t>焦煤：</w:t>
      </w:r>
      <w:r w:rsidR="00201944" w:rsidRPr="00201944">
        <w:rPr>
          <w:rFonts w:ascii="楷体" w:eastAsia="楷体" w:hAnsi="楷体" w:hint="eastAsia"/>
          <w:b/>
          <w:sz w:val="24"/>
          <w:szCs w:val="24"/>
        </w:rPr>
        <w:t>利多消息刺激，谨防冲高回落</w:t>
      </w:r>
      <w:bookmarkEnd w:id="22"/>
    </w:p>
    <w:p w:rsidR="003F56A5" w:rsidRDefault="00201944">
      <w:pPr>
        <w:ind w:leftChars="300" w:left="630"/>
        <w:rPr>
          <w:rFonts w:ascii="楷体" w:eastAsia="楷体" w:hAnsi="楷体"/>
          <w:bCs/>
          <w:sz w:val="24"/>
          <w:szCs w:val="24"/>
        </w:rPr>
      </w:pPr>
      <w:r w:rsidRPr="00201944">
        <w:rPr>
          <w:rFonts w:ascii="楷体" w:eastAsia="楷体" w:hAnsi="楷体" w:hint="eastAsia"/>
          <w:sz w:val="24"/>
          <w:szCs w:val="24"/>
        </w:rPr>
        <w:t>下游终端补库需求仍在，现货价格支撑价格偏强震荡。夜盘安全问题刺激盘面，期价再创新高，但钢价利润被压缩，盘面兑现多数预期，预计上方压力逐渐显现，预计价格或在（1430,1500）区间震荡，关注01合约逢高试空的机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40581100"/>
      <w:r>
        <w:rPr>
          <w:rFonts w:ascii="楷体" w:eastAsia="楷体" w:hAnsi="楷体" w:hint="eastAsia"/>
          <w:b/>
          <w:color w:val="000000" w:themeColor="text1"/>
          <w:sz w:val="24"/>
          <w:szCs w:val="24"/>
        </w:rPr>
        <w:lastRenderedPageBreak/>
        <w:t>铜：</w:t>
      </w:r>
      <w:bookmarkEnd w:id="23"/>
      <w:bookmarkEnd w:id="24"/>
      <w:r w:rsidR="000151C6" w:rsidRPr="000151C6">
        <w:rPr>
          <w:rFonts w:ascii="楷体" w:eastAsia="楷体" w:hAnsi="楷体" w:hint="eastAsia"/>
          <w:b/>
          <w:color w:val="000000" w:themeColor="text1"/>
          <w:sz w:val="24"/>
          <w:szCs w:val="24"/>
        </w:rPr>
        <w:t>维持高位震荡</w:t>
      </w:r>
      <w:bookmarkEnd w:id="25"/>
    </w:p>
    <w:p w:rsidR="000151C6" w:rsidRPr="000151C6" w:rsidRDefault="000151C6" w:rsidP="000151C6">
      <w:pPr>
        <w:ind w:leftChars="300" w:left="630"/>
        <w:rPr>
          <w:rFonts w:ascii="楷体" w:eastAsia="楷体" w:hAnsi="楷体" w:hint="eastAsia"/>
          <w:color w:val="000000" w:themeColor="text1"/>
          <w:sz w:val="24"/>
          <w:szCs w:val="24"/>
        </w:rPr>
      </w:pPr>
      <w:r w:rsidRPr="000151C6">
        <w:rPr>
          <w:rFonts w:ascii="楷体" w:eastAsia="楷体" w:hAnsi="楷体" w:hint="eastAsia"/>
          <w:color w:val="000000" w:themeColor="text1"/>
          <w:sz w:val="24"/>
          <w:szCs w:val="24"/>
        </w:rPr>
        <w:t>(1)库存：7月17日，SHFE仓单库存36340吨，增12261吨；LME仓单库存59175吨，增2000吨。</w:t>
      </w:r>
    </w:p>
    <w:p w:rsidR="000151C6" w:rsidRPr="000151C6" w:rsidRDefault="000151C6" w:rsidP="000151C6">
      <w:pPr>
        <w:ind w:leftChars="300" w:left="630"/>
        <w:rPr>
          <w:rFonts w:ascii="楷体" w:eastAsia="楷体" w:hAnsi="楷体" w:hint="eastAsia"/>
          <w:color w:val="000000" w:themeColor="text1"/>
          <w:sz w:val="24"/>
          <w:szCs w:val="24"/>
        </w:rPr>
      </w:pPr>
      <w:r w:rsidRPr="000151C6">
        <w:rPr>
          <w:rFonts w:ascii="楷体" w:eastAsia="楷体" w:hAnsi="楷体" w:hint="eastAsia"/>
          <w:color w:val="000000" w:themeColor="text1"/>
          <w:sz w:val="24"/>
          <w:szCs w:val="24"/>
        </w:rPr>
        <w:t>(2)精废价差：7月17日，Mysteel精废价差2302，收窄132。目前价差在合理价差1394之上。</w:t>
      </w:r>
    </w:p>
    <w:p w:rsidR="000151C6" w:rsidRPr="000151C6" w:rsidRDefault="000151C6" w:rsidP="000151C6">
      <w:pPr>
        <w:ind w:leftChars="300" w:left="630"/>
        <w:rPr>
          <w:rFonts w:ascii="楷体" w:eastAsia="楷体" w:hAnsi="楷体"/>
          <w:color w:val="000000" w:themeColor="text1"/>
          <w:sz w:val="24"/>
          <w:szCs w:val="24"/>
        </w:rPr>
      </w:pPr>
    </w:p>
    <w:p w:rsidR="00127803" w:rsidRPr="00127803" w:rsidRDefault="000151C6" w:rsidP="000151C6">
      <w:pPr>
        <w:ind w:leftChars="300" w:left="630"/>
        <w:rPr>
          <w:rFonts w:ascii="楷体" w:eastAsia="楷体" w:hAnsi="楷体"/>
          <w:color w:val="000000" w:themeColor="text1"/>
          <w:sz w:val="24"/>
          <w:szCs w:val="24"/>
        </w:rPr>
      </w:pPr>
      <w:r w:rsidRPr="000151C6">
        <w:rPr>
          <w:rFonts w:ascii="楷体" w:eastAsia="楷体" w:hAnsi="楷体" w:hint="eastAsia"/>
          <w:color w:val="000000" w:themeColor="text1"/>
          <w:sz w:val="24"/>
          <w:szCs w:val="24"/>
        </w:rPr>
        <w:t>综述：近期铜价上涨主要源于美元指数的大幅下跌，而美元指数依然受制于联储政策，而联储并未停止加息，且美国经济强于欧洲，短期美元指数继续走跌概率不大，对铜价提振有限。基本面，供增需弱叠加进口铜流入，国内现货偏宽松，现货贴水幅度加深，对价格支撑减弱。预计铜价继续上涨空间有限，本周CU2308主波动区间参考68000-70000元/吨。操作上，建议卖出虚值看涨期权CU2309C71000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40581101"/>
      <w:r>
        <w:rPr>
          <w:rFonts w:ascii="楷体" w:eastAsia="楷体" w:hAnsi="楷体" w:hint="eastAsia"/>
          <w:b/>
          <w:color w:val="000000" w:themeColor="text1"/>
          <w:sz w:val="24"/>
          <w:szCs w:val="24"/>
        </w:rPr>
        <w:t>铝：</w:t>
      </w:r>
      <w:bookmarkEnd w:id="26"/>
      <w:bookmarkEnd w:id="27"/>
      <w:r w:rsidR="00380E38" w:rsidRPr="00380E38">
        <w:rPr>
          <w:rFonts w:ascii="楷体" w:eastAsia="楷体" w:hAnsi="楷体" w:hint="eastAsia"/>
          <w:b/>
          <w:color w:val="000000" w:themeColor="text1"/>
          <w:sz w:val="24"/>
          <w:szCs w:val="24"/>
        </w:rPr>
        <w:t>宏观情绪支撑，基本面偏弱维持，注意价格回调风险</w:t>
      </w:r>
      <w:bookmarkEnd w:id="28"/>
    </w:p>
    <w:p w:rsidR="003F56A5" w:rsidRDefault="00380E38" w:rsidP="00127803">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美国CPI和PPI数据超预期表现，联储加息进入尾声，美元指数震荡下行，人民币汇率企稳反弹，国内政策预期偏向利多，宏观情绪提振带动铝价反弹向上。供应端持续扰动，在淡季企业备库、退水转铸锭及云南复产的影响下仍有较强的累库压力，四川高温限电 影响小部分电解铝产量仍需关注西南地区的产能变化情况。下游正值淡季，铝类消费订单下滑，6月铝型材、铝杆线、铝板带箔开工率持续走低，终 端消费来看，铝材出口量大幅降低，传统地产、基建需求无超预期表现，光伏用铝、新能源汽车消费仍为市场热点，需求维持弱现实修复。铝价震荡运行在17500-19000之间，三季度仍有累库压力，持续关注西南地区供应变化情况</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29" w:name="_Toc140581102"/>
      <w:r>
        <w:rPr>
          <w:rFonts w:ascii="楷体" w:eastAsia="楷体" w:hAnsi="楷体" w:hint="eastAsia"/>
          <w:b/>
          <w:color w:val="000000" w:themeColor="text1"/>
          <w:sz w:val="24"/>
          <w:szCs w:val="24"/>
        </w:rPr>
        <w:t>锌：</w:t>
      </w:r>
      <w:r w:rsidR="00380E38" w:rsidRPr="00380E38">
        <w:rPr>
          <w:rFonts w:ascii="楷体" w:eastAsia="楷体" w:hAnsi="楷体" w:hint="eastAsia"/>
          <w:b/>
          <w:color w:val="000000" w:themeColor="text1"/>
          <w:sz w:val="24"/>
          <w:szCs w:val="24"/>
        </w:rPr>
        <w:t>宏观及基本面情绪分化，价格上驱但支撑不足</w:t>
      </w:r>
      <w:bookmarkEnd w:id="29"/>
    </w:p>
    <w:p w:rsidR="003F56A5" w:rsidRDefault="00380E38" w:rsidP="000B0648">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美国通胀降温超预期，市场交投情绪提振，短期海外宏观情绪释放利多价格，国内仍有政策乐观期待。海外锌矿供应有减停产预期，进口盈亏窗口打开，进口矿经济型提升导致进口量走增，国内矿端供应相对稳定，精炼锌产量维持高位生产，近期高温雨水天气或影响厂家生产开工，供应端扰动，国内下游需求正值淡季表现平淡，终端对锌价支持不足，短期价格走高建议谨慎操作</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40581103"/>
      <w:r>
        <w:rPr>
          <w:rFonts w:ascii="楷体" w:eastAsia="楷体" w:hAnsi="楷体" w:hint="eastAsia"/>
          <w:b/>
          <w:color w:val="000000" w:themeColor="text1"/>
          <w:sz w:val="24"/>
          <w:szCs w:val="24"/>
        </w:rPr>
        <w:t>镍：</w:t>
      </w:r>
      <w:r w:rsidR="000C475E" w:rsidRPr="000C475E">
        <w:rPr>
          <w:rFonts w:ascii="楷体" w:eastAsia="楷体" w:hAnsi="楷体" w:hint="eastAsia"/>
          <w:b/>
          <w:color w:val="000000" w:themeColor="text1"/>
          <w:sz w:val="24"/>
          <w:szCs w:val="24"/>
        </w:rPr>
        <w:t>供应预期压力仍在，镍价反弹空间有限</w:t>
      </w:r>
      <w:bookmarkEnd w:id="30"/>
    </w:p>
    <w:p w:rsidR="003F56A5" w:rsidRDefault="000C475E">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7月纯镍排产高位，SMM预计2023年7月全国精炼镍产量2.13万吨，环比上涨4.27%，同比上涨32.81%。叠加市场俄镍资源相对宽松，现货升水边际下调，基本面难寻上行驱动。但短期在市场加息预期下修及国内持续稳增长政策预期共振下或使得市场风险偏好改善，且低库存态势暂未发生明显变化对镍价仍有支撑。操作上，仍建议反弹中逐步布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4058110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380E38" w:rsidRPr="00380E38">
        <w:rPr>
          <w:rFonts w:ascii="楷体" w:eastAsia="楷体" w:hAnsi="楷体" w:hint="eastAsia"/>
          <w:b/>
          <w:color w:val="000000" w:themeColor="text1"/>
          <w:sz w:val="24"/>
          <w:szCs w:val="24"/>
        </w:rPr>
        <w:t>宏观情绪提振铅价，短期震荡上行</w:t>
      </w:r>
      <w:bookmarkEnd w:id="31"/>
    </w:p>
    <w:p w:rsidR="008B13D2" w:rsidRPr="008B13D2" w:rsidRDefault="00380E38" w:rsidP="008B13D2">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美国通胀进一步降温，市场对美联储加息预期有所转弱，宏观情绪利多铅价。7月下旬原生铅与再生铅冶炼企业将逐渐恢复生产，再生铅与废电瓶原料成本高企，支撑铅价；下游生产企业询价积极性不高，终端消费维持清淡；随着当月合约交割日临近，铅锭社会库存上升。宏观情绪偏强，基</w:t>
      </w:r>
      <w:r w:rsidRPr="00380E38">
        <w:rPr>
          <w:rFonts w:ascii="楷体" w:eastAsia="楷体" w:hAnsi="楷体" w:hint="eastAsia"/>
          <w:color w:val="000000" w:themeColor="text1"/>
          <w:sz w:val="24"/>
          <w:szCs w:val="24"/>
        </w:rPr>
        <w:lastRenderedPageBreak/>
        <w:t>本面供增需弱，建议谨慎观望</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40581105"/>
      <w:r>
        <w:rPr>
          <w:rFonts w:ascii="楷体" w:eastAsia="楷体" w:hAnsi="楷体" w:hint="eastAsia"/>
          <w:b/>
          <w:color w:val="000000" w:themeColor="text1"/>
          <w:sz w:val="24"/>
          <w:szCs w:val="24"/>
        </w:rPr>
        <w:t>不锈钢：</w:t>
      </w:r>
      <w:r w:rsidR="000151C6" w:rsidRPr="000151C6">
        <w:rPr>
          <w:rFonts w:ascii="楷体" w:eastAsia="楷体" w:hAnsi="楷体" w:hint="eastAsia"/>
          <w:b/>
          <w:color w:val="000000" w:themeColor="text1"/>
          <w:sz w:val="24"/>
          <w:szCs w:val="24"/>
        </w:rPr>
        <w:t>基本面边际转弱，价格承压运行</w:t>
      </w:r>
      <w:bookmarkEnd w:id="32"/>
    </w:p>
    <w:p w:rsidR="003F56A5" w:rsidRDefault="000151C6">
      <w:pPr>
        <w:ind w:leftChars="300" w:left="630"/>
        <w:rPr>
          <w:rFonts w:ascii="楷体" w:eastAsia="楷体" w:hAnsi="楷体"/>
          <w:color w:val="000000" w:themeColor="text1"/>
          <w:sz w:val="24"/>
          <w:szCs w:val="24"/>
        </w:rPr>
      </w:pPr>
      <w:r w:rsidRPr="000151C6">
        <w:rPr>
          <w:rFonts w:ascii="楷体" w:eastAsia="楷体" w:hAnsi="楷体" w:hint="eastAsia"/>
          <w:color w:val="000000" w:themeColor="text1"/>
          <w:sz w:val="24"/>
          <w:szCs w:val="24"/>
        </w:rPr>
        <w:t>原料镍铁价格维持弱势运行，成本端支撑不强，此外，不锈钢7月排产高位，需求淡季下，供需存过剩预期，社会库存已呈现累积，整体基本面边际走弱，SS承压运行，但当下镍铁厂亏损状态，钢厂小幅盈利，供需矛盾仍不突出，无法驱动价格持续性下跌，整体维持区间震荡运行，短线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40581106"/>
      <w:r>
        <w:rPr>
          <w:rFonts w:ascii="楷体" w:eastAsia="楷体" w:hAnsi="楷体" w:hint="eastAsia"/>
          <w:b/>
          <w:color w:val="000000" w:themeColor="text1"/>
          <w:sz w:val="24"/>
          <w:szCs w:val="24"/>
        </w:rPr>
        <w:t>工业硅：</w:t>
      </w:r>
      <w:r w:rsidR="00201944" w:rsidRPr="00201944">
        <w:rPr>
          <w:rFonts w:ascii="楷体" w:eastAsia="楷体" w:hAnsi="楷体" w:hint="eastAsia"/>
          <w:b/>
          <w:sz w:val="24"/>
          <w:szCs w:val="24"/>
        </w:rPr>
        <w:t>高温担忧未解除，持续下行或有限</w:t>
      </w:r>
      <w:bookmarkEnd w:id="33"/>
    </w:p>
    <w:p w:rsidR="003F56A5" w:rsidRDefault="00201944" w:rsidP="00827E8A">
      <w:pPr>
        <w:ind w:leftChars="300" w:left="630"/>
        <w:rPr>
          <w:rFonts w:ascii="楷体" w:eastAsia="楷体" w:hAnsi="楷体"/>
          <w:sz w:val="24"/>
          <w:szCs w:val="24"/>
        </w:rPr>
      </w:pPr>
      <w:r w:rsidRPr="00201944">
        <w:rPr>
          <w:rFonts w:ascii="楷体" w:eastAsia="楷体" w:hAnsi="楷体" w:hint="eastAsia"/>
          <w:sz w:val="24"/>
          <w:szCs w:val="24"/>
        </w:rPr>
        <w:t>7月17日，Si2309主力合约呈大幅下行走势，收盘价13260元/吨，较上一收盘价涨跌幅-2.96%。临近期货首批交割，当前期现商采购421意愿较强，但下游实际需求维持偏弱，具体而言:有机硅方面，开工维持稳定，但421价格偏高，刚需采购为主;多晶硅方面，磨粉厂囤货意愿不强，按需补库居多;铝合金方面，开工整体稳定，多数企业已有常备库存。但市场对四川高温限电担忧仍未解除，同时月底多晶硅规划项目或有投产，预计市场持续下行空间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4058110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4058110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201944" w:rsidRPr="00201944">
        <w:rPr>
          <w:rFonts w:ascii="楷体" w:eastAsia="楷体" w:hAnsi="楷体" w:hint="eastAsia"/>
          <w:b/>
          <w:sz w:val="24"/>
          <w:szCs w:val="24"/>
        </w:rPr>
        <w:t>收储炒作淡化与基本面弱势博弈 短期RU仍有小幅走弱预期</w:t>
      </w:r>
      <w:bookmarkEnd w:id="36"/>
    </w:p>
    <w:p w:rsidR="003F56A5" w:rsidRDefault="00201944">
      <w:pPr>
        <w:ind w:leftChars="300" w:left="630"/>
        <w:rPr>
          <w:rFonts w:ascii="楷体" w:eastAsia="楷体" w:hAnsi="楷体"/>
          <w:sz w:val="24"/>
          <w:szCs w:val="24"/>
        </w:rPr>
      </w:pPr>
      <w:r w:rsidRPr="00201944">
        <w:rPr>
          <w:rFonts w:ascii="楷体" w:eastAsia="楷体" w:hAnsi="楷体" w:hint="eastAsia"/>
          <w:sz w:val="24"/>
          <w:szCs w:val="24"/>
        </w:rPr>
        <w:t>点评：沪胶大幅下跌，商品整体走弱，前期商品底部反弹以来已经累积了较大涨幅，在整体商品转空下跌的带动下天胶破位下跌，盘面主力合约多头大幅减仓。短期来看，橡胶供需基本面维持偏弱。供给端，随着国内替代指标落地，海外供给上量，供应端压力逐步加大；中游库存反复变动，绝对值仍处高位，去库难度较大。需求端来看，下游轮胎企业开工率处于高位，但内销市场出货偏慢，导致成品库存小幅提升，因此短期开工率继续提升的空间有限。消息层面，尽管网传收储信息不断，但仍不见官方正式公告，市场炒作情绪或再度降温。而在橡胶基本面依旧弱势的情况下，同时近端09合约高价差矛盾没有解决下，整体盘面依旧维持偏弱表现。操作上，短期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4058110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201944" w:rsidRPr="00201944">
        <w:rPr>
          <w:rFonts w:ascii="楷体" w:eastAsia="楷体" w:hAnsi="楷体" w:hint="eastAsia"/>
          <w:b/>
          <w:color w:val="000000" w:themeColor="text1"/>
          <w:sz w:val="24"/>
          <w:szCs w:val="24"/>
        </w:rPr>
        <w:t>驱动接近尾声 关注09上方压力位</w:t>
      </w:r>
      <w:bookmarkEnd w:id="37"/>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201944" w:rsidP="002C73FE">
      <w:pPr>
        <w:ind w:leftChars="300" w:left="630"/>
        <w:rPr>
          <w:rFonts w:ascii="楷体" w:eastAsia="楷体" w:hAnsi="楷体"/>
          <w:color w:val="000000" w:themeColor="text1"/>
          <w:sz w:val="24"/>
          <w:szCs w:val="24"/>
        </w:rPr>
      </w:pPr>
      <w:r w:rsidRPr="00201944">
        <w:rPr>
          <w:rFonts w:ascii="楷体" w:eastAsia="楷体" w:hAnsi="楷体" w:hint="eastAsia"/>
          <w:color w:val="000000" w:themeColor="text1"/>
          <w:sz w:val="24"/>
          <w:szCs w:val="24"/>
        </w:rPr>
        <w:t>供给方面，本周逸盛海南降负，逸盛新材料降负，嘉兴石化检修，至7.14 PTA负荷降至74.8%。恒力惠州二期250万吨PTA装置本周顺利投料，7月中下供应逐渐增量，福海创、三房、嘉兴1按计划重启，新材料及逸盛海南负荷提升。需求方面，综合来看聚酯负荷仍有上调。截至7.14，初步核算国内大陆地区聚酯负荷在94%附近。终端5月纺服零售同比和环比均增长，终端真实纺服需求中性。展望后市，OPEC 加深减产后对盘面提供进一步支撑，但利好程度呈现弱化状态，TA上方驱动不足。供需面来看，随着前期检修装置陆续重启，且考虑到近期PTA加工费尚可，预估7月新增检修有限，开工率有回升预期。随着原料价格走高，聚酯因终端低迷现金流亏损扩大，本周江浙终端开工率局部回落。终端减产压力较大，负反馈传</w:t>
      </w:r>
      <w:r w:rsidRPr="00201944">
        <w:rPr>
          <w:rFonts w:ascii="楷体" w:eastAsia="楷体" w:hAnsi="楷体" w:hint="eastAsia"/>
          <w:color w:val="000000" w:themeColor="text1"/>
          <w:sz w:val="24"/>
          <w:szCs w:val="24"/>
        </w:rPr>
        <w:lastRenderedPageBreak/>
        <w:t>导到原料端预期升温，关注09上方压力位，仅供参考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058111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40581111"/>
      <w:r>
        <w:rPr>
          <w:rFonts w:ascii="楷体" w:eastAsia="楷体" w:hAnsi="楷体" w:hint="eastAsia"/>
          <w:b/>
          <w:color w:val="000000" w:themeColor="text1"/>
          <w:sz w:val="24"/>
          <w:szCs w:val="24"/>
        </w:rPr>
        <w:t>聚烯烃：</w:t>
      </w:r>
      <w:r w:rsidR="00201944" w:rsidRPr="00201944">
        <w:rPr>
          <w:rFonts w:ascii="楷体" w:eastAsia="楷体" w:hAnsi="楷体" w:hint="eastAsia"/>
          <w:b/>
          <w:color w:val="000000" w:themeColor="text1"/>
          <w:sz w:val="24"/>
          <w:szCs w:val="24"/>
        </w:rPr>
        <w:t>成本面支撑不足，聚烯烃价格或偏弱整理为主</w:t>
      </w:r>
      <w:bookmarkEnd w:id="39"/>
    </w:p>
    <w:p w:rsidR="003F56A5" w:rsidRDefault="00201944">
      <w:pPr>
        <w:ind w:leftChars="300" w:left="630"/>
        <w:rPr>
          <w:rFonts w:ascii="楷体" w:eastAsia="楷体" w:hAnsi="楷体"/>
          <w:bCs/>
          <w:sz w:val="24"/>
          <w:szCs w:val="24"/>
        </w:rPr>
      </w:pPr>
      <w:r w:rsidRPr="00201944">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石油期货交易商关注经济数据和供应，欧美原油期货连续第二天下跌。需求方面，PE下游方面，农膜整体需求平平，工厂生产清淡。棚膜工厂多停机检修；PP下游方面，BOPP市场成交刚需有量，整体量较上一交易日增加，BOPP企业未交付订单多数在一周以内，个别可至七月中旬。综合来看，PE方面，供应面国内装置检修数量仍偏多且较为集中，短期国内供应压力仍处缓解阶段；需求方面，部分下游工厂开工率或迎来小幅提升；成本面原油、期货双双下行，对聚乙烯价格支撑减弱，市场信心仍显不足。预计今日PE偏弱整理。PP方面，临时性故障停车增多，供应面利好增加，但美元指数反弹，原油价格继续下跌，成本面支撑不足，盘面大幅走低，聚丙烯市场价格重心下移，且需求端而言，工厂新增订单增加有限，PP下游开工平均开工呈现跌势，预计今日PP或将偏弱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40581112"/>
      <w:r>
        <w:rPr>
          <w:rFonts w:ascii="楷体" w:eastAsia="楷体" w:hAnsi="楷体" w:hint="eastAsia"/>
          <w:b/>
          <w:color w:val="000000" w:themeColor="text1"/>
          <w:sz w:val="24"/>
          <w:szCs w:val="24"/>
        </w:rPr>
        <w:t>MEG：</w:t>
      </w:r>
      <w:r w:rsidR="000151C6" w:rsidRPr="000151C6">
        <w:rPr>
          <w:rFonts w:ascii="楷体" w:eastAsia="楷体" w:hAnsi="楷体" w:hint="eastAsia"/>
          <w:b/>
          <w:color w:val="000000" w:themeColor="text1"/>
          <w:sz w:val="24"/>
          <w:szCs w:val="24"/>
        </w:rPr>
        <w:t>供需紧平衡格局 短期仍有支撑</w:t>
      </w:r>
      <w:bookmarkEnd w:id="40"/>
    </w:p>
    <w:p w:rsidR="003F56A5" w:rsidRDefault="000151C6" w:rsidP="00115EEA">
      <w:pPr>
        <w:ind w:leftChars="300" w:left="630"/>
        <w:rPr>
          <w:rFonts w:ascii="楷体" w:eastAsia="楷体" w:hAnsi="楷体"/>
          <w:color w:val="000000" w:themeColor="text1"/>
          <w:sz w:val="24"/>
          <w:szCs w:val="24"/>
        </w:rPr>
      </w:pPr>
      <w:r w:rsidRPr="000151C6">
        <w:rPr>
          <w:rFonts w:ascii="楷体" w:eastAsia="楷体" w:hAnsi="楷体" w:hint="eastAsia"/>
          <w:color w:val="000000" w:themeColor="text1"/>
          <w:sz w:val="24"/>
          <w:szCs w:val="24"/>
        </w:rPr>
        <w:t>供需情况，7.10华东主港地区MEG港口库存约104.9万吨附近，环比上期增加2.1万吨。显性库存仍高企，刚需支撑下港口发货良好隐形库存略去化。截至7月13日，中国大陆地区乙二醇整体开工负荷在63.95%（-2.44%），其中煤制乙二醇开工负荷在60.79%（+0.44%）。煤化工方面，近期陕煤榆林化学7-8月分别有60万吨单线进行为期10-15天的检修。陕煤渭化一套30万吨/年的乙二醇装置因不可抗力停车，煤化工大型装置检修提前供应环比改善。华南一套50万吨/年的MEG装置已按计划停车检修，预计检修时长在半个月附近。截至7.13，初步核算国内大陆地区聚酯负荷在94%附近。江浙终端开工率受限电影响不大， 江浙加弹综合开工率82%，江浙</w:t>
      </w:r>
      <w:r w:rsidRPr="000151C6">
        <w:rPr>
          <w:rFonts w:ascii="楷体" w:eastAsia="楷体" w:hAnsi="楷体" w:hint="eastAsia"/>
          <w:color w:val="000000" w:themeColor="text1"/>
          <w:sz w:val="24"/>
          <w:szCs w:val="24"/>
        </w:rPr>
        <w:lastRenderedPageBreak/>
        <w:t>织机综合开工率72%（+1%），江浙印染综合开工率75%（+3%），江浙终端工厂原料备货再次增加。展望后市，乙二醇成本端煤炭、乙烯及天然气走强，叠加聚酯高开工带动下乙二醇走出一波估值修复行情。后续来看，据悉目前煤化工个别工厂供货偏紧，能耗管控拉闸限电对煤化工供给端仍带来收缩预期，而聚酯开工率稳步提升，7-8月有望从累库转为去库格局，短期乙二醇走势仍偏强。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4058111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151C6" w:rsidRPr="000151C6">
        <w:rPr>
          <w:rFonts w:ascii="楷体" w:eastAsia="楷体" w:hAnsi="楷体" w:hint="eastAsia"/>
          <w:b/>
          <w:color w:val="000000" w:themeColor="text1"/>
          <w:sz w:val="24"/>
          <w:szCs w:val="24"/>
        </w:rPr>
        <w:t>产销转强，持仓量下降</w:t>
      </w:r>
      <w:bookmarkEnd w:id="41"/>
    </w:p>
    <w:p w:rsidR="00A71A7E" w:rsidRDefault="000151C6" w:rsidP="001F79C6">
      <w:pPr>
        <w:ind w:leftChars="300" w:left="630"/>
        <w:rPr>
          <w:rFonts w:ascii="楷体" w:eastAsia="楷体" w:hAnsi="楷体"/>
          <w:color w:val="000000" w:themeColor="text1"/>
          <w:sz w:val="24"/>
          <w:szCs w:val="24"/>
        </w:rPr>
      </w:pPr>
      <w:r w:rsidRPr="000151C6">
        <w:rPr>
          <w:rFonts w:ascii="楷体" w:eastAsia="楷体" w:hAnsi="楷体" w:hint="eastAsia"/>
          <w:color w:val="000000" w:themeColor="text1"/>
          <w:sz w:val="24"/>
          <w:szCs w:val="24"/>
        </w:rPr>
        <w:t>隆众资讯7月17日报道：今日浮法玻璃现货价格1847，较上交易日+3。近期多地区产销持续过百，华东，华南主销地周末产销120%/114%，部分厂家主动上调玻璃价格。上周周度去库明显，现货价格转升，加上近期地产宏观调控政策频出，市场信心有所恢复。但下游地产端恢复较慢，新开工和成交数据延续下降，加工厂实际需求表现一般。盘面上，基差修复至平水后，持续性尚待观察，该轮补库是阶段性补库还是旺季价格拐点尚待验证，短线建议观望</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058111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151C6" w:rsidRPr="000151C6">
        <w:rPr>
          <w:rFonts w:ascii="楷体" w:eastAsia="楷体" w:hAnsi="楷体" w:hint="eastAsia"/>
          <w:b/>
          <w:color w:val="000000" w:themeColor="text1"/>
          <w:sz w:val="24"/>
          <w:szCs w:val="24"/>
        </w:rPr>
        <w:t>持仓量下降，盘面震荡</w:t>
      </w:r>
      <w:bookmarkEnd w:id="42"/>
    </w:p>
    <w:p w:rsidR="00A71A7E" w:rsidRDefault="000151C6" w:rsidP="00A71A7E">
      <w:pPr>
        <w:ind w:leftChars="300" w:left="630"/>
        <w:rPr>
          <w:rFonts w:ascii="楷体" w:eastAsia="楷体" w:hAnsi="楷体"/>
          <w:bCs/>
          <w:sz w:val="24"/>
          <w:szCs w:val="24"/>
        </w:rPr>
      </w:pPr>
      <w:r w:rsidRPr="000151C6">
        <w:rPr>
          <w:rFonts w:ascii="楷体" w:eastAsia="楷体" w:hAnsi="楷体" w:hint="eastAsia"/>
          <w:color w:val="000000" w:themeColor="text1"/>
          <w:sz w:val="24"/>
          <w:szCs w:val="24"/>
        </w:rPr>
        <w:t>国内纯碱市场价格近期无大幅变化。供给端，甘肃氨碱源停车检修，山东海天降负荷生产。近期，局部货源紧张，提货困难。川渝地区部分企业重碱价格小涨。当前现货价格重碱约在2050元/吨左右，轻碱1800元/吨。盘面冲高回落，09合约多空双平，持仓量下降，部分主力移仓至01合约。远月过剩压力仍在，盘面基差修复后，短期震荡行情，尚待新的供需矛盾打破平衡。重点关注：1）下游玻璃点火情况 2)远兴天然碱投产情况</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4058111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4058111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201944" w:rsidRPr="00201944">
        <w:rPr>
          <w:rFonts w:ascii="楷体" w:eastAsia="楷体" w:hAnsi="楷体" w:hint="eastAsia"/>
          <w:b/>
          <w:sz w:val="24"/>
          <w:szCs w:val="24"/>
        </w:rPr>
        <w:t>短期维持高位震荡</w:t>
      </w:r>
      <w:bookmarkEnd w:id="44"/>
    </w:p>
    <w:p w:rsidR="003F56A5" w:rsidRDefault="00201944">
      <w:pPr>
        <w:ind w:leftChars="300" w:left="630"/>
        <w:rPr>
          <w:rFonts w:ascii="楷体" w:eastAsia="楷体" w:hAnsi="楷体"/>
          <w:sz w:val="24"/>
          <w:szCs w:val="24"/>
        </w:rPr>
      </w:pPr>
      <w:r w:rsidRPr="00201944">
        <w:rPr>
          <w:rFonts w:ascii="楷体" w:eastAsia="楷体" w:hAnsi="楷体" w:hint="eastAsia"/>
          <w:sz w:val="24"/>
          <w:szCs w:val="24"/>
        </w:rPr>
        <w:t>国际方面，市场焦点重回天气，叠加俄方终止黑海协议，美豆维持高位震荡。在美豆种植面积大幅减少的背景下，生长期天气仍十分关键。美豆在近期持续降雨下，干旱范围收窄，种植情况有所改善，优良率小幅上调，但仍处于往年同期低位，截至7月18日当周，美国大豆优良率为55%，前一周为51%，上年同期为61%。仍需关注后续优良率的变化。国内市场，随着当前大豆到港量增加，油厂已基本恢复开机压榨，但压榨节奏表现有差异，部分地区油厂存在胀库停机现象，豆粕累库情况不及预期，支撑现货报价坚挺，当前主流油厂豆粕现货报价小幅上调至4180-4310元/吨。大豆4-6月到港量较大，6月进口到港1027万吨，环比减14.5%。下游养殖利润表现仍不佳，且在杂粕替代下饲企和养殖企业等对豆粕饲用需求增量有限，在后续压榨恢复后，现货基差仍有压力。菜粕当前供给相对偏紧，随着6月份后菜籽到港预计减少，油厂压榨也在逐步下滑。而需求方面，当前为华南水产养殖旺季，替代需求方面，豆粕价格偏高，菜粕性价比仍存，整体供需表现紧张，对价格构成支撑。策略方面，短期建议谨慎看多，建议回调仍偏多参与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40581117"/>
      <w:r>
        <w:rPr>
          <w:rFonts w:ascii="楷体" w:eastAsia="楷体" w:hAnsi="楷体" w:hint="eastAsia"/>
          <w:b/>
          <w:color w:val="000000" w:themeColor="text1"/>
          <w:sz w:val="24"/>
          <w:szCs w:val="24"/>
        </w:rPr>
        <w:lastRenderedPageBreak/>
        <w:t>油脂：</w:t>
      </w:r>
      <w:r w:rsidR="00201944" w:rsidRPr="00201944">
        <w:rPr>
          <w:rFonts w:ascii="楷体" w:eastAsia="楷体" w:hAnsi="楷体" w:hint="eastAsia"/>
          <w:b/>
          <w:sz w:val="24"/>
          <w:szCs w:val="24"/>
        </w:rPr>
        <w:t>短期震荡整理</w:t>
      </w:r>
      <w:bookmarkEnd w:id="45"/>
    </w:p>
    <w:p w:rsidR="003F56A5" w:rsidRDefault="00201944" w:rsidP="00792D31">
      <w:pPr>
        <w:ind w:leftChars="300" w:left="630"/>
        <w:rPr>
          <w:rFonts w:ascii="楷体" w:eastAsia="楷体" w:hAnsi="楷体"/>
          <w:sz w:val="24"/>
          <w:szCs w:val="24"/>
        </w:rPr>
      </w:pPr>
      <w:r w:rsidRPr="00201944">
        <w:rPr>
          <w:rFonts w:ascii="楷体" w:eastAsia="楷体" w:hAnsi="楷体" w:hint="eastAsia"/>
          <w:sz w:val="24"/>
          <w:szCs w:val="24"/>
        </w:rPr>
        <w:t>国际市场，NOPA：6月份协会会员企业压榨大豆1.65023亿蒲，低于市场预期的1.70568亿蒲，环比减少7.2%。但美豆油库存创新低，叠加黑海协议终止，短期仍有支撑。棕榈油，印尼国内销售配比环比并没有进行调整，叠加7-8月份出口税费上调，提振马来棕榈油出口需求。ITS的数据显示出口量为554,054吨，环比增长19.3%。虽市场开始炒作厄尔尼诺现象，但中期无法改变产地棕榈油累库的趋势，但在产量受影响下，产地压力不大。国内棕榈油在6月份进口增加以及需求疲软下，库存去化放缓且出现回升。因前期产地报价下滑，国内进口利润有所修复，6-7月船期买船增加，最新商业库存为56.46万吨。需求端，随着气温回升利好棕榈油消费，但近期成交平平，无明显增量。豆油在供应修复预期下，压力仍存。随着4-7月进口大豆到港增加，油厂陆续恢复开机，但整体开机及压榨水平偏低，豆油供应持续缓慢修复。需求端，在中小学及高校陆续进入暑期，且无大型节日消费提振，预计进入消费淡季。菜油现阶段处于供强需弱格局，但后续供应压力边际减轻。随着进口加籽到港量将逐步减少，菜籽开机及压榨水平也有所降低，5月菜籽进口68.6万吨，菜油进口17万吨，均较同期增加。需求方面，从菜油表需来看，已恢复至19年的水平，当前库存已逐步回落。对于油脂维持回调后低多观点，可关注油脂间套利，多配菜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40581118"/>
      <w:r>
        <w:rPr>
          <w:rFonts w:ascii="楷体" w:eastAsia="楷体" w:hAnsi="楷体" w:hint="eastAsia"/>
          <w:b/>
          <w:bCs/>
          <w:color w:val="000000" w:themeColor="text1"/>
        </w:rPr>
        <w:t>玉米与淀粉：</w:t>
      </w:r>
      <w:r w:rsidR="000151C6" w:rsidRPr="000151C6">
        <w:rPr>
          <w:rFonts w:ascii="楷体" w:eastAsia="楷体" w:hAnsi="楷体" w:hint="eastAsia"/>
          <w:b/>
        </w:rPr>
        <w:t>期价夜盘再度回落调整</w:t>
      </w:r>
      <w:bookmarkEnd w:id="46"/>
    </w:p>
    <w:p w:rsidR="000151C6" w:rsidRPr="000151C6" w:rsidRDefault="000151C6" w:rsidP="000151C6">
      <w:pPr>
        <w:pStyle w:val="paragraph"/>
        <w:spacing w:before="60" w:after="60"/>
        <w:ind w:leftChars="300" w:left="630"/>
        <w:rPr>
          <w:rFonts w:ascii="楷体" w:eastAsia="楷体" w:hAnsi="楷体" w:hint="eastAsia"/>
        </w:rPr>
      </w:pPr>
      <w:r w:rsidRPr="000151C6">
        <w:rPr>
          <w:rFonts w:ascii="楷体" w:eastAsia="楷体" w:hAnsi="楷体" w:hint="eastAsia"/>
        </w:rPr>
        <w:t>对于玉米而言，继前期外盘天气炒作熄火之后，近期国内现货出现回落，意味着另一大驱动即旧作被动补库存亦出现动力不足的迹象，这主要源于市场对小麦饲用替代增量和陈化水稻抛储的担忧，而华北-东北和产销区玉米价差持续走扩之后，东北玉米贸易商心态松动，出货意愿增强。但我们仍维持谨慎乐观心态，主要原因有三，其一是下方空间受限，这主要源于陈化水稻成本支撑；其二是虽深加工企业和饲料企业原料库存有所回升，但仍处于历史同期低位；其三是当前和下一年度产需缺口的补充存在较大变数，如后期产区天气仍需要留意。在这种情况下，我们维持谨慎看多观点，但短期受国内现货带动或继续回落调整，建议激进投资者持有前期多单，谨慎投资者可考虑先行离场，然后等待再次入场机会。</w:t>
      </w:r>
    </w:p>
    <w:p w:rsidR="003F56A5" w:rsidRDefault="000151C6" w:rsidP="000151C6">
      <w:pPr>
        <w:pStyle w:val="paragraph"/>
        <w:spacing w:before="60" w:beforeAutospacing="0" w:after="60" w:afterAutospacing="0"/>
        <w:ind w:leftChars="300" w:left="630"/>
        <w:rPr>
          <w:rFonts w:ascii="楷体" w:eastAsia="楷体" w:hAnsi="楷体"/>
        </w:rPr>
      </w:pPr>
      <w:r w:rsidRPr="000151C6">
        <w:rPr>
          <w:rFonts w:ascii="楷体" w:eastAsia="楷体" w:hAnsi="楷体" w:hint="eastAsia"/>
        </w:rPr>
        <w:t>对于淀粉而言，近期淀粉-玉米价差收窄符合我们之前预期，主要源于两个方面，其一是副产品价格，受蛋白粕带动淀粉副产品价格大幅反弹，淀粉期现货生产利润改善，有望带动行业开机率回升；其二是需求端的季节性因素，在旺季备货之后或步入一段时间的需求低迷期，在这两方面的带动下，淀粉供需改善或不及预期。但我们不建议入场做缩这一价差，主要原因有二，其一是原料成本端的担忧；其二是现货带来的基差支撑。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40581119"/>
      <w:r>
        <w:rPr>
          <w:rFonts w:ascii="楷体" w:eastAsia="楷体" w:hAnsi="楷体" w:hint="eastAsia"/>
          <w:b/>
          <w:bCs/>
          <w:color w:val="000000" w:themeColor="text1"/>
        </w:rPr>
        <w:t>畜禽养殖：</w:t>
      </w:r>
      <w:r w:rsidR="000151C6" w:rsidRPr="000151C6">
        <w:rPr>
          <w:rFonts w:ascii="楷体" w:eastAsia="楷体" w:hAnsi="楷体" w:hint="eastAsia"/>
          <w:b/>
          <w:bCs/>
          <w:color w:val="000000" w:themeColor="text1"/>
        </w:rPr>
        <w:t>现货带动期价近强远弱分化运行</w:t>
      </w:r>
      <w:bookmarkEnd w:id="47"/>
    </w:p>
    <w:p w:rsidR="000151C6" w:rsidRPr="000151C6" w:rsidRDefault="000151C6" w:rsidP="000151C6">
      <w:pPr>
        <w:pStyle w:val="paragraph"/>
        <w:spacing w:before="60" w:after="60"/>
        <w:ind w:leftChars="300" w:left="630"/>
        <w:rPr>
          <w:rFonts w:ascii="楷体" w:eastAsia="楷体" w:hAnsi="楷体" w:hint="eastAsia"/>
        </w:rPr>
      </w:pPr>
      <w:r w:rsidRPr="000151C6">
        <w:rPr>
          <w:rFonts w:ascii="楷体" w:eastAsia="楷体" w:hAnsi="楷体" w:hint="eastAsia"/>
        </w:rPr>
        <w:lastRenderedPageBreak/>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阶段性反弹机会更多源于供应去化，从时间上看上述三方面的供应或逐步消化，涌益咨询公布的日度生猪屠宰量、农业农村部公布的规模以上屠宰企业生猪屠宰量和各大上市公司公布的6月生猪销量均已环比下降，但冷库库容比仍有待去化，再加上高温对需求的抑制，这或许是压制生猪现货的主要原因所在。在这种情况下，维持谨慎看多观点，但建议暂以观望为宜。</w:t>
      </w:r>
    </w:p>
    <w:p w:rsidR="003F56A5" w:rsidRDefault="000151C6" w:rsidP="000151C6">
      <w:pPr>
        <w:pStyle w:val="paragraph"/>
        <w:spacing w:before="60" w:beforeAutospacing="0" w:after="60" w:afterAutospacing="0"/>
        <w:ind w:leftChars="300" w:left="630"/>
        <w:rPr>
          <w:rFonts w:ascii="楷体" w:eastAsia="楷体" w:hAnsi="楷体"/>
        </w:rPr>
      </w:pPr>
      <w:r w:rsidRPr="000151C6">
        <w:rPr>
          <w:rFonts w:ascii="楷体" w:eastAsia="楷体" w:hAnsi="楷体" w:hint="eastAsia"/>
        </w:rPr>
        <w:t>对于鸡蛋而言，当前市场的主要矛盾体现在近弱远强上，1-9和5-9价差走强，背后反映前期的逻辑发生改变，即前期的供需改善预期可能存在变数。这主要源于5月以来，随着鸡蛋现货价格的下跌，蛋鸡养殖利润亦有显著下滑，带动养殖户补栏积极性下滑，与此同时，养殖户淘汰积极性上升。虽然9月合约一度跌至博亚和讯测算的鸡蛋养殖成本线，再加上9月处于季节性旺季，供需之外还有季节性规律，其下方空间有限。但市场对春节后补栏形成的蛋鸡新开产存在担忧，远月-近月价差走强，移仓至远月合约或许更为合适。在这种情况下，我们维持谨慎看多观点，建议谨慎投资者观望，激进投资者持有前期9月多单，止损下移至前低，或者将多单移至远月合约</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40581120"/>
      <w:r>
        <w:rPr>
          <w:rFonts w:ascii="楷体" w:eastAsia="楷体" w:hAnsi="楷体" w:hint="eastAsia"/>
          <w:b/>
          <w:sz w:val="24"/>
          <w:szCs w:val="24"/>
        </w:rPr>
        <w:t>郑棉：</w:t>
      </w:r>
      <w:r w:rsidR="00201944" w:rsidRPr="00201944">
        <w:rPr>
          <w:rFonts w:ascii="楷体" w:eastAsia="楷体" w:hAnsi="楷体" w:hint="eastAsia"/>
          <w:b/>
          <w:sz w:val="24"/>
          <w:szCs w:val="24"/>
        </w:rPr>
        <w:t>09看跌期权卖权持有，等待01在16500附近逢低买入机会</w:t>
      </w:r>
      <w:bookmarkEnd w:id="48"/>
    </w:p>
    <w:p w:rsidR="003F56A5" w:rsidRDefault="00201944" w:rsidP="007B3290">
      <w:pPr>
        <w:ind w:leftChars="300" w:left="630"/>
        <w:rPr>
          <w:rFonts w:ascii="楷体" w:eastAsia="楷体" w:hAnsi="楷体"/>
          <w:sz w:val="24"/>
          <w:szCs w:val="24"/>
        </w:rPr>
      </w:pPr>
      <w:r w:rsidRPr="00201944">
        <w:rPr>
          <w:rFonts w:ascii="楷体" w:eastAsia="楷体" w:hAnsi="楷体" w:hint="eastAsia"/>
          <w:sz w:val="24"/>
          <w:szCs w:val="24"/>
        </w:rPr>
        <w:t>6月商业库存数据出炉。尽管月度消耗量在过往数年依然属于高位，但或许因消耗量环比减少，未达市场预期，郑棉对于1.7万关口仍需一段时间的博弈。从近两个月郑棉价格走势来看，强预期和资金行为主导了市场——在数据落地前推动价格强势上涨，而数据真正出炉后价格反而回落。在淡季的桎梏下，棉价或以波段方式上行而非直线式的趋势性上涨。前期看跌期权卖权继续持有，或等待回落后的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40" w:rsidRDefault="00F47540">
      <w:r>
        <w:separator/>
      </w:r>
    </w:p>
  </w:endnote>
  <w:endnote w:type="continuationSeparator" w:id="0">
    <w:p w:rsidR="00F47540" w:rsidRDefault="00F4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26639B43" wp14:editId="564832BA">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2326A">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2326A">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40" w:rsidRDefault="00F47540">
      <w:r>
        <w:separator/>
      </w:r>
    </w:p>
  </w:footnote>
  <w:footnote w:type="continuationSeparator" w:id="0">
    <w:p w:rsidR="00F47540" w:rsidRDefault="00F475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1E0669D" wp14:editId="68CD4882">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ACEFE29" wp14:editId="61F936A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151C6">
      <w:rPr>
        <w:rFonts w:ascii="Times New Roman" w:eastAsia="楷体" w:hAnsi="Times New Roman" w:hint="eastAsia"/>
        <w:b/>
        <w:bCs/>
        <w:noProof/>
        <w:color w:val="833C0B"/>
        <w:sz w:val="21"/>
      </w:rPr>
      <w:t>2023</w:t>
    </w:r>
    <w:r w:rsidR="000151C6">
      <w:rPr>
        <w:rFonts w:ascii="Times New Roman" w:eastAsia="楷体" w:hAnsi="Times New Roman" w:hint="eastAsia"/>
        <w:b/>
        <w:bCs/>
        <w:noProof/>
        <w:color w:val="833C0B"/>
        <w:sz w:val="21"/>
      </w:rPr>
      <w:t>年</w:t>
    </w:r>
    <w:r w:rsidR="000151C6">
      <w:rPr>
        <w:rFonts w:ascii="Times New Roman" w:eastAsia="楷体" w:hAnsi="Times New Roman" w:hint="eastAsia"/>
        <w:b/>
        <w:bCs/>
        <w:noProof/>
        <w:color w:val="833C0B"/>
        <w:sz w:val="21"/>
      </w:rPr>
      <w:t>7</w:t>
    </w:r>
    <w:r w:rsidR="000151C6">
      <w:rPr>
        <w:rFonts w:ascii="Times New Roman" w:eastAsia="楷体" w:hAnsi="Times New Roman" w:hint="eastAsia"/>
        <w:b/>
        <w:bCs/>
        <w:noProof/>
        <w:color w:val="833C0B"/>
        <w:sz w:val="21"/>
      </w:rPr>
      <w:t>月</w:t>
    </w:r>
    <w:r w:rsidR="000151C6">
      <w:rPr>
        <w:rFonts w:ascii="Times New Roman" w:eastAsia="楷体" w:hAnsi="Times New Roman" w:hint="eastAsia"/>
        <w:b/>
        <w:bCs/>
        <w:noProof/>
        <w:color w:val="833C0B"/>
        <w:sz w:val="21"/>
      </w:rPr>
      <w:t>18</w:t>
    </w:r>
    <w:r w:rsidR="000151C6">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1944"/>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80E38"/>
    <w:rsid w:val="0038626D"/>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6F74"/>
    <w:rsid w:val="004E3A10"/>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811C5"/>
    <w:rsid w:val="006911F3"/>
    <w:rsid w:val="006A135D"/>
    <w:rsid w:val="006A5214"/>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73ED"/>
    <w:rsid w:val="00A60F08"/>
    <w:rsid w:val="00A63022"/>
    <w:rsid w:val="00A71A7E"/>
    <w:rsid w:val="00A776D7"/>
    <w:rsid w:val="00A91E48"/>
    <w:rsid w:val="00A96E37"/>
    <w:rsid w:val="00A97444"/>
    <w:rsid w:val="00AA186F"/>
    <w:rsid w:val="00AA29E5"/>
    <w:rsid w:val="00AB0678"/>
    <w:rsid w:val="00AB3750"/>
    <w:rsid w:val="00AC00CF"/>
    <w:rsid w:val="00AC52CB"/>
    <w:rsid w:val="00AC7794"/>
    <w:rsid w:val="00AC7ECD"/>
    <w:rsid w:val="00AD009F"/>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4754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416A7-7A3F-44BB-BC06-9EB40D43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9</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35</cp:revision>
  <cp:lastPrinted>2023-06-08T02:23:00Z</cp:lastPrinted>
  <dcterms:created xsi:type="dcterms:W3CDTF">2022-11-15T10:06:00Z</dcterms:created>
  <dcterms:modified xsi:type="dcterms:W3CDTF">2023-07-18T05:57:00Z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