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380E38"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380E38" w:rsidRPr="00AE185C">
            <w:rPr>
              <w:rStyle w:val="a9"/>
              <w:noProof/>
            </w:rPr>
            <w:fldChar w:fldCharType="begin"/>
          </w:r>
          <w:r w:rsidR="00380E38" w:rsidRPr="00AE185C">
            <w:rPr>
              <w:rStyle w:val="a9"/>
              <w:noProof/>
            </w:rPr>
            <w:instrText xml:space="preserve"> </w:instrText>
          </w:r>
          <w:r w:rsidR="00380E38">
            <w:rPr>
              <w:noProof/>
            </w:rPr>
            <w:instrText>HYPERLINK \l "_Toc140483459"</w:instrText>
          </w:r>
          <w:r w:rsidR="00380E38" w:rsidRPr="00AE185C">
            <w:rPr>
              <w:rStyle w:val="a9"/>
              <w:noProof/>
            </w:rPr>
            <w:instrText xml:space="preserve"> </w:instrText>
          </w:r>
          <w:r w:rsidR="00380E38" w:rsidRPr="00AE185C">
            <w:rPr>
              <w:rStyle w:val="a9"/>
              <w:noProof/>
            </w:rPr>
          </w:r>
          <w:r w:rsidR="00380E38" w:rsidRPr="00AE185C">
            <w:rPr>
              <w:rStyle w:val="a9"/>
              <w:noProof/>
            </w:rPr>
            <w:fldChar w:fldCharType="separate"/>
          </w:r>
          <w:r w:rsidR="00380E38" w:rsidRPr="00AE185C">
            <w:rPr>
              <w:rStyle w:val="a9"/>
              <w:rFonts w:ascii="Times New Roman" w:eastAsia="楷体" w:hAnsi="Times New Roman"/>
              <w:b/>
              <w:noProof/>
            </w:rPr>
            <w:t>[</w:t>
          </w:r>
          <w:r w:rsidR="00380E38" w:rsidRPr="00AE185C">
            <w:rPr>
              <w:rStyle w:val="a9"/>
              <w:rFonts w:ascii="Times New Roman" w:eastAsia="楷体" w:hAnsi="Times New Roman"/>
              <w:b/>
              <w:noProof/>
            </w:rPr>
            <w:t>金融</w:t>
          </w:r>
          <w:r w:rsidR="00380E38" w:rsidRPr="00AE185C">
            <w:rPr>
              <w:rStyle w:val="a9"/>
              <w:rFonts w:ascii="Times New Roman" w:eastAsia="楷体" w:hAnsi="Times New Roman"/>
              <w:b/>
              <w:noProof/>
            </w:rPr>
            <w:t>]</w:t>
          </w:r>
          <w:r w:rsidR="00380E38" w:rsidRPr="00AE185C">
            <w:rPr>
              <w:rStyle w:val="a9"/>
              <w:noProof/>
            </w:rPr>
            <w:fldChar w:fldCharType="end"/>
          </w:r>
        </w:p>
        <w:p w:rsidR="00380E38" w:rsidRDefault="00380E38">
          <w:pPr>
            <w:pStyle w:val="23"/>
            <w:tabs>
              <w:tab w:val="right" w:leader="dot" w:pos="8296"/>
            </w:tabs>
            <w:rPr>
              <w:rFonts w:eastAsiaTheme="minorEastAsia"/>
              <w:noProof/>
              <w:szCs w:val="22"/>
            </w:rPr>
          </w:pPr>
          <w:hyperlink w:anchor="_Toc140483460" w:history="1">
            <w:r w:rsidRPr="00AE185C">
              <w:rPr>
                <w:rStyle w:val="a9"/>
                <w:rFonts w:ascii="Times New Roman" w:eastAsia="楷体" w:hAnsi="Times New Roman"/>
                <w:b/>
                <w:noProof/>
              </w:rPr>
              <w:t>股指：低多</w:t>
            </w:r>
            <w:r w:rsidRPr="00AE185C">
              <w:rPr>
                <w:rStyle w:val="a9"/>
                <w:rFonts w:ascii="Times New Roman" w:eastAsia="楷体" w:hAnsi="Times New Roman"/>
                <w:b/>
                <w:noProof/>
              </w:rPr>
              <w:t>IF</w:t>
            </w:r>
            <w:r w:rsidRPr="00AE185C">
              <w:rPr>
                <w:rStyle w:val="a9"/>
                <w:rFonts w:ascii="Times New Roman" w:eastAsia="楷体" w:hAnsi="Times New Roman"/>
                <w:b/>
                <w:noProof/>
              </w:rPr>
              <w:t>、</w:t>
            </w:r>
            <w:r w:rsidRPr="00AE185C">
              <w:rPr>
                <w:rStyle w:val="a9"/>
                <w:rFonts w:ascii="Times New Roman" w:eastAsia="楷体" w:hAnsi="Times New Roman"/>
                <w:b/>
                <w:noProof/>
              </w:rPr>
              <w:t>IM</w:t>
            </w:r>
          </w:hyperlink>
        </w:p>
        <w:p w:rsidR="00380E38" w:rsidRDefault="00380E38">
          <w:pPr>
            <w:pStyle w:val="11"/>
            <w:tabs>
              <w:tab w:val="right" w:leader="dot" w:pos="8296"/>
            </w:tabs>
            <w:rPr>
              <w:rFonts w:eastAsiaTheme="minorEastAsia"/>
              <w:noProof/>
              <w:szCs w:val="22"/>
            </w:rPr>
          </w:pPr>
          <w:hyperlink w:anchor="_Toc140483461" w:history="1">
            <w:r w:rsidRPr="00AE185C">
              <w:rPr>
                <w:rStyle w:val="a9"/>
                <w:rFonts w:ascii="Times New Roman" w:eastAsia="楷体" w:hAnsi="Times New Roman"/>
                <w:b/>
                <w:noProof/>
              </w:rPr>
              <w:t>[</w:t>
            </w:r>
            <w:r w:rsidRPr="00AE185C">
              <w:rPr>
                <w:rStyle w:val="a9"/>
                <w:rFonts w:ascii="Times New Roman" w:eastAsia="楷体" w:hAnsi="Times New Roman"/>
                <w:b/>
                <w:noProof/>
              </w:rPr>
              <w:t>贵金属</w:t>
            </w:r>
            <w:r w:rsidRPr="00AE185C">
              <w:rPr>
                <w:rStyle w:val="a9"/>
                <w:rFonts w:ascii="Times New Roman" w:eastAsia="楷体" w:hAnsi="Times New Roman"/>
                <w:b/>
                <w:noProof/>
              </w:rPr>
              <w:t>]</w:t>
            </w:r>
          </w:hyperlink>
        </w:p>
        <w:p w:rsidR="00380E38" w:rsidRDefault="00380E38">
          <w:pPr>
            <w:pStyle w:val="23"/>
            <w:tabs>
              <w:tab w:val="right" w:leader="dot" w:pos="8296"/>
            </w:tabs>
            <w:rPr>
              <w:rFonts w:eastAsiaTheme="minorEastAsia"/>
              <w:noProof/>
              <w:szCs w:val="22"/>
            </w:rPr>
          </w:pPr>
          <w:hyperlink w:anchor="_Toc140483462" w:history="1">
            <w:r w:rsidRPr="00AE185C">
              <w:rPr>
                <w:rStyle w:val="a9"/>
                <w:rFonts w:ascii="Times New Roman" w:eastAsia="楷体" w:hAnsi="Times New Roman"/>
                <w:b/>
                <w:noProof/>
              </w:rPr>
              <w:t>贵金属：美国消费者信心指数上行，贵金属价格反弹</w:t>
            </w:r>
          </w:hyperlink>
        </w:p>
        <w:p w:rsidR="00380E38" w:rsidRDefault="00380E38">
          <w:pPr>
            <w:pStyle w:val="11"/>
            <w:tabs>
              <w:tab w:val="right" w:leader="dot" w:pos="8296"/>
            </w:tabs>
            <w:rPr>
              <w:rFonts w:eastAsiaTheme="minorEastAsia"/>
              <w:noProof/>
              <w:szCs w:val="22"/>
            </w:rPr>
          </w:pPr>
          <w:hyperlink w:anchor="_Toc140483463" w:history="1">
            <w:r w:rsidRPr="00AE185C">
              <w:rPr>
                <w:rStyle w:val="a9"/>
                <w:rFonts w:ascii="Times New Roman" w:eastAsia="楷体" w:hAnsi="Times New Roman"/>
                <w:b/>
                <w:noProof/>
              </w:rPr>
              <w:t>[</w:t>
            </w:r>
            <w:r w:rsidRPr="00AE185C">
              <w:rPr>
                <w:rStyle w:val="a9"/>
                <w:rFonts w:ascii="Times New Roman" w:eastAsia="楷体" w:hAnsi="Times New Roman"/>
                <w:b/>
                <w:noProof/>
              </w:rPr>
              <w:t>金属</w:t>
            </w:r>
            <w:r w:rsidRPr="00AE185C">
              <w:rPr>
                <w:rStyle w:val="a9"/>
                <w:rFonts w:ascii="Times New Roman" w:eastAsia="楷体" w:hAnsi="Times New Roman"/>
                <w:b/>
                <w:noProof/>
              </w:rPr>
              <w:t>]</w:t>
            </w:r>
          </w:hyperlink>
        </w:p>
        <w:p w:rsidR="00380E38" w:rsidRDefault="00380E38">
          <w:pPr>
            <w:pStyle w:val="23"/>
            <w:tabs>
              <w:tab w:val="right" w:leader="dot" w:pos="8296"/>
            </w:tabs>
            <w:rPr>
              <w:rFonts w:eastAsiaTheme="minorEastAsia"/>
              <w:noProof/>
              <w:szCs w:val="22"/>
            </w:rPr>
          </w:pPr>
          <w:hyperlink w:anchor="_Toc140483464" w:history="1">
            <w:r w:rsidRPr="00AE185C">
              <w:rPr>
                <w:rStyle w:val="a9"/>
                <w:rFonts w:ascii="楷体" w:eastAsia="楷体" w:hAnsi="楷体"/>
                <w:b/>
                <w:noProof/>
              </w:rPr>
              <w:t>螺纹钢：短期成本支撑较强，需求边际弱化积累矛盾，注意宏观数据影响</w:t>
            </w:r>
          </w:hyperlink>
        </w:p>
        <w:p w:rsidR="00380E38" w:rsidRDefault="00380E38">
          <w:pPr>
            <w:pStyle w:val="23"/>
            <w:tabs>
              <w:tab w:val="right" w:leader="dot" w:pos="8296"/>
            </w:tabs>
            <w:rPr>
              <w:rFonts w:eastAsiaTheme="minorEastAsia"/>
              <w:noProof/>
              <w:szCs w:val="22"/>
            </w:rPr>
          </w:pPr>
          <w:hyperlink w:anchor="_Toc140483465" w:history="1">
            <w:r w:rsidRPr="00AE185C">
              <w:rPr>
                <w:rStyle w:val="a9"/>
                <w:rFonts w:ascii="楷体" w:eastAsia="楷体" w:hAnsi="楷体"/>
                <w:b/>
                <w:noProof/>
              </w:rPr>
              <w:t>焦炭：现货强势，盘面兑现较多涨幅下，高位偏强震荡</w:t>
            </w:r>
          </w:hyperlink>
        </w:p>
        <w:p w:rsidR="00380E38" w:rsidRDefault="00380E38">
          <w:pPr>
            <w:pStyle w:val="23"/>
            <w:tabs>
              <w:tab w:val="right" w:leader="dot" w:pos="8296"/>
            </w:tabs>
            <w:rPr>
              <w:rFonts w:eastAsiaTheme="minorEastAsia"/>
              <w:noProof/>
              <w:szCs w:val="22"/>
            </w:rPr>
          </w:pPr>
          <w:hyperlink w:anchor="_Toc140483466" w:history="1">
            <w:r w:rsidRPr="00AE185C">
              <w:rPr>
                <w:rStyle w:val="a9"/>
                <w:rFonts w:ascii="楷体" w:eastAsia="楷体" w:hAnsi="楷体"/>
                <w:b/>
                <w:noProof/>
              </w:rPr>
              <w:t>焦煤：补库支撑现货价格，盘面偏强震荡</w:t>
            </w:r>
          </w:hyperlink>
        </w:p>
        <w:p w:rsidR="00380E38" w:rsidRDefault="00380E38">
          <w:pPr>
            <w:pStyle w:val="23"/>
            <w:tabs>
              <w:tab w:val="right" w:leader="dot" w:pos="8296"/>
            </w:tabs>
            <w:rPr>
              <w:rFonts w:eastAsiaTheme="minorEastAsia"/>
              <w:noProof/>
              <w:szCs w:val="22"/>
            </w:rPr>
          </w:pPr>
          <w:hyperlink w:anchor="_Toc140483467" w:history="1">
            <w:r w:rsidRPr="00AE185C">
              <w:rPr>
                <w:rStyle w:val="a9"/>
                <w:rFonts w:ascii="楷体" w:eastAsia="楷体" w:hAnsi="楷体"/>
                <w:b/>
                <w:noProof/>
              </w:rPr>
              <w:t>铜：维持高位震荡</w:t>
            </w:r>
          </w:hyperlink>
        </w:p>
        <w:p w:rsidR="00380E38" w:rsidRDefault="00380E38">
          <w:pPr>
            <w:pStyle w:val="23"/>
            <w:tabs>
              <w:tab w:val="right" w:leader="dot" w:pos="8296"/>
            </w:tabs>
            <w:rPr>
              <w:rFonts w:eastAsiaTheme="minorEastAsia"/>
              <w:noProof/>
              <w:szCs w:val="22"/>
            </w:rPr>
          </w:pPr>
          <w:hyperlink w:anchor="_Toc140483468" w:history="1">
            <w:r w:rsidRPr="00AE185C">
              <w:rPr>
                <w:rStyle w:val="a9"/>
                <w:rFonts w:ascii="楷体" w:eastAsia="楷体" w:hAnsi="楷体"/>
                <w:b/>
                <w:noProof/>
              </w:rPr>
              <w:t>铝：宏观情绪支撑，基本面偏弱维持，注意价格回调风险</w:t>
            </w:r>
          </w:hyperlink>
        </w:p>
        <w:p w:rsidR="00380E38" w:rsidRDefault="00380E38">
          <w:pPr>
            <w:pStyle w:val="23"/>
            <w:tabs>
              <w:tab w:val="right" w:leader="dot" w:pos="8296"/>
            </w:tabs>
            <w:rPr>
              <w:rFonts w:eastAsiaTheme="minorEastAsia"/>
              <w:noProof/>
              <w:szCs w:val="22"/>
            </w:rPr>
          </w:pPr>
          <w:hyperlink w:anchor="_Toc140483469" w:history="1">
            <w:r w:rsidRPr="00AE185C">
              <w:rPr>
                <w:rStyle w:val="a9"/>
                <w:rFonts w:ascii="楷体" w:eastAsia="楷体" w:hAnsi="楷体"/>
                <w:b/>
                <w:noProof/>
              </w:rPr>
              <w:t>锌：宏观及基本面情绪分化，价格上驱但支撑不足</w:t>
            </w:r>
          </w:hyperlink>
        </w:p>
        <w:p w:rsidR="00380E38" w:rsidRDefault="00380E38">
          <w:pPr>
            <w:pStyle w:val="23"/>
            <w:tabs>
              <w:tab w:val="right" w:leader="dot" w:pos="8296"/>
            </w:tabs>
            <w:rPr>
              <w:rFonts w:eastAsiaTheme="minorEastAsia"/>
              <w:noProof/>
              <w:szCs w:val="22"/>
            </w:rPr>
          </w:pPr>
          <w:hyperlink w:anchor="_Toc140483470" w:history="1">
            <w:r w:rsidRPr="00AE185C">
              <w:rPr>
                <w:rStyle w:val="a9"/>
                <w:rFonts w:ascii="楷体" w:eastAsia="楷体" w:hAnsi="楷体"/>
                <w:b/>
                <w:noProof/>
              </w:rPr>
              <w:t>镍：供应预期压力仍在，镍价反弹空间有限</w:t>
            </w:r>
          </w:hyperlink>
        </w:p>
        <w:p w:rsidR="00380E38" w:rsidRDefault="00380E38">
          <w:pPr>
            <w:pStyle w:val="23"/>
            <w:tabs>
              <w:tab w:val="right" w:leader="dot" w:pos="8296"/>
            </w:tabs>
            <w:rPr>
              <w:rFonts w:eastAsiaTheme="minorEastAsia"/>
              <w:noProof/>
              <w:szCs w:val="22"/>
            </w:rPr>
          </w:pPr>
          <w:hyperlink w:anchor="_Toc140483471" w:history="1">
            <w:r w:rsidRPr="00AE185C">
              <w:rPr>
                <w:rStyle w:val="a9"/>
                <w:rFonts w:ascii="楷体" w:eastAsia="楷体" w:hAnsi="楷体"/>
                <w:b/>
                <w:noProof/>
              </w:rPr>
              <w:t>铅：宏观情绪提振铅价，短期震荡上行</w:t>
            </w:r>
          </w:hyperlink>
        </w:p>
        <w:p w:rsidR="00380E38" w:rsidRDefault="00380E38">
          <w:pPr>
            <w:pStyle w:val="23"/>
            <w:tabs>
              <w:tab w:val="right" w:leader="dot" w:pos="8296"/>
            </w:tabs>
            <w:rPr>
              <w:rFonts w:eastAsiaTheme="minorEastAsia"/>
              <w:noProof/>
              <w:szCs w:val="22"/>
            </w:rPr>
          </w:pPr>
          <w:hyperlink w:anchor="_Toc140483472" w:history="1">
            <w:r w:rsidRPr="00AE185C">
              <w:rPr>
                <w:rStyle w:val="a9"/>
                <w:rFonts w:ascii="楷体" w:eastAsia="楷体" w:hAnsi="楷体"/>
                <w:b/>
                <w:noProof/>
              </w:rPr>
              <w:t>不锈钢：内外宏观共振，短期SS震荡偏强运行</w:t>
            </w:r>
          </w:hyperlink>
        </w:p>
        <w:p w:rsidR="00380E38" w:rsidRDefault="00380E38">
          <w:pPr>
            <w:pStyle w:val="23"/>
            <w:tabs>
              <w:tab w:val="right" w:leader="dot" w:pos="8296"/>
            </w:tabs>
            <w:rPr>
              <w:rFonts w:eastAsiaTheme="minorEastAsia"/>
              <w:noProof/>
              <w:szCs w:val="22"/>
            </w:rPr>
          </w:pPr>
          <w:hyperlink w:anchor="_Toc140483473" w:history="1">
            <w:r w:rsidRPr="00AE185C">
              <w:rPr>
                <w:rStyle w:val="a9"/>
                <w:rFonts w:ascii="楷体" w:eastAsia="楷体" w:hAnsi="楷体"/>
                <w:b/>
                <w:noProof/>
              </w:rPr>
              <w:t>工业硅：高温限电担忧暂未解除，短期市场或仍有所支撑</w:t>
            </w:r>
          </w:hyperlink>
        </w:p>
        <w:p w:rsidR="00380E38" w:rsidRDefault="00380E38">
          <w:pPr>
            <w:pStyle w:val="11"/>
            <w:tabs>
              <w:tab w:val="right" w:leader="dot" w:pos="8296"/>
            </w:tabs>
            <w:rPr>
              <w:rFonts w:eastAsiaTheme="minorEastAsia"/>
              <w:noProof/>
              <w:szCs w:val="22"/>
            </w:rPr>
          </w:pPr>
          <w:hyperlink w:anchor="_Toc140483474" w:history="1">
            <w:r w:rsidRPr="00AE185C">
              <w:rPr>
                <w:rStyle w:val="a9"/>
                <w:rFonts w:ascii="Times New Roman" w:eastAsia="楷体" w:hAnsi="Times New Roman"/>
                <w:b/>
                <w:noProof/>
              </w:rPr>
              <w:t>[</w:t>
            </w:r>
            <w:r w:rsidRPr="00AE185C">
              <w:rPr>
                <w:rStyle w:val="a9"/>
                <w:rFonts w:ascii="Times New Roman" w:eastAsia="楷体" w:hAnsi="Times New Roman"/>
                <w:b/>
                <w:noProof/>
              </w:rPr>
              <w:t>化工</w:t>
            </w:r>
            <w:r w:rsidRPr="00AE185C">
              <w:rPr>
                <w:rStyle w:val="a9"/>
                <w:rFonts w:ascii="Times New Roman" w:eastAsia="楷体" w:hAnsi="Times New Roman"/>
                <w:b/>
                <w:noProof/>
              </w:rPr>
              <w:t>]</w:t>
            </w:r>
          </w:hyperlink>
        </w:p>
        <w:p w:rsidR="00380E38" w:rsidRDefault="00380E38">
          <w:pPr>
            <w:pStyle w:val="23"/>
            <w:tabs>
              <w:tab w:val="right" w:leader="dot" w:pos="8296"/>
            </w:tabs>
            <w:rPr>
              <w:rFonts w:eastAsiaTheme="minorEastAsia"/>
              <w:noProof/>
              <w:szCs w:val="22"/>
            </w:rPr>
          </w:pPr>
          <w:hyperlink w:anchor="_Toc140483475" w:history="1">
            <w:r w:rsidRPr="00AE185C">
              <w:rPr>
                <w:rStyle w:val="a9"/>
                <w:rFonts w:ascii="Times New Roman" w:eastAsia="楷体" w:hAnsi="Times New Roman"/>
                <w:b/>
                <w:noProof/>
              </w:rPr>
              <w:t>天然橡胶</w:t>
            </w:r>
            <w:r w:rsidRPr="00AE185C">
              <w:rPr>
                <w:rStyle w:val="a9"/>
                <w:rFonts w:ascii="Times New Roman" w:eastAsia="楷体" w:hAnsi="Times New Roman"/>
                <w:b/>
                <w:noProof/>
              </w:rPr>
              <w:t>:</w:t>
            </w:r>
            <w:r w:rsidRPr="00AE185C">
              <w:rPr>
                <w:rStyle w:val="a9"/>
                <w:rFonts w:ascii="楷体" w:eastAsia="楷体" w:hAnsi="楷体"/>
                <w:b/>
                <w:noProof/>
              </w:rPr>
              <w:t xml:space="preserve"> 市场信息面炒作与基本面弱势博弈 短期RU仍有小幅走弱预期</w:t>
            </w:r>
          </w:hyperlink>
        </w:p>
        <w:p w:rsidR="00380E38" w:rsidRDefault="00380E38">
          <w:pPr>
            <w:pStyle w:val="23"/>
            <w:tabs>
              <w:tab w:val="right" w:leader="dot" w:pos="8296"/>
            </w:tabs>
            <w:rPr>
              <w:rFonts w:eastAsiaTheme="minorEastAsia"/>
              <w:noProof/>
              <w:szCs w:val="22"/>
            </w:rPr>
          </w:pPr>
          <w:hyperlink w:anchor="_Toc140483476" w:history="1">
            <w:r w:rsidRPr="00AE185C">
              <w:rPr>
                <w:rStyle w:val="a9"/>
                <w:rFonts w:ascii="楷体" w:eastAsia="楷体" w:hAnsi="楷体"/>
                <w:b/>
                <w:noProof/>
              </w:rPr>
              <w:t>PTA：驱动接近尾声 关注上方压力位</w:t>
            </w:r>
          </w:hyperlink>
        </w:p>
        <w:p w:rsidR="00380E38" w:rsidRDefault="00380E38">
          <w:pPr>
            <w:pStyle w:val="23"/>
            <w:tabs>
              <w:tab w:val="right" w:leader="dot" w:pos="8296"/>
            </w:tabs>
            <w:rPr>
              <w:rFonts w:eastAsiaTheme="minorEastAsia"/>
              <w:noProof/>
              <w:szCs w:val="22"/>
            </w:rPr>
          </w:pPr>
          <w:hyperlink w:anchor="_Toc140483477" w:history="1">
            <w:r w:rsidRPr="00AE185C">
              <w:rPr>
                <w:rStyle w:val="a9"/>
                <w:rFonts w:ascii="楷体" w:eastAsia="楷体" w:hAnsi="楷体"/>
                <w:b/>
                <w:noProof/>
              </w:rPr>
              <w:t>PVC：高库存+弱复苏 驱动不足</w:t>
            </w:r>
          </w:hyperlink>
        </w:p>
        <w:p w:rsidR="00380E38" w:rsidRDefault="00380E38">
          <w:pPr>
            <w:pStyle w:val="23"/>
            <w:tabs>
              <w:tab w:val="right" w:leader="dot" w:pos="8296"/>
            </w:tabs>
            <w:rPr>
              <w:rFonts w:eastAsiaTheme="minorEastAsia"/>
              <w:noProof/>
              <w:szCs w:val="22"/>
            </w:rPr>
          </w:pPr>
          <w:hyperlink w:anchor="_Toc140483478" w:history="1">
            <w:r w:rsidRPr="00AE185C">
              <w:rPr>
                <w:rStyle w:val="a9"/>
                <w:rFonts w:ascii="楷体" w:eastAsia="楷体" w:hAnsi="楷体"/>
                <w:b/>
                <w:noProof/>
              </w:rPr>
              <w:t>聚烯烃：供需格局未见改善，聚烯烃价格或窄幅震荡为主</w:t>
            </w:r>
          </w:hyperlink>
        </w:p>
        <w:p w:rsidR="00380E38" w:rsidRDefault="00380E38">
          <w:pPr>
            <w:pStyle w:val="23"/>
            <w:tabs>
              <w:tab w:val="right" w:leader="dot" w:pos="8296"/>
            </w:tabs>
            <w:rPr>
              <w:rFonts w:eastAsiaTheme="minorEastAsia"/>
              <w:noProof/>
              <w:szCs w:val="22"/>
            </w:rPr>
          </w:pPr>
          <w:hyperlink w:anchor="_Toc140483479" w:history="1">
            <w:r w:rsidRPr="00AE185C">
              <w:rPr>
                <w:rStyle w:val="a9"/>
                <w:rFonts w:ascii="楷体" w:eastAsia="楷体" w:hAnsi="楷体"/>
                <w:b/>
                <w:noProof/>
              </w:rPr>
              <w:t>MEG：供需紧平衡格局 短期仍有支撑</w:t>
            </w:r>
          </w:hyperlink>
        </w:p>
        <w:p w:rsidR="00380E38" w:rsidRDefault="00380E38">
          <w:pPr>
            <w:pStyle w:val="23"/>
            <w:tabs>
              <w:tab w:val="right" w:leader="dot" w:pos="8296"/>
            </w:tabs>
            <w:rPr>
              <w:rFonts w:eastAsiaTheme="minorEastAsia"/>
              <w:noProof/>
              <w:szCs w:val="22"/>
            </w:rPr>
          </w:pPr>
          <w:hyperlink w:anchor="_Toc140483480" w:history="1">
            <w:r w:rsidRPr="00AE185C">
              <w:rPr>
                <w:rStyle w:val="a9"/>
                <w:rFonts w:ascii="楷体" w:eastAsia="楷体" w:hAnsi="楷体"/>
                <w:b/>
                <w:noProof/>
              </w:rPr>
              <w:t>玻璃：产销转强，下游阶段性补库</w:t>
            </w:r>
          </w:hyperlink>
        </w:p>
        <w:p w:rsidR="00380E38" w:rsidRDefault="00380E38">
          <w:pPr>
            <w:pStyle w:val="23"/>
            <w:tabs>
              <w:tab w:val="right" w:leader="dot" w:pos="8296"/>
            </w:tabs>
            <w:rPr>
              <w:rFonts w:eastAsiaTheme="minorEastAsia"/>
              <w:noProof/>
              <w:szCs w:val="22"/>
            </w:rPr>
          </w:pPr>
          <w:hyperlink w:anchor="_Toc140483481" w:history="1">
            <w:r w:rsidRPr="00AE185C">
              <w:rPr>
                <w:rStyle w:val="a9"/>
                <w:rFonts w:ascii="楷体" w:eastAsia="楷体" w:hAnsi="楷体"/>
                <w:b/>
                <w:noProof/>
              </w:rPr>
              <w:t>纯碱：持仓量下降，盘面震荡</w:t>
            </w:r>
          </w:hyperlink>
        </w:p>
        <w:p w:rsidR="00380E38" w:rsidRDefault="00380E38">
          <w:pPr>
            <w:pStyle w:val="11"/>
            <w:tabs>
              <w:tab w:val="right" w:leader="dot" w:pos="8296"/>
            </w:tabs>
            <w:rPr>
              <w:rFonts w:eastAsiaTheme="minorEastAsia"/>
              <w:noProof/>
              <w:szCs w:val="22"/>
            </w:rPr>
          </w:pPr>
          <w:hyperlink w:anchor="_Toc140483482" w:history="1">
            <w:r w:rsidRPr="00AE185C">
              <w:rPr>
                <w:rStyle w:val="a9"/>
                <w:rFonts w:ascii="Times New Roman" w:eastAsia="楷体" w:hAnsi="Times New Roman"/>
                <w:b/>
                <w:noProof/>
              </w:rPr>
              <w:t>[</w:t>
            </w:r>
            <w:r w:rsidRPr="00AE185C">
              <w:rPr>
                <w:rStyle w:val="a9"/>
                <w:rFonts w:ascii="Times New Roman" w:eastAsia="楷体" w:hAnsi="Times New Roman"/>
                <w:b/>
                <w:noProof/>
              </w:rPr>
              <w:t>农产品</w:t>
            </w:r>
            <w:r w:rsidRPr="00AE185C">
              <w:rPr>
                <w:rStyle w:val="a9"/>
                <w:rFonts w:ascii="Times New Roman" w:eastAsia="楷体" w:hAnsi="Times New Roman"/>
                <w:b/>
                <w:noProof/>
              </w:rPr>
              <w:t>]</w:t>
            </w:r>
          </w:hyperlink>
        </w:p>
        <w:p w:rsidR="00380E38" w:rsidRDefault="00380E38">
          <w:pPr>
            <w:pStyle w:val="23"/>
            <w:tabs>
              <w:tab w:val="right" w:leader="dot" w:pos="8296"/>
            </w:tabs>
            <w:rPr>
              <w:rFonts w:eastAsiaTheme="minorEastAsia"/>
              <w:noProof/>
              <w:szCs w:val="22"/>
            </w:rPr>
          </w:pPr>
          <w:hyperlink w:anchor="_Toc140483483" w:history="1">
            <w:r w:rsidRPr="00AE185C">
              <w:rPr>
                <w:rStyle w:val="a9"/>
                <w:rFonts w:ascii="楷体" w:eastAsia="楷体" w:hAnsi="楷体"/>
                <w:b/>
                <w:noProof/>
              </w:rPr>
              <w:t>豆粕/菜粕：维持高位震荡</w:t>
            </w:r>
          </w:hyperlink>
        </w:p>
        <w:p w:rsidR="00380E38" w:rsidRDefault="00380E38">
          <w:pPr>
            <w:pStyle w:val="23"/>
            <w:tabs>
              <w:tab w:val="right" w:leader="dot" w:pos="8296"/>
            </w:tabs>
            <w:rPr>
              <w:rFonts w:eastAsiaTheme="minorEastAsia"/>
              <w:noProof/>
              <w:szCs w:val="22"/>
            </w:rPr>
          </w:pPr>
          <w:hyperlink w:anchor="_Toc140483484" w:history="1">
            <w:r w:rsidRPr="00AE185C">
              <w:rPr>
                <w:rStyle w:val="a9"/>
                <w:rFonts w:ascii="楷体" w:eastAsia="楷体" w:hAnsi="楷体"/>
                <w:b/>
                <w:noProof/>
              </w:rPr>
              <w:t>油脂：警惕短期回调</w:t>
            </w:r>
          </w:hyperlink>
        </w:p>
        <w:p w:rsidR="00380E38" w:rsidRDefault="00380E38">
          <w:pPr>
            <w:pStyle w:val="23"/>
            <w:tabs>
              <w:tab w:val="right" w:leader="dot" w:pos="8296"/>
            </w:tabs>
            <w:rPr>
              <w:rFonts w:eastAsiaTheme="minorEastAsia"/>
              <w:noProof/>
              <w:szCs w:val="22"/>
            </w:rPr>
          </w:pPr>
          <w:hyperlink w:anchor="_Toc140483485" w:history="1">
            <w:r w:rsidRPr="00AE185C">
              <w:rPr>
                <w:rStyle w:val="a9"/>
                <w:rFonts w:ascii="楷体" w:eastAsia="楷体" w:hAnsi="楷体"/>
                <w:b/>
                <w:bCs/>
                <w:noProof/>
              </w:rPr>
              <w:t>玉米与淀粉：</w:t>
            </w:r>
            <w:r w:rsidRPr="00AE185C">
              <w:rPr>
                <w:rStyle w:val="a9"/>
                <w:rFonts w:ascii="楷体" w:eastAsia="楷体" w:hAnsi="楷体"/>
                <w:b/>
                <w:noProof/>
              </w:rPr>
              <w:t>期价回落调整</w:t>
            </w:r>
          </w:hyperlink>
        </w:p>
        <w:p w:rsidR="00380E38" w:rsidRDefault="00380E38">
          <w:pPr>
            <w:pStyle w:val="23"/>
            <w:tabs>
              <w:tab w:val="right" w:leader="dot" w:pos="8296"/>
            </w:tabs>
            <w:rPr>
              <w:rFonts w:eastAsiaTheme="minorEastAsia"/>
              <w:noProof/>
              <w:szCs w:val="22"/>
            </w:rPr>
          </w:pPr>
          <w:hyperlink w:anchor="_Toc140483486" w:history="1">
            <w:r w:rsidRPr="00AE185C">
              <w:rPr>
                <w:rStyle w:val="a9"/>
                <w:rFonts w:ascii="楷体" w:eastAsia="楷体" w:hAnsi="楷体"/>
                <w:b/>
                <w:bCs/>
                <w:noProof/>
              </w:rPr>
              <w:t>畜禽养殖：生猪近月期价继续探底</w:t>
            </w:r>
          </w:hyperlink>
        </w:p>
        <w:p w:rsidR="00380E38" w:rsidRDefault="00380E38">
          <w:pPr>
            <w:pStyle w:val="23"/>
            <w:tabs>
              <w:tab w:val="right" w:leader="dot" w:pos="8296"/>
            </w:tabs>
            <w:rPr>
              <w:rFonts w:eastAsiaTheme="minorEastAsia"/>
              <w:noProof/>
              <w:szCs w:val="22"/>
            </w:rPr>
          </w:pPr>
          <w:hyperlink w:anchor="_Toc140483487" w:history="1">
            <w:r w:rsidRPr="00AE185C">
              <w:rPr>
                <w:rStyle w:val="a9"/>
                <w:rFonts w:ascii="楷体" w:eastAsia="楷体" w:hAnsi="楷体"/>
                <w:b/>
                <w:noProof/>
              </w:rPr>
              <w:t>郑棉：09看跌期权卖权持有，等待01在16500附近逢低买入机会</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4048345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40483460"/>
      <w:bookmarkEnd w:id="4"/>
      <w:r>
        <w:rPr>
          <w:rFonts w:ascii="Times New Roman" w:eastAsia="楷体" w:hAnsi="Times New Roman" w:hint="eastAsia"/>
          <w:b/>
          <w:color w:val="000000" w:themeColor="text1"/>
          <w:sz w:val="24"/>
          <w:szCs w:val="24"/>
        </w:rPr>
        <w:t>股指：</w:t>
      </w:r>
      <w:bookmarkEnd w:id="6"/>
      <w:bookmarkEnd w:id="7"/>
      <w:r w:rsidR="00380E38" w:rsidRPr="00380E38">
        <w:rPr>
          <w:rFonts w:ascii="Times New Roman" w:eastAsia="楷体" w:hAnsi="Times New Roman" w:hint="eastAsia"/>
          <w:b/>
          <w:color w:val="000000" w:themeColor="text1"/>
          <w:sz w:val="24"/>
          <w:szCs w:val="24"/>
        </w:rPr>
        <w:t>低多</w:t>
      </w:r>
      <w:r w:rsidR="00380E38" w:rsidRPr="00380E38">
        <w:rPr>
          <w:rFonts w:ascii="Times New Roman" w:eastAsia="楷体" w:hAnsi="Times New Roman" w:hint="eastAsia"/>
          <w:b/>
          <w:color w:val="000000" w:themeColor="text1"/>
          <w:sz w:val="24"/>
          <w:szCs w:val="24"/>
        </w:rPr>
        <w:t>IF</w:t>
      </w:r>
      <w:r w:rsidR="00380E38" w:rsidRPr="00380E38">
        <w:rPr>
          <w:rFonts w:ascii="Times New Roman" w:eastAsia="楷体" w:hAnsi="Times New Roman" w:hint="eastAsia"/>
          <w:b/>
          <w:color w:val="000000" w:themeColor="text1"/>
          <w:sz w:val="24"/>
          <w:szCs w:val="24"/>
        </w:rPr>
        <w:t>、</w:t>
      </w:r>
      <w:r w:rsidR="00380E38" w:rsidRPr="00380E38">
        <w:rPr>
          <w:rFonts w:ascii="Times New Roman" w:eastAsia="楷体" w:hAnsi="Times New Roman" w:hint="eastAsia"/>
          <w:b/>
          <w:color w:val="000000" w:themeColor="text1"/>
          <w:sz w:val="24"/>
          <w:szCs w:val="24"/>
        </w:rPr>
        <w:t>IM</w:t>
      </w:r>
      <w:bookmarkEnd w:id="8"/>
    </w:p>
    <w:p w:rsidR="003F56A5" w:rsidRDefault="00380E38">
      <w:pPr>
        <w:ind w:leftChars="300" w:left="630"/>
        <w:rPr>
          <w:rFonts w:ascii="Times New Roman" w:eastAsia="楷体" w:hAnsi="Times New Roman"/>
          <w:color w:val="000000" w:themeColor="text1"/>
          <w:sz w:val="24"/>
          <w:szCs w:val="24"/>
        </w:rPr>
      </w:pPr>
      <w:r w:rsidRPr="00380E38">
        <w:rPr>
          <w:rFonts w:ascii="Times New Roman" w:eastAsia="楷体" w:hAnsi="Times New Roman" w:hint="eastAsia"/>
          <w:color w:val="000000" w:themeColor="text1"/>
          <w:sz w:val="24"/>
          <w:szCs w:val="24"/>
        </w:rPr>
        <w:t>美国非农首次低于预期后，通胀数据再度低于预期，海外流动性修复拐点逐步显现。尽管未来终点预期的变化可能仍有扰动，</w:t>
      </w:r>
      <w:r w:rsidRPr="00380E38">
        <w:rPr>
          <w:rFonts w:ascii="Times New Roman" w:eastAsia="楷体" w:hAnsi="Times New Roman" w:hint="eastAsia"/>
          <w:color w:val="000000" w:themeColor="text1"/>
          <w:sz w:val="24"/>
          <w:szCs w:val="24"/>
        </w:rPr>
        <w:t xml:space="preserve"> </w:t>
      </w:r>
      <w:r w:rsidRPr="00380E38">
        <w:rPr>
          <w:rFonts w:ascii="Times New Roman" w:eastAsia="楷体" w:hAnsi="Times New Roman" w:hint="eastAsia"/>
          <w:color w:val="000000" w:themeColor="text1"/>
          <w:sz w:val="24"/>
          <w:szCs w:val="24"/>
        </w:rPr>
        <w:t>但美元指数和美债收益率的下行趋势已基本明确。</w:t>
      </w:r>
      <w:r w:rsidRPr="00380E38">
        <w:rPr>
          <w:rFonts w:ascii="Times New Roman" w:eastAsia="楷体" w:hAnsi="Times New Roman" w:hint="eastAsia"/>
          <w:color w:val="000000" w:themeColor="text1"/>
          <w:sz w:val="24"/>
          <w:szCs w:val="24"/>
        </w:rPr>
        <w:t>6</w:t>
      </w:r>
      <w:r w:rsidRPr="00380E38">
        <w:rPr>
          <w:rFonts w:ascii="Times New Roman" w:eastAsia="楷体" w:hAnsi="Times New Roman" w:hint="eastAsia"/>
          <w:color w:val="000000" w:themeColor="text1"/>
          <w:sz w:val="24"/>
          <w:szCs w:val="24"/>
        </w:rPr>
        <w:t>月新增社融和信贷规模超预期，结构有所改善，工业企业盈利增速迎来拐点，下半年信用企稳扩张是大概率事件。人民币兑美元汇率开始企稳回升，外资有望延续净流入，</w:t>
      </w:r>
      <w:r w:rsidRPr="00380E38">
        <w:rPr>
          <w:rFonts w:ascii="Times New Roman" w:eastAsia="楷体" w:hAnsi="Times New Roman" w:hint="eastAsia"/>
          <w:color w:val="000000" w:themeColor="text1"/>
          <w:sz w:val="24"/>
          <w:szCs w:val="24"/>
        </w:rPr>
        <w:t>A</w:t>
      </w:r>
      <w:r w:rsidRPr="00380E38">
        <w:rPr>
          <w:rFonts w:ascii="Times New Roman" w:eastAsia="楷体" w:hAnsi="Times New Roman" w:hint="eastAsia"/>
          <w:color w:val="000000" w:themeColor="text1"/>
          <w:sz w:val="24"/>
          <w:szCs w:val="24"/>
        </w:rPr>
        <w:t>股成长风格有望重回占优</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4048346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40483462"/>
      <w:r>
        <w:rPr>
          <w:rFonts w:ascii="Times New Roman" w:eastAsia="楷体" w:hAnsi="Times New Roman" w:hint="eastAsia"/>
          <w:b/>
          <w:color w:val="000000" w:themeColor="text1"/>
          <w:sz w:val="24"/>
          <w:szCs w:val="24"/>
        </w:rPr>
        <w:t>贵金属：</w:t>
      </w:r>
      <w:r w:rsidR="00380E38" w:rsidRPr="00380E38">
        <w:rPr>
          <w:rFonts w:ascii="Times New Roman" w:eastAsia="楷体" w:hAnsi="Times New Roman" w:hint="eastAsia"/>
          <w:b/>
          <w:color w:val="000000" w:themeColor="text1"/>
          <w:sz w:val="24"/>
          <w:szCs w:val="24"/>
        </w:rPr>
        <w:t>美国消费者信心指数上行，贵金属价格反弹</w:t>
      </w:r>
      <w:bookmarkEnd w:id="10"/>
    </w:p>
    <w:p w:rsidR="003F56A5" w:rsidRDefault="00380E38">
      <w:pPr>
        <w:ind w:leftChars="300" w:left="630"/>
        <w:rPr>
          <w:rFonts w:ascii="Times New Roman" w:eastAsia="楷体" w:hAnsi="Times New Roman"/>
          <w:sz w:val="24"/>
          <w:szCs w:val="24"/>
        </w:rPr>
      </w:pPr>
      <w:r w:rsidRPr="00380E38">
        <w:rPr>
          <w:rFonts w:ascii="Times New Roman" w:eastAsia="楷体" w:hAnsi="Times New Roman" w:hint="eastAsia"/>
          <w:color w:val="000000" w:themeColor="text1"/>
          <w:sz w:val="24"/>
          <w:szCs w:val="24"/>
        </w:rPr>
        <w:t>欧央行</w:t>
      </w:r>
      <w:r w:rsidRPr="00380E38">
        <w:rPr>
          <w:rFonts w:ascii="Times New Roman" w:eastAsia="楷体" w:hAnsi="Times New Roman" w:hint="eastAsia"/>
          <w:color w:val="000000" w:themeColor="text1"/>
          <w:sz w:val="24"/>
          <w:szCs w:val="24"/>
        </w:rPr>
        <w:t>6</w:t>
      </w:r>
      <w:r w:rsidRPr="00380E38">
        <w:rPr>
          <w:rFonts w:ascii="Times New Roman" w:eastAsia="楷体" w:hAnsi="Times New Roman" w:hint="eastAsia"/>
          <w:color w:val="000000" w:themeColor="text1"/>
          <w:sz w:val="24"/>
          <w:szCs w:val="24"/>
        </w:rPr>
        <w:t>月会议纪要显示，</w:t>
      </w:r>
      <w:r w:rsidRPr="00380E38">
        <w:rPr>
          <w:rFonts w:ascii="Times New Roman" w:eastAsia="楷体" w:hAnsi="Times New Roman" w:hint="eastAsia"/>
          <w:color w:val="000000" w:themeColor="text1"/>
          <w:sz w:val="24"/>
          <w:szCs w:val="24"/>
        </w:rPr>
        <w:t>7</w:t>
      </w:r>
      <w:r w:rsidRPr="00380E38">
        <w:rPr>
          <w:rFonts w:ascii="Times New Roman" w:eastAsia="楷体" w:hAnsi="Times New Roman" w:hint="eastAsia"/>
          <w:color w:val="000000" w:themeColor="text1"/>
          <w:sz w:val="24"/>
          <w:szCs w:val="24"/>
        </w:rPr>
        <w:t>月以后或继续加息以控制通胀，市场预期欧央行</w:t>
      </w:r>
      <w:r w:rsidRPr="00380E38">
        <w:rPr>
          <w:rFonts w:ascii="Times New Roman" w:eastAsia="楷体" w:hAnsi="Times New Roman" w:hint="eastAsia"/>
          <w:color w:val="000000" w:themeColor="text1"/>
          <w:sz w:val="24"/>
          <w:szCs w:val="24"/>
        </w:rPr>
        <w:t>7</w:t>
      </w:r>
      <w:r w:rsidRPr="00380E38">
        <w:rPr>
          <w:rFonts w:ascii="Times New Roman" w:eastAsia="楷体" w:hAnsi="Times New Roman" w:hint="eastAsia"/>
          <w:color w:val="000000" w:themeColor="text1"/>
          <w:sz w:val="24"/>
          <w:szCs w:val="24"/>
        </w:rPr>
        <w:t>月将加息</w:t>
      </w:r>
      <w:r w:rsidRPr="00380E38">
        <w:rPr>
          <w:rFonts w:ascii="Times New Roman" w:eastAsia="楷体" w:hAnsi="Times New Roman" w:hint="eastAsia"/>
          <w:color w:val="000000" w:themeColor="text1"/>
          <w:sz w:val="24"/>
          <w:szCs w:val="24"/>
        </w:rPr>
        <w:t>25</w:t>
      </w:r>
      <w:r w:rsidRPr="00380E38">
        <w:rPr>
          <w:rFonts w:ascii="Times New Roman" w:eastAsia="楷体" w:hAnsi="Times New Roman" w:hint="eastAsia"/>
          <w:color w:val="000000" w:themeColor="text1"/>
          <w:sz w:val="24"/>
          <w:szCs w:val="24"/>
        </w:rPr>
        <w:t>个基点。美国</w:t>
      </w:r>
      <w:r w:rsidRPr="00380E38">
        <w:rPr>
          <w:rFonts w:ascii="Times New Roman" w:eastAsia="楷体" w:hAnsi="Times New Roman" w:hint="eastAsia"/>
          <w:color w:val="000000" w:themeColor="text1"/>
          <w:sz w:val="24"/>
          <w:szCs w:val="24"/>
        </w:rPr>
        <w:t>7</w:t>
      </w:r>
      <w:r w:rsidRPr="00380E38">
        <w:rPr>
          <w:rFonts w:ascii="Times New Roman" w:eastAsia="楷体" w:hAnsi="Times New Roman" w:hint="eastAsia"/>
          <w:color w:val="000000" w:themeColor="text1"/>
          <w:sz w:val="24"/>
          <w:szCs w:val="24"/>
        </w:rPr>
        <w:t>月密歇根大学消费者信心指数初值大幅反弹至</w:t>
      </w:r>
      <w:r w:rsidRPr="00380E38">
        <w:rPr>
          <w:rFonts w:ascii="Times New Roman" w:eastAsia="楷体" w:hAnsi="Times New Roman" w:hint="eastAsia"/>
          <w:color w:val="000000" w:themeColor="text1"/>
          <w:sz w:val="24"/>
          <w:szCs w:val="24"/>
        </w:rPr>
        <w:t>72.6</w:t>
      </w:r>
      <w:r w:rsidRPr="00380E38">
        <w:rPr>
          <w:rFonts w:ascii="Times New Roman" w:eastAsia="楷体" w:hAnsi="Times New Roman" w:hint="eastAsia"/>
          <w:color w:val="000000" w:themeColor="text1"/>
          <w:sz w:val="24"/>
          <w:szCs w:val="24"/>
        </w:rPr>
        <w:t>，一年期通胀预期微增至</w:t>
      </w:r>
      <w:r w:rsidRPr="00380E38">
        <w:rPr>
          <w:rFonts w:ascii="Times New Roman" w:eastAsia="楷体" w:hAnsi="Times New Roman" w:hint="eastAsia"/>
          <w:color w:val="000000" w:themeColor="text1"/>
          <w:sz w:val="24"/>
          <w:szCs w:val="24"/>
        </w:rPr>
        <w:t>3.4%</w:t>
      </w:r>
      <w:r w:rsidRPr="00380E38">
        <w:rPr>
          <w:rFonts w:ascii="Times New Roman" w:eastAsia="楷体" w:hAnsi="Times New Roman" w:hint="eastAsia"/>
          <w:color w:val="000000" w:themeColor="text1"/>
          <w:sz w:val="24"/>
          <w:szCs w:val="24"/>
        </w:rPr>
        <w:t>。美元指数目前于</w:t>
      </w:r>
      <w:r w:rsidRPr="00380E38">
        <w:rPr>
          <w:rFonts w:ascii="Times New Roman" w:eastAsia="楷体" w:hAnsi="Times New Roman" w:hint="eastAsia"/>
          <w:color w:val="000000" w:themeColor="text1"/>
          <w:sz w:val="24"/>
          <w:szCs w:val="24"/>
        </w:rPr>
        <w:t>100</w:t>
      </w:r>
      <w:r w:rsidRPr="00380E38">
        <w:rPr>
          <w:rFonts w:ascii="Times New Roman" w:eastAsia="楷体" w:hAnsi="Times New Roman" w:hint="eastAsia"/>
          <w:color w:val="000000" w:themeColor="text1"/>
          <w:sz w:val="24"/>
          <w:szCs w:val="24"/>
        </w:rPr>
        <w:t>下方运行，美十债收益率暂报</w:t>
      </w:r>
      <w:r w:rsidRPr="00380E38">
        <w:rPr>
          <w:rFonts w:ascii="Times New Roman" w:eastAsia="楷体" w:hAnsi="Times New Roman" w:hint="eastAsia"/>
          <w:color w:val="000000" w:themeColor="text1"/>
          <w:sz w:val="24"/>
          <w:szCs w:val="24"/>
        </w:rPr>
        <w:t>3.85%</w:t>
      </w:r>
      <w:r w:rsidRPr="00380E38">
        <w:rPr>
          <w:rFonts w:ascii="Times New Roman" w:eastAsia="楷体" w:hAnsi="Times New Roman" w:hint="eastAsia"/>
          <w:color w:val="000000" w:themeColor="text1"/>
          <w:sz w:val="24"/>
          <w:szCs w:val="24"/>
        </w:rPr>
        <w:t>。沪金上周尾盘进一步反弹，沪银大幅上涨突破</w:t>
      </w:r>
      <w:r w:rsidRPr="00380E38">
        <w:rPr>
          <w:rFonts w:ascii="Times New Roman" w:eastAsia="楷体" w:hAnsi="Times New Roman" w:hint="eastAsia"/>
          <w:color w:val="000000" w:themeColor="text1"/>
          <w:sz w:val="24"/>
          <w:szCs w:val="24"/>
        </w:rPr>
        <w:t>5800</w:t>
      </w:r>
      <w:r w:rsidRPr="00380E38">
        <w:rPr>
          <w:rFonts w:ascii="Times New Roman" w:eastAsia="楷体" w:hAnsi="Times New Roman" w:hint="eastAsia"/>
          <w:color w:val="000000" w:themeColor="text1"/>
          <w:sz w:val="24"/>
          <w:szCs w:val="24"/>
        </w:rPr>
        <w:t>元</w:t>
      </w:r>
      <w:r w:rsidRPr="00380E38">
        <w:rPr>
          <w:rFonts w:ascii="Times New Roman" w:eastAsia="楷体" w:hAnsi="Times New Roman" w:hint="eastAsia"/>
          <w:color w:val="000000" w:themeColor="text1"/>
          <w:sz w:val="24"/>
          <w:szCs w:val="24"/>
        </w:rPr>
        <w:t>/</w:t>
      </w:r>
      <w:r w:rsidRPr="00380E38">
        <w:rPr>
          <w:rFonts w:ascii="Times New Roman" w:eastAsia="楷体" w:hAnsi="Times New Roman" w:hint="eastAsia"/>
          <w:color w:val="000000" w:themeColor="text1"/>
          <w:sz w:val="24"/>
          <w:szCs w:val="24"/>
        </w:rPr>
        <w:t>千克关口。上周美国通胀数据超预期回落令海外市场重新考虑美联储更快结束加息的可能性，建议沪金、沪银逢低试多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4048346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3F56A5" w:rsidRDefault="00CC3FFA">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40483464"/>
      <w:r>
        <w:rPr>
          <w:rFonts w:ascii="楷体" w:eastAsia="楷体" w:hAnsi="楷体" w:hint="eastAsia"/>
          <w:b/>
          <w:color w:val="000000" w:themeColor="text1"/>
          <w:sz w:val="24"/>
          <w:szCs w:val="24"/>
        </w:rPr>
        <w:t>螺纹钢：</w:t>
      </w:r>
      <w:bookmarkEnd w:id="16"/>
      <w:bookmarkEnd w:id="17"/>
      <w:r w:rsidR="00380E38" w:rsidRPr="00380E38">
        <w:rPr>
          <w:rFonts w:ascii="楷体" w:eastAsia="楷体" w:hAnsi="楷体" w:hint="eastAsia"/>
          <w:b/>
          <w:color w:val="000000" w:themeColor="text1"/>
          <w:sz w:val="24"/>
          <w:szCs w:val="24"/>
        </w:rPr>
        <w:t>短期成本支撑较强，需求边际弱化积累矛盾，注意宏观数据影响</w:t>
      </w:r>
      <w:bookmarkEnd w:id="18"/>
    </w:p>
    <w:p w:rsidR="003F56A5" w:rsidRDefault="00380E38">
      <w:pPr>
        <w:ind w:leftChars="300" w:left="630"/>
        <w:rPr>
          <w:rFonts w:ascii="楷体" w:eastAsia="楷体" w:hAnsi="楷体"/>
          <w:color w:val="000000" w:themeColor="text1"/>
          <w:sz w:val="24"/>
          <w:szCs w:val="24"/>
        </w:rPr>
      </w:pPr>
      <w:r w:rsidRPr="00380E38">
        <w:rPr>
          <w:rFonts w:ascii="楷体" w:eastAsia="楷体" w:hAnsi="楷体" w:hint="eastAsia"/>
          <w:color w:val="000000" w:themeColor="text1"/>
          <w:sz w:val="24"/>
          <w:szCs w:val="24"/>
        </w:rPr>
        <w:t>短期焦炭现货或延续强势表现，成材基本面弱化较慢，钢价下方具有较强支撑。预计下周钢价或在（3680,3850）震荡运行，短期成本支撑较强，钢价或偏强运行，注意周一宏观数据披露对情绪的影响</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4790"/>
      <w:bookmarkStart w:id="20" w:name="_Toc11356"/>
      <w:bookmarkStart w:id="21" w:name="_Toc140483465"/>
      <w:r>
        <w:rPr>
          <w:rFonts w:ascii="楷体" w:eastAsia="楷体" w:hAnsi="楷体" w:hint="eastAsia"/>
          <w:b/>
          <w:color w:val="000000" w:themeColor="text1"/>
          <w:sz w:val="24"/>
          <w:szCs w:val="24"/>
        </w:rPr>
        <w:t>焦炭：</w:t>
      </w:r>
      <w:bookmarkEnd w:id="19"/>
      <w:bookmarkEnd w:id="20"/>
      <w:r w:rsidR="00380E38" w:rsidRPr="00380E38">
        <w:rPr>
          <w:rFonts w:ascii="楷体" w:eastAsia="楷体" w:hAnsi="楷体" w:hint="eastAsia"/>
          <w:b/>
          <w:color w:val="000000" w:themeColor="text1"/>
          <w:sz w:val="24"/>
          <w:szCs w:val="24"/>
        </w:rPr>
        <w:t>现货强势，盘面兑现较多涨幅下，高位偏强震荡</w:t>
      </w:r>
      <w:bookmarkEnd w:id="21"/>
    </w:p>
    <w:p w:rsidR="003F56A5" w:rsidRDefault="00380E38" w:rsidP="00572E35">
      <w:pPr>
        <w:ind w:leftChars="300" w:left="630"/>
        <w:rPr>
          <w:rFonts w:ascii="楷体" w:eastAsia="楷体" w:hAnsi="楷体"/>
          <w:color w:val="000000" w:themeColor="text1"/>
          <w:sz w:val="24"/>
          <w:szCs w:val="24"/>
        </w:rPr>
      </w:pPr>
      <w:r w:rsidRPr="00380E38">
        <w:rPr>
          <w:rFonts w:ascii="楷体" w:eastAsia="楷体" w:hAnsi="楷体" w:hint="eastAsia"/>
          <w:color w:val="000000" w:themeColor="text1"/>
          <w:sz w:val="24"/>
          <w:szCs w:val="24"/>
        </w:rPr>
        <w:t>港口现货出现惜售情况，第二轮提涨落地概率较大，预期市场围绕第三轮提涨博弈。被动补库下现货价格具有较强支撑，短期铁水高位下，价格较难下行。但盘面兑现涨幅，预计焦炭价格高位偏强震荡，预计震荡区间（2150，2260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2" w:name="_Toc140483466"/>
      <w:r>
        <w:rPr>
          <w:rFonts w:ascii="楷体" w:eastAsia="楷体" w:hAnsi="楷体" w:hint="eastAsia"/>
          <w:b/>
          <w:color w:val="000000" w:themeColor="text1"/>
          <w:sz w:val="24"/>
          <w:szCs w:val="24"/>
        </w:rPr>
        <w:t>焦煤：</w:t>
      </w:r>
      <w:r w:rsidR="00380E38" w:rsidRPr="00380E38">
        <w:rPr>
          <w:rFonts w:ascii="楷体" w:eastAsia="楷体" w:hAnsi="楷体" w:hint="eastAsia"/>
          <w:b/>
          <w:sz w:val="24"/>
          <w:szCs w:val="24"/>
        </w:rPr>
        <w:t>补库支撑现货价格，盘面偏强震荡</w:t>
      </w:r>
      <w:bookmarkEnd w:id="22"/>
    </w:p>
    <w:p w:rsidR="003F56A5" w:rsidRDefault="00380E38">
      <w:pPr>
        <w:ind w:leftChars="300" w:left="630"/>
        <w:rPr>
          <w:rFonts w:ascii="楷体" w:eastAsia="楷体" w:hAnsi="楷体"/>
          <w:bCs/>
          <w:sz w:val="24"/>
          <w:szCs w:val="24"/>
        </w:rPr>
      </w:pPr>
      <w:r w:rsidRPr="00380E38">
        <w:rPr>
          <w:rFonts w:ascii="楷体" w:eastAsia="楷体" w:hAnsi="楷体" w:hint="eastAsia"/>
          <w:sz w:val="24"/>
          <w:szCs w:val="24"/>
        </w:rPr>
        <w:t>本轮驱动较多为贸易商补库，下游终端补库需求仍在，现货价格支撑价格偏强震荡。现货价格短期或继续偏强运行，但贸易环节补库较多，钢价利润被压缩，预计上方压力逐渐显现，预计价格或在（1380,1470）区间震荡</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3" w:name="_Toc9719"/>
      <w:bookmarkStart w:id="24" w:name="_Toc25617"/>
      <w:bookmarkStart w:id="25" w:name="_Toc140483467"/>
      <w:r>
        <w:rPr>
          <w:rFonts w:ascii="楷体" w:eastAsia="楷体" w:hAnsi="楷体" w:hint="eastAsia"/>
          <w:b/>
          <w:color w:val="000000" w:themeColor="text1"/>
          <w:sz w:val="24"/>
          <w:szCs w:val="24"/>
        </w:rPr>
        <w:t>铜：</w:t>
      </w:r>
      <w:bookmarkEnd w:id="23"/>
      <w:bookmarkEnd w:id="24"/>
      <w:r w:rsidR="00380E38" w:rsidRPr="00380E38">
        <w:rPr>
          <w:rFonts w:ascii="楷体" w:eastAsia="楷体" w:hAnsi="楷体" w:hint="eastAsia"/>
          <w:b/>
          <w:color w:val="000000" w:themeColor="text1"/>
          <w:sz w:val="24"/>
          <w:szCs w:val="24"/>
        </w:rPr>
        <w:t>维持高位震荡</w:t>
      </w:r>
      <w:bookmarkEnd w:id="25"/>
    </w:p>
    <w:p w:rsidR="00380E38" w:rsidRPr="00380E38" w:rsidRDefault="00380E38" w:rsidP="00380E38">
      <w:pPr>
        <w:ind w:leftChars="300" w:left="630"/>
        <w:rPr>
          <w:rFonts w:ascii="楷体" w:eastAsia="楷体" w:hAnsi="楷体" w:hint="eastAsia"/>
          <w:color w:val="000000" w:themeColor="text1"/>
          <w:sz w:val="24"/>
          <w:szCs w:val="24"/>
        </w:rPr>
      </w:pPr>
      <w:r w:rsidRPr="00380E38">
        <w:rPr>
          <w:rFonts w:ascii="楷体" w:eastAsia="楷体" w:hAnsi="楷体" w:hint="eastAsia"/>
          <w:color w:val="000000" w:themeColor="text1"/>
          <w:sz w:val="24"/>
          <w:szCs w:val="24"/>
        </w:rPr>
        <w:t>(1)库存：7月14日，SHFE周库存82688吨，较上周五增8052吨；LME仓单库存57175吨，较上周五减5800吨。</w:t>
      </w:r>
    </w:p>
    <w:p w:rsidR="00380E38" w:rsidRPr="00380E38" w:rsidRDefault="00380E38" w:rsidP="00380E38">
      <w:pPr>
        <w:ind w:leftChars="300" w:left="630"/>
        <w:rPr>
          <w:rFonts w:ascii="楷体" w:eastAsia="楷体" w:hAnsi="楷体" w:hint="eastAsia"/>
          <w:color w:val="000000" w:themeColor="text1"/>
          <w:sz w:val="24"/>
          <w:szCs w:val="24"/>
        </w:rPr>
      </w:pPr>
      <w:r w:rsidRPr="00380E38">
        <w:rPr>
          <w:rFonts w:ascii="楷体" w:eastAsia="楷体" w:hAnsi="楷体" w:hint="eastAsia"/>
          <w:color w:val="000000" w:themeColor="text1"/>
          <w:sz w:val="24"/>
          <w:szCs w:val="24"/>
        </w:rPr>
        <w:lastRenderedPageBreak/>
        <w:t>(2)精废价差：7月14日，Mysteel精废价差2434，扩张328。目前价差在合理价差1399之上。</w:t>
      </w:r>
    </w:p>
    <w:p w:rsidR="00380E38" w:rsidRPr="00380E38" w:rsidRDefault="00380E38" w:rsidP="00380E38">
      <w:pPr>
        <w:ind w:leftChars="300" w:left="630"/>
        <w:rPr>
          <w:rFonts w:ascii="楷体" w:eastAsia="楷体" w:hAnsi="楷体"/>
          <w:color w:val="000000" w:themeColor="text1"/>
          <w:sz w:val="24"/>
          <w:szCs w:val="24"/>
        </w:rPr>
      </w:pPr>
    </w:p>
    <w:p w:rsidR="006E3745" w:rsidRPr="006E3745" w:rsidRDefault="00380E38" w:rsidP="00380E38">
      <w:pPr>
        <w:ind w:leftChars="300" w:left="630"/>
        <w:rPr>
          <w:rFonts w:ascii="楷体" w:eastAsia="楷体" w:hAnsi="楷体"/>
          <w:color w:val="000000" w:themeColor="text1"/>
          <w:sz w:val="24"/>
          <w:szCs w:val="24"/>
        </w:rPr>
      </w:pPr>
      <w:r w:rsidRPr="00380E38">
        <w:rPr>
          <w:rFonts w:ascii="楷体" w:eastAsia="楷体" w:hAnsi="楷体" w:hint="eastAsia"/>
          <w:color w:val="000000" w:themeColor="text1"/>
          <w:sz w:val="24"/>
          <w:szCs w:val="24"/>
        </w:rPr>
        <w:t>综述：近期铜价上涨主要源于美元指数的大幅下跌，而美元指数依然受制于联储政策，而联储并未停止加息，且美国经济强于欧洲，短期美元指数继续走跌概率不大，对铜价提振有限。基本面，供增需弱叠加进口铜流入，国内现货偏宽松，现货贴水幅度加深，对价格支撑减弱。预计铜价继续上涨空间有限，本周CU2308主波动区间参考68000-70000元/吨。操作上，建议卖出虚值看涨期权CU2309C71000</w:t>
      </w:r>
      <w:r w:rsidR="006E3745" w:rsidRPr="006E3745">
        <w:rPr>
          <w:rFonts w:ascii="楷体" w:eastAsia="楷体" w:hAnsi="楷体" w:hint="eastAsia"/>
          <w:color w:val="000000" w:themeColor="text1"/>
          <w:sz w:val="24"/>
          <w:szCs w:val="24"/>
        </w:rPr>
        <w:t>。</w:t>
      </w:r>
    </w:p>
    <w:p w:rsidR="006E3745" w:rsidRPr="006E3745" w:rsidRDefault="006E3745" w:rsidP="006E3745">
      <w:pPr>
        <w:ind w:leftChars="300" w:left="630"/>
        <w:rPr>
          <w:rFonts w:ascii="楷体" w:eastAsia="楷体" w:hAnsi="楷体"/>
          <w:color w:val="000000" w:themeColor="text1"/>
          <w:sz w:val="24"/>
          <w:szCs w:val="24"/>
        </w:rPr>
      </w:pPr>
    </w:p>
    <w:p w:rsidR="00127803" w:rsidRPr="00127803" w:rsidRDefault="006E3745" w:rsidP="006E3745">
      <w:pPr>
        <w:ind w:leftChars="300" w:left="630"/>
        <w:rPr>
          <w:rFonts w:ascii="楷体" w:eastAsia="楷体" w:hAnsi="楷体"/>
          <w:color w:val="000000" w:themeColor="text1"/>
          <w:sz w:val="24"/>
          <w:szCs w:val="24"/>
        </w:rPr>
      </w:pPr>
      <w:r w:rsidRPr="006E3745">
        <w:rPr>
          <w:rFonts w:ascii="楷体" w:eastAsia="楷体" w:hAnsi="楷体" w:hint="eastAsia"/>
          <w:color w:val="000000" w:themeColor="text1"/>
          <w:sz w:val="24"/>
          <w:szCs w:val="24"/>
        </w:rPr>
        <w:t>综述：隔夜公布的美国6月PPI意外大幅降温，同比增速从5月的1.1%放缓至0.1%，创近三年新低，强化了市场对美联储接近结束加息周期的预期，市场风险偏好大幅改善，美指连续6个交易日收跌，破100，提振铜价。但当前投资情绪的改善难以支撑铜价去突破经济放缓的施压，历史高利率背景下，全球需求仍有继续走弱风险，这将限制铜价上方高度。基本面，当下传统淡季下国内库存延续缓慢回升，但LME低库存仍在去化对价格存底部支撑。预计短期海外宏观情绪消化后，价格仍将回归区间震荡行情。操作上，暂时观望为主</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2C73FE" w:rsidRDefault="00CC3FFA" w:rsidP="002C73FE">
      <w:pPr>
        <w:ind w:leftChars="200" w:left="420"/>
        <w:outlineLvl w:val="1"/>
        <w:rPr>
          <w:rFonts w:ascii="楷体" w:eastAsia="楷体" w:hAnsi="楷体"/>
          <w:b/>
          <w:color w:val="000000" w:themeColor="text1"/>
          <w:sz w:val="24"/>
          <w:szCs w:val="24"/>
        </w:rPr>
      </w:pPr>
      <w:bookmarkStart w:id="26" w:name="_Toc8897"/>
      <w:bookmarkStart w:id="27" w:name="_Toc6247"/>
      <w:bookmarkStart w:id="28" w:name="_Toc140483468"/>
      <w:r>
        <w:rPr>
          <w:rFonts w:ascii="楷体" w:eastAsia="楷体" w:hAnsi="楷体" w:hint="eastAsia"/>
          <w:b/>
          <w:color w:val="000000" w:themeColor="text1"/>
          <w:sz w:val="24"/>
          <w:szCs w:val="24"/>
        </w:rPr>
        <w:t>铝：</w:t>
      </w:r>
      <w:bookmarkEnd w:id="26"/>
      <w:bookmarkEnd w:id="27"/>
      <w:r w:rsidR="00380E38" w:rsidRPr="00380E38">
        <w:rPr>
          <w:rFonts w:ascii="楷体" w:eastAsia="楷体" w:hAnsi="楷体" w:hint="eastAsia"/>
          <w:b/>
          <w:color w:val="000000" w:themeColor="text1"/>
          <w:sz w:val="24"/>
          <w:szCs w:val="24"/>
        </w:rPr>
        <w:t>宏观情绪支撑，基本面偏弱维持，注意价格回调风险</w:t>
      </w:r>
      <w:bookmarkEnd w:id="28"/>
    </w:p>
    <w:p w:rsidR="003F56A5" w:rsidRDefault="00380E38" w:rsidP="00127803">
      <w:pPr>
        <w:ind w:leftChars="300" w:left="630"/>
        <w:rPr>
          <w:rFonts w:ascii="楷体" w:eastAsia="楷体" w:hAnsi="楷体"/>
          <w:color w:val="000000" w:themeColor="text1"/>
          <w:sz w:val="24"/>
          <w:szCs w:val="24"/>
        </w:rPr>
      </w:pPr>
      <w:r w:rsidRPr="00380E38">
        <w:rPr>
          <w:rFonts w:ascii="楷体" w:eastAsia="楷体" w:hAnsi="楷体" w:hint="eastAsia"/>
          <w:color w:val="000000" w:themeColor="text1"/>
          <w:sz w:val="24"/>
          <w:szCs w:val="24"/>
        </w:rPr>
        <w:t>美国CPI和PPI数据超预期表现，联储加息进入尾声，美元指数震荡下行，人民币汇率企稳反弹，国内政策预期偏向利多，宏观情绪提振带动铝价反弹向上。供应端持续扰动，在淡季企业备库、退水转铸锭及云南复产的影响下仍有较强的累库压力，四川高温限电 影响小部分电解铝产量仍需关注西南地区的产能变化情况。下游正值淡季，铝类消费订单下滑，6月铝型材、铝杆线、铝板带箔开工率持续走低，终 端消费来看，铝材出口量大幅降低，传统地产、基建需求无超预期表现，光伏用铝、新能源汽车消费仍为市场热点，需求维持弱现实修复。铝价震荡运行在17500-19000之间，三季度仍有累库压力，持续关注西南地区供应变化情况</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29" w:name="_Toc140483469"/>
      <w:r>
        <w:rPr>
          <w:rFonts w:ascii="楷体" w:eastAsia="楷体" w:hAnsi="楷体" w:hint="eastAsia"/>
          <w:b/>
          <w:color w:val="000000" w:themeColor="text1"/>
          <w:sz w:val="24"/>
          <w:szCs w:val="24"/>
        </w:rPr>
        <w:t>锌：</w:t>
      </w:r>
      <w:r w:rsidR="00380E38" w:rsidRPr="00380E38">
        <w:rPr>
          <w:rFonts w:ascii="楷体" w:eastAsia="楷体" w:hAnsi="楷体" w:hint="eastAsia"/>
          <w:b/>
          <w:color w:val="000000" w:themeColor="text1"/>
          <w:sz w:val="24"/>
          <w:szCs w:val="24"/>
        </w:rPr>
        <w:t>宏观及基本面情绪分化，价格上驱但支撑不足</w:t>
      </w:r>
      <w:bookmarkEnd w:id="29"/>
    </w:p>
    <w:p w:rsidR="003F56A5" w:rsidRDefault="00380E38" w:rsidP="000B0648">
      <w:pPr>
        <w:ind w:leftChars="300" w:left="630"/>
        <w:rPr>
          <w:rFonts w:ascii="楷体" w:eastAsia="楷体" w:hAnsi="楷体"/>
          <w:color w:val="000000" w:themeColor="text1"/>
          <w:sz w:val="24"/>
          <w:szCs w:val="24"/>
        </w:rPr>
      </w:pPr>
      <w:r w:rsidRPr="00380E38">
        <w:rPr>
          <w:rFonts w:ascii="楷体" w:eastAsia="楷体" w:hAnsi="楷体" w:hint="eastAsia"/>
          <w:color w:val="000000" w:themeColor="text1"/>
          <w:sz w:val="24"/>
          <w:szCs w:val="24"/>
        </w:rPr>
        <w:t>美国通胀降温超预期，市场交投情绪提振，短期海外宏观情绪释放利多价格，国内仍有政策乐观期待。海外锌矿供应有减停产预期，进口盈亏窗口打开，进口矿经济型提升导致进口量走增，国内矿端供应相对稳定，精炼锌产量维持高位生产，近期高温雨水天气或影响厂家生产开工，供应端扰动，国内下游需求正值淡季表现平淡，终端对锌价支持不足，短期价格走高建议谨慎操作</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0" w:name="_Toc140483470"/>
      <w:r>
        <w:rPr>
          <w:rFonts w:ascii="楷体" w:eastAsia="楷体" w:hAnsi="楷体" w:hint="eastAsia"/>
          <w:b/>
          <w:color w:val="000000" w:themeColor="text1"/>
          <w:sz w:val="24"/>
          <w:szCs w:val="24"/>
        </w:rPr>
        <w:t>镍：</w:t>
      </w:r>
      <w:r w:rsidR="000C475E" w:rsidRPr="000C475E">
        <w:rPr>
          <w:rFonts w:ascii="楷体" w:eastAsia="楷体" w:hAnsi="楷体" w:hint="eastAsia"/>
          <w:b/>
          <w:color w:val="000000" w:themeColor="text1"/>
          <w:sz w:val="24"/>
          <w:szCs w:val="24"/>
        </w:rPr>
        <w:t>供应预期压力仍在，镍价反弹空间有限</w:t>
      </w:r>
      <w:bookmarkEnd w:id="30"/>
    </w:p>
    <w:p w:rsidR="003F56A5" w:rsidRDefault="000C475E">
      <w:pPr>
        <w:ind w:leftChars="300" w:left="630"/>
        <w:rPr>
          <w:rFonts w:ascii="楷体" w:eastAsia="楷体" w:hAnsi="楷体"/>
          <w:color w:val="000000" w:themeColor="text1"/>
          <w:sz w:val="24"/>
          <w:szCs w:val="24"/>
        </w:rPr>
      </w:pPr>
      <w:r w:rsidRPr="000C475E">
        <w:rPr>
          <w:rFonts w:ascii="楷体" w:eastAsia="楷体" w:hAnsi="楷体" w:hint="eastAsia"/>
          <w:color w:val="000000" w:themeColor="text1"/>
          <w:sz w:val="24"/>
          <w:szCs w:val="24"/>
        </w:rPr>
        <w:t>7月纯镍排产高位，SMM预计2023年7月全国精炼镍产量2.13万吨，环比上涨4.27%，同比上涨32.81%。叠加市场俄镍资源相对宽松，现货升水边际下调，基本面难寻上行驱动。但短期在市场加息预期下修及国内持续稳增长政策预期共振下或使得市场风险偏好改善，且低库存态势暂未发生明显变化对镍价仍有支撑。操作上，仍建议反弹中逐步布空</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1" w:name="_Toc140483471"/>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380E38" w:rsidRPr="00380E38">
        <w:rPr>
          <w:rFonts w:ascii="楷体" w:eastAsia="楷体" w:hAnsi="楷体" w:hint="eastAsia"/>
          <w:b/>
          <w:color w:val="000000" w:themeColor="text1"/>
          <w:sz w:val="24"/>
          <w:szCs w:val="24"/>
        </w:rPr>
        <w:t>宏观情绪提振铅价，短期震荡上行</w:t>
      </w:r>
      <w:bookmarkEnd w:id="31"/>
    </w:p>
    <w:p w:rsidR="008B13D2" w:rsidRPr="008B13D2" w:rsidRDefault="00380E38" w:rsidP="008B13D2">
      <w:pPr>
        <w:ind w:leftChars="300" w:left="630"/>
        <w:rPr>
          <w:rFonts w:ascii="楷体" w:eastAsia="楷体" w:hAnsi="楷体"/>
          <w:color w:val="000000" w:themeColor="text1"/>
          <w:sz w:val="24"/>
          <w:szCs w:val="24"/>
        </w:rPr>
      </w:pPr>
      <w:r w:rsidRPr="00380E38">
        <w:rPr>
          <w:rFonts w:ascii="楷体" w:eastAsia="楷体" w:hAnsi="楷体" w:hint="eastAsia"/>
          <w:color w:val="000000" w:themeColor="text1"/>
          <w:sz w:val="24"/>
          <w:szCs w:val="24"/>
        </w:rPr>
        <w:t>美国通胀进一步降温，市场对美联储加息预期有所转弱，宏观情绪利多铅价。7月下旬原生铅与再生铅冶炼企业将逐渐恢复生产，再生铅与废电瓶原料成本高企，支撑铅价；下游生产企业询价积极性不高，终端消费维持清淡；随着当月合约交割日临近，铅锭社会库存上升。宏观情绪偏强，基本面供增需弱，建议谨慎观望</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2" w:name="_Toc140483472"/>
      <w:r>
        <w:rPr>
          <w:rFonts w:ascii="楷体" w:eastAsia="楷体" w:hAnsi="楷体" w:hint="eastAsia"/>
          <w:b/>
          <w:color w:val="000000" w:themeColor="text1"/>
          <w:sz w:val="24"/>
          <w:szCs w:val="24"/>
        </w:rPr>
        <w:t>不锈钢：</w:t>
      </w:r>
      <w:r w:rsidR="006E3745" w:rsidRPr="006E3745">
        <w:rPr>
          <w:rFonts w:ascii="楷体" w:eastAsia="楷体" w:hAnsi="楷体" w:hint="eastAsia"/>
          <w:b/>
          <w:color w:val="000000" w:themeColor="text1"/>
          <w:sz w:val="24"/>
          <w:szCs w:val="24"/>
        </w:rPr>
        <w:t>内外宏观共振，短期SS震荡偏强运行</w:t>
      </w:r>
      <w:bookmarkEnd w:id="32"/>
    </w:p>
    <w:p w:rsidR="003F56A5" w:rsidRDefault="006E3745">
      <w:pPr>
        <w:ind w:leftChars="300" w:left="630"/>
        <w:rPr>
          <w:rFonts w:ascii="楷体" w:eastAsia="楷体" w:hAnsi="楷体"/>
          <w:color w:val="000000" w:themeColor="text1"/>
          <w:sz w:val="24"/>
          <w:szCs w:val="24"/>
        </w:rPr>
      </w:pPr>
      <w:r w:rsidRPr="006E3745">
        <w:rPr>
          <w:rFonts w:ascii="楷体" w:eastAsia="楷体" w:hAnsi="楷体" w:hint="eastAsia"/>
          <w:color w:val="000000" w:themeColor="text1"/>
          <w:sz w:val="24"/>
          <w:szCs w:val="24"/>
        </w:rPr>
        <w:t>海外加息接近尾声预期及国内政策预期使得整体市场风险偏好回暖。当前不锈钢基本面矛盾不突出，整体价格跟随宏观情绪波动，短期区间震荡行情或延续。7月为国内传统消费淡季，供应无明显减量下，不锈钢排产高位，库存存累积预期。原料方面，镍铁价格阴跌，成本支撑不强，不锈钢盘面利润修复后，钢厂及贸易商交仓动力增强，仓单库存出现累积。操作上，暂时观望规避宏观风险，价格运行至前高15200附近可尝试布局空单</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3" w:name="_Toc140483473"/>
      <w:r>
        <w:rPr>
          <w:rFonts w:ascii="楷体" w:eastAsia="楷体" w:hAnsi="楷体" w:hint="eastAsia"/>
          <w:b/>
          <w:color w:val="000000" w:themeColor="text1"/>
          <w:sz w:val="24"/>
          <w:szCs w:val="24"/>
        </w:rPr>
        <w:t>工业硅：</w:t>
      </w:r>
      <w:r w:rsidR="00380E38" w:rsidRPr="00380E38">
        <w:rPr>
          <w:rFonts w:ascii="楷体" w:eastAsia="楷体" w:hAnsi="楷体" w:hint="eastAsia"/>
          <w:b/>
          <w:sz w:val="24"/>
          <w:szCs w:val="24"/>
        </w:rPr>
        <w:t>高温限电担忧暂未解除，短期市场或仍有所支撑</w:t>
      </w:r>
      <w:bookmarkEnd w:id="33"/>
    </w:p>
    <w:p w:rsidR="003F56A5" w:rsidRDefault="00380E38" w:rsidP="00827E8A">
      <w:pPr>
        <w:ind w:leftChars="300" w:left="630"/>
        <w:rPr>
          <w:rFonts w:ascii="楷体" w:eastAsia="楷体" w:hAnsi="楷体"/>
          <w:sz w:val="24"/>
          <w:szCs w:val="24"/>
        </w:rPr>
      </w:pPr>
      <w:r w:rsidRPr="00380E38">
        <w:rPr>
          <w:rFonts w:ascii="楷体" w:eastAsia="楷体" w:hAnsi="楷体" w:hint="eastAsia"/>
          <w:sz w:val="24"/>
          <w:szCs w:val="24"/>
        </w:rPr>
        <w:t>7月14日，Si2309主力合约呈震荡走势，收盘价13665元/吨，较上一收盘价涨跌幅＋0.11%。供应方面，目前四川开炉率仅为48.7%，主要为当地正在经历炎热的夏季，处于用电高峰期，导致部分工厂被限产或推迟复产，整体复产进度不及预期；需求方面，此前推迟投产的规划项目，例如东立、宝丰、上机、合盛等项目，或将于7月底开始陆续投产，若投产顺利，届时对于工业硅需求将有所改善。整体而言，短期盘面或仍有一定支撑，但需要注意社会库存整体偏大，对市场大幅反弹存在压制作用</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4" w:name="化工"/>
      <w:r>
        <w:rPr>
          <w:rFonts w:ascii="Times New Roman" w:eastAsia="楷体" w:hAnsi="Times New Roman" w:hint="eastAsia"/>
          <w:b/>
          <w:color w:val="823C0B"/>
          <w:sz w:val="30"/>
          <w:szCs w:val="30"/>
        </w:rPr>
        <w:t xml:space="preserve"> </w:t>
      </w:r>
      <w:bookmarkStart w:id="35" w:name="_Toc14048347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4"/>
      <w:bookmarkEnd w:id="35"/>
    </w:p>
    <w:p w:rsidR="003F56A5" w:rsidRPr="005B790A" w:rsidRDefault="00CC3FFA" w:rsidP="005B790A">
      <w:pPr>
        <w:ind w:firstLineChars="200" w:firstLine="482"/>
        <w:outlineLvl w:val="1"/>
        <w:rPr>
          <w:rFonts w:ascii="楷体" w:eastAsia="楷体" w:hAnsi="楷体"/>
          <w:b/>
          <w:sz w:val="24"/>
          <w:szCs w:val="24"/>
        </w:rPr>
      </w:pPr>
      <w:bookmarkStart w:id="36" w:name="_Toc140483475"/>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6E3745" w:rsidRPr="006E3745">
        <w:rPr>
          <w:rFonts w:ascii="楷体" w:eastAsia="楷体" w:hAnsi="楷体" w:hint="eastAsia"/>
          <w:b/>
          <w:sz w:val="24"/>
          <w:szCs w:val="24"/>
        </w:rPr>
        <w:t>市场信息面炒作与基本面弱势博弈 短期RU仍有小幅走弱预期</w:t>
      </w:r>
      <w:bookmarkEnd w:id="36"/>
    </w:p>
    <w:p w:rsidR="003F56A5" w:rsidRDefault="006E3745">
      <w:pPr>
        <w:ind w:leftChars="300" w:left="630"/>
        <w:rPr>
          <w:rFonts w:ascii="楷体" w:eastAsia="楷体" w:hAnsi="楷体"/>
          <w:sz w:val="24"/>
          <w:szCs w:val="24"/>
        </w:rPr>
      </w:pPr>
      <w:r w:rsidRPr="006E3745">
        <w:rPr>
          <w:rFonts w:ascii="楷体" w:eastAsia="楷体" w:hAnsi="楷体" w:hint="eastAsia"/>
          <w:sz w:val="24"/>
          <w:szCs w:val="24"/>
        </w:rPr>
        <w:t>点评：昨日橡胶主力窄幅波动，市场炒作情绪消化，消息面利好预期兑现。从供给端来看，全球天然橡胶整体产量进入割胶旺季。目前物候条件来看，下半年仍有较大可能发生厄尔尼诺现象，但对实际产量的影响有待观察，预计对情绪面的扰动较大。从需求端来看，下游轮胎厂方面，开工率双双走高。轮胎内销市场表现一般，但成品库存持续增加，需求难有大幅提升。终端汽车方面，近期车市有所回暖。未来几个月下游需求将迎来淡季，整体需求预期并不乐观。库存方面来看，本周社会库存小幅累库，青岛天胶库存近期降幅有所增加，库存拐点有望出现。综合来看，当前市场炒作情绪有所消化，在与弱基本面博弈下，胶价上方压力不减。供应端正处全球上量阶段，天胶库存虽开始降库但现货压力仍然不减，需求端处于年中渠道去库阶段，对原材料消耗偏弱，基本面情况难以支撑胶价维持高位，预计短期天然橡胶价格仍有小幅走弱预期</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40483476"/>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380E38" w:rsidRPr="00380E38">
        <w:rPr>
          <w:rFonts w:ascii="楷体" w:eastAsia="楷体" w:hAnsi="楷体" w:hint="eastAsia"/>
          <w:b/>
          <w:color w:val="000000" w:themeColor="text1"/>
          <w:sz w:val="24"/>
          <w:szCs w:val="24"/>
        </w:rPr>
        <w:t>驱动接近尾声 关注上方压力位</w:t>
      </w:r>
      <w:bookmarkEnd w:id="37"/>
      <w:r>
        <w:rPr>
          <w:rFonts w:ascii="楷体" w:eastAsia="楷体" w:hAnsi="楷体" w:hint="eastAsia"/>
          <w:b/>
          <w:color w:val="000000" w:themeColor="text1"/>
          <w:sz w:val="24"/>
          <w:szCs w:val="24"/>
        </w:rPr>
        <w:t xml:space="preserve"> </w:t>
      </w:r>
    </w:p>
    <w:p w:rsidR="003F56A5" w:rsidRDefault="00380E38" w:rsidP="002C73FE">
      <w:pPr>
        <w:ind w:leftChars="300" w:left="630"/>
        <w:rPr>
          <w:rFonts w:ascii="楷体" w:eastAsia="楷体" w:hAnsi="楷体"/>
          <w:color w:val="000000" w:themeColor="text1"/>
          <w:sz w:val="24"/>
          <w:szCs w:val="24"/>
        </w:rPr>
      </w:pPr>
      <w:r w:rsidRPr="00380E38">
        <w:rPr>
          <w:rFonts w:ascii="楷体" w:eastAsia="楷体" w:hAnsi="楷体" w:hint="eastAsia"/>
          <w:color w:val="000000" w:themeColor="text1"/>
          <w:sz w:val="24"/>
          <w:szCs w:val="24"/>
        </w:rPr>
        <w:t xml:space="preserve">供给方面，本周逸盛海南降负，逸盛新材料降负，嘉兴石化检修，至7.14 </w:t>
      </w:r>
      <w:r w:rsidRPr="00380E38">
        <w:rPr>
          <w:rFonts w:ascii="楷体" w:eastAsia="楷体" w:hAnsi="楷体" w:hint="eastAsia"/>
          <w:color w:val="000000" w:themeColor="text1"/>
          <w:sz w:val="24"/>
          <w:szCs w:val="24"/>
        </w:rPr>
        <w:lastRenderedPageBreak/>
        <w:t>PTA负荷降至74.8%。恒力惠州二期250万吨PTA装置本周顺利投料，7月中下供应逐渐增量，福海创、三房、嘉兴1按计划重启，新材料及逸盛海南负荷提升。需求方面，综合来看聚酯负荷仍有上调。截至7.14，初步核算国内大陆地区聚酯负荷在94%附近。终端5月纺服零售同比和环比均增长，终端真实纺服需求中性。展望后市，OPEC 加深减产后对盘面提供进一步支撑，但利好程度呈现弱化状态，TA上方驱动不足。供需面来看，随着前期检修装置陆续重启，且考虑到近期PTA加工费尚可，预估7月新增检修有限，开工率有回升预期。随着原料价格走高，聚酯因终端低迷现金流亏损扩大，本周江浙终端开工率局部回落。终端减产压力较大，负反馈传导到原料端预期升温。随着调油需求走弱PXN高位难以维持及PTA供需偏累库格局可单边试空09合约。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40483477"/>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8"/>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39" w:name="_Toc140483478"/>
      <w:r>
        <w:rPr>
          <w:rFonts w:ascii="楷体" w:eastAsia="楷体" w:hAnsi="楷体" w:hint="eastAsia"/>
          <w:b/>
          <w:color w:val="000000" w:themeColor="text1"/>
          <w:sz w:val="24"/>
          <w:szCs w:val="24"/>
        </w:rPr>
        <w:t>聚烯烃：</w:t>
      </w:r>
      <w:r w:rsidR="00380E38" w:rsidRPr="00380E38">
        <w:rPr>
          <w:rFonts w:ascii="楷体" w:eastAsia="楷体" w:hAnsi="楷体" w:hint="eastAsia"/>
          <w:b/>
          <w:color w:val="000000" w:themeColor="text1"/>
          <w:sz w:val="24"/>
          <w:szCs w:val="24"/>
        </w:rPr>
        <w:t>供需格局未见改善，聚烯烃价格或窄幅震荡为主</w:t>
      </w:r>
      <w:bookmarkEnd w:id="39"/>
    </w:p>
    <w:p w:rsidR="003F56A5" w:rsidRDefault="00380E38">
      <w:pPr>
        <w:ind w:leftChars="300" w:left="630"/>
        <w:rPr>
          <w:rFonts w:ascii="楷体" w:eastAsia="楷体" w:hAnsi="楷体"/>
          <w:bCs/>
          <w:sz w:val="24"/>
          <w:szCs w:val="24"/>
        </w:rPr>
      </w:pPr>
      <w:r w:rsidRPr="00380E38">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美元汇率反弹，石油交易员在石油期货超买后获利回吐， 国际油价从两个半月高点回跌，然而由于供应紧缺，美元汇率仍然在关键的心理价位100点下方，欧美原油基准连续第三周上涨。需求方面，PE下游方面，农膜整体需求平平，工厂生产清淡。棚膜工厂多停机检修；PP下游方面，BOPP市场成交刚需有量，整体量较上一交易日增加，BOPP企业未交付订单多数在一周以内，个别可至七月中旬。综合来看，PE方面，国内供应有利好因素，市场价格持续走高，石化挺价意愿也偏强；然下游需求仍处淡季，但部分下游工厂开工率或迎来小幅提升如包装膜等品类，且随着进口套利窗口打开，进口货源的到来促使供应压力增大，综合来看，预计今日PE价格维持窄幅震荡。PP方面，季节性淡季影响下，工厂停车或降负现象明显，下游开工率环比降低，原料采购意愿不佳。聚丙烯市场低迷已久，近期反弹大幅提振市场情绪，炒作氛围渐浓。但市场供需格局未见改善，基本面跟进不足，预计今日PP价格上行压力较大</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0" w:name="_Toc140483479"/>
      <w:r>
        <w:rPr>
          <w:rFonts w:ascii="楷体" w:eastAsia="楷体" w:hAnsi="楷体" w:hint="eastAsia"/>
          <w:b/>
          <w:color w:val="000000" w:themeColor="text1"/>
          <w:sz w:val="24"/>
          <w:szCs w:val="24"/>
        </w:rPr>
        <w:t>MEG：</w:t>
      </w:r>
      <w:r w:rsidR="00380E38" w:rsidRPr="00380E38">
        <w:rPr>
          <w:rFonts w:ascii="楷体" w:eastAsia="楷体" w:hAnsi="楷体" w:hint="eastAsia"/>
          <w:b/>
          <w:color w:val="000000" w:themeColor="text1"/>
          <w:sz w:val="24"/>
          <w:szCs w:val="24"/>
        </w:rPr>
        <w:t>供需紧平衡格局 短期仍有支撑</w:t>
      </w:r>
      <w:bookmarkEnd w:id="40"/>
    </w:p>
    <w:p w:rsidR="003F56A5" w:rsidRDefault="00380E38" w:rsidP="00115EEA">
      <w:pPr>
        <w:ind w:leftChars="300" w:left="630"/>
        <w:rPr>
          <w:rFonts w:ascii="楷体" w:eastAsia="楷体" w:hAnsi="楷体"/>
          <w:color w:val="000000" w:themeColor="text1"/>
          <w:sz w:val="24"/>
          <w:szCs w:val="24"/>
        </w:rPr>
      </w:pPr>
      <w:r w:rsidRPr="00380E38">
        <w:rPr>
          <w:rFonts w:ascii="楷体" w:eastAsia="楷体" w:hAnsi="楷体" w:hint="eastAsia"/>
          <w:color w:val="000000" w:themeColor="text1"/>
          <w:sz w:val="24"/>
          <w:szCs w:val="24"/>
        </w:rPr>
        <w:t>供需情况，7.10华东主港地区MEG港口库存约104.9万吨附近，环比上期增加2.1万吨。显性库存仍高企，刚需支撑下港口发货良好隐形库存略去化。截至7月13日，中国大陆地区乙二醇整体开工负荷在63.95%（-2.44%），其中煤制乙二醇开工负荷在60.79%（+0.44%）。煤化工方面，近期陕煤榆林化学7-8月分别有60万吨单线进行为期10-15天的检修。陕煤渭化一套30万吨/年的乙二醇装置因不可抗力停车，煤化工大型装置检修提前供应环比改善。华南一套50万吨/年的MEG装置已按计划停车检修，预计检修时长在半个月附近。截至7.13，初步核算国内大陆地区聚酯负荷在94%附近。江浙终端开工率受限电影响不大， 江浙加弹综合开工率82%，江浙织机综合开工率72%（+1%），江浙印染综合开工率75%（+3%），江浙终端工厂原料备货再次增加。展望后市，乙二醇成本端煤炭、乙烯及天然气走强，叠加聚酯高开工带动下乙二醇走出一波估值修复行情。后续来看，据悉目前煤化工个别工厂供货偏紧，能耗管控拉闸限电对煤化工供给端仍带来收缩预期，而聚酯开工率稳步提升，7-8月有望从累库转为去库格局，短期乙二醇走势仍偏强。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40483480"/>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380E38" w:rsidRPr="00380E38">
        <w:rPr>
          <w:rFonts w:ascii="楷体" w:eastAsia="楷体" w:hAnsi="楷体" w:hint="eastAsia"/>
          <w:b/>
          <w:color w:val="000000" w:themeColor="text1"/>
          <w:sz w:val="24"/>
          <w:szCs w:val="24"/>
        </w:rPr>
        <w:t>产销转强，下游阶段性补库</w:t>
      </w:r>
      <w:bookmarkEnd w:id="41"/>
    </w:p>
    <w:p w:rsidR="00A71A7E" w:rsidRDefault="00380E38" w:rsidP="001F79C6">
      <w:pPr>
        <w:ind w:leftChars="300" w:left="630"/>
        <w:rPr>
          <w:rFonts w:ascii="楷体" w:eastAsia="楷体" w:hAnsi="楷体"/>
          <w:color w:val="000000" w:themeColor="text1"/>
          <w:sz w:val="24"/>
          <w:szCs w:val="24"/>
        </w:rPr>
      </w:pPr>
      <w:r w:rsidRPr="00380E38">
        <w:rPr>
          <w:rFonts w:ascii="楷体" w:eastAsia="楷体" w:hAnsi="楷体" w:hint="eastAsia"/>
          <w:color w:val="000000" w:themeColor="text1"/>
          <w:sz w:val="24"/>
          <w:szCs w:val="24"/>
        </w:rPr>
        <w:t>隆众资讯7月14日报道：今日浮法玻璃现货价格1847，较上交易日+3。近期沙河周边厂家产销明显好转，华东，华南部分厂家主动上调玻璃价格。周四隆众数据，全国浮法玻璃样本企业总库存5234.5万重箱，环比下滑355万重箱，环比-6.36%，同比-35.09%。折库存天数22.4天，较上期-1.5天。周度去库明显，现货价格由跌转升，加上近期地产宏观调控政策频出，市场信心有所恢复。基本面需求出现补库，政策利好且下游原片库存较低，主销区华东和华南连续多日产销超百，原片厂信心增强，多地区有提涨计划。盘面上，反弹较快，基差修复后，期价贴近平水。7月作为梅雨季节性淡季，该轮补库是阶段性补库还是旺季价格拐点尚待验证，如果是阶段性补库的话，补库情绪回落后，期价大概率回落，短线建议关注产销持续性。中长线以低多思路为主。主力合约参考区间（1600，1700）</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40483481"/>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380E38" w:rsidRPr="00380E38">
        <w:rPr>
          <w:rFonts w:ascii="楷体" w:eastAsia="楷体" w:hAnsi="楷体" w:hint="eastAsia"/>
          <w:b/>
          <w:color w:val="000000" w:themeColor="text1"/>
          <w:sz w:val="24"/>
          <w:szCs w:val="24"/>
        </w:rPr>
        <w:t>持仓量下降，盘面震荡</w:t>
      </w:r>
      <w:bookmarkEnd w:id="42"/>
    </w:p>
    <w:p w:rsidR="00A71A7E" w:rsidRDefault="00380E38" w:rsidP="00A71A7E">
      <w:pPr>
        <w:ind w:leftChars="300" w:left="630"/>
        <w:rPr>
          <w:rFonts w:ascii="楷体" w:eastAsia="楷体" w:hAnsi="楷体"/>
          <w:bCs/>
          <w:sz w:val="24"/>
          <w:szCs w:val="24"/>
        </w:rPr>
      </w:pPr>
      <w:r w:rsidRPr="00380E38">
        <w:rPr>
          <w:rFonts w:ascii="楷体" w:eastAsia="楷体" w:hAnsi="楷体" w:hint="eastAsia"/>
          <w:color w:val="000000" w:themeColor="text1"/>
          <w:sz w:val="24"/>
          <w:szCs w:val="24"/>
        </w:rPr>
        <w:t>国内纯碱市场价格近期无大幅变化。供给端，青海盐湖陆续开始停车检修。据隆众消息，截止到2023年7月13日，本周国内纯碱厂家总库存36.53万吨，环比下降3.05万吨，下降7.71%。7月第二周延续去库。当前现货价格重碱约在2050元/吨左右，轻碱1800元/吨。盘面09合约由于投产和检修节奏的不同多空有所分歧，巨大的持仓量叠加高基差，如果天然碱投产不及预期，空单容易出现踩踏。而10月以后，纯碱产能过剩明确，参考其它建材品种，产能过剩下高成本氨碱法企业最终被打破成本线而被迫减产概率较大，故建议逢高空远月2310或2401合约。主力合约参考区间（1700，1850）</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3" w:name="_Toc14048348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3"/>
    </w:p>
    <w:p w:rsidR="003F56A5" w:rsidRDefault="00147B03">
      <w:pPr>
        <w:ind w:leftChars="200" w:left="420"/>
        <w:outlineLvl w:val="1"/>
        <w:rPr>
          <w:rFonts w:ascii="楷体" w:eastAsia="楷体" w:hAnsi="楷体"/>
          <w:b/>
          <w:sz w:val="24"/>
          <w:szCs w:val="24"/>
        </w:rPr>
      </w:pPr>
      <w:bookmarkStart w:id="44" w:name="_Toc140483483"/>
      <w:r w:rsidRPr="00147B03">
        <w:rPr>
          <w:rFonts w:ascii="楷体" w:eastAsia="楷体" w:hAnsi="楷体" w:hint="eastAsia"/>
          <w:b/>
          <w:color w:val="000000" w:themeColor="text1"/>
          <w:sz w:val="24"/>
          <w:szCs w:val="24"/>
        </w:rPr>
        <w:lastRenderedPageBreak/>
        <w:t>豆粕/菜粕</w:t>
      </w:r>
      <w:r w:rsidR="00CC3FFA">
        <w:rPr>
          <w:rFonts w:ascii="楷体" w:eastAsia="楷体" w:hAnsi="楷体" w:hint="eastAsia"/>
          <w:b/>
          <w:color w:val="000000" w:themeColor="text1"/>
          <w:sz w:val="24"/>
          <w:szCs w:val="24"/>
        </w:rPr>
        <w:t>：</w:t>
      </w:r>
      <w:r w:rsidR="00380E38" w:rsidRPr="00380E38">
        <w:rPr>
          <w:rFonts w:ascii="楷体" w:eastAsia="楷体" w:hAnsi="楷体" w:hint="eastAsia"/>
          <w:b/>
          <w:sz w:val="24"/>
          <w:szCs w:val="24"/>
        </w:rPr>
        <w:t>维持高位震荡</w:t>
      </w:r>
      <w:bookmarkEnd w:id="44"/>
    </w:p>
    <w:p w:rsidR="003F56A5" w:rsidRDefault="00380E38">
      <w:pPr>
        <w:ind w:leftChars="300" w:left="630"/>
        <w:rPr>
          <w:rFonts w:ascii="楷体" w:eastAsia="楷体" w:hAnsi="楷体"/>
          <w:sz w:val="24"/>
          <w:szCs w:val="24"/>
        </w:rPr>
      </w:pPr>
      <w:r w:rsidRPr="00380E38">
        <w:rPr>
          <w:rFonts w:ascii="楷体" w:eastAsia="楷体" w:hAnsi="楷体" w:hint="eastAsia"/>
          <w:sz w:val="24"/>
          <w:szCs w:val="24"/>
        </w:rPr>
        <w:t>国际方面，市场在消化报告后，焦点重回美豆天气。虽6月大部分时间美豆产区维持干旱，优良率持续走低，但本次报告并没有调整大豆单产维持在52蒲式耳/英亩；产量从4510百万蒲式耳下调至4300，期末库存下调至300，下调幅度均不及预期。当前美豆种植情况有所改善，优良率小幅上调，但仍处于近10年来低位，截至7月11日当周，美国大豆优良率为51%，前一周为50%，上年同期为62%。因此在进入关键生长期后，天气变化仍较重要。国内市场，随着当前大豆到港量增加，油厂已基本恢复开机压榨，但压榨节奏表现有差异，部分地区油厂存在胀库停机现象，豆粕累库情况不及预期，支撑现货报价坚挺，当前主流油厂豆粕现货报价小幅上调至4180-4310元/吨。大豆4-6月到港量较大，6月进口到港1027万吨，环比减14.5%。下游养殖利润表现仍不佳，且在杂粕替代下饲企和养殖企业等对豆粕饲用需求增量有限，在后续压榨恢复后，现货基差仍有压力。菜粕当前供给相对偏紧，随着6月份后菜籽到港预计减少，油厂压榨也将逐步下滑。而需求方面在近期天气逐步回暖后，为华南水产需求旺季，替代需求方面，豆粕价格偏高，菜粕性价比仍存，整体供需表现紧张，对价格构成支撑。策略方面，短期建议谨慎看多，建议回调仍偏多参与为主</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5" w:name="_Toc140483484"/>
      <w:r>
        <w:rPr>
          <w:rFonts w:ascii="楷体" w:eastAsia="楷体" w:hAnsi="楷体" w:hint="eastAsia"/>
          <w:b/>
          <w:color w:val="000000" w:themeColor="text1"/>
          <w:sz w:val="24"/>
          <w:szCs w:val="24"/>
        </w:rPr>
        <w:t>油脂：</w:t>
      </w:r>
      <w:r w:rsidR="00380E38" w:rsidRPr="00380E38">
        <w:rPr>
          <w:rFonts w:ascii="楷体" w:eastAsia="楷体" w:hAnsi="楷体" w:hint="eastAsia"/>
          <w:b/>
          <w:sz w:val="24"/>
          <w:szCs w:val="24"/>
        </w:rPr>
        <w:t>警惕短期回调</w:t>
      </w:r>
      <w:bookmarkEnd w:id="45"/>
    </w:p>
    <w:p w:rsidR="003F56A5" w:rsidRDefault="00380E38" w:rsidP="00792D31">
      <w:pPr>
        <w:ind w:leftChars="300" w:left="630"/>
        <w:rPr>
          <w:rFonts w:ascii="楷体" w:eastAsia="楷体" w:hAnsi="楷体"/>
          <w:sz w:val="24"/>
          <w:szCs w:val="24"/>
        </w:rPr>
      </w:pPr>
      <w:r w:rsidRPr="00380E38">
        <w:rPr>
          <w:rFonts w:ascii="楷体" w:eastAsia="楷体" w:hAnsi="楷体" w:hint="eastAsia"/>
          <w:sz w:val="24"/>
          <w:szCs w:val="24"/>
        </w:rPr>
        <w:t>国际市场，在今年全球范围的厄尔尼诺现象下，天气升水仍对油脂构成支撑，当前加拿大菜籽产区面临干旱威胁。棕榈油，MPOB6月报告显示，期末库存172万吨，低于此前市场预期186-187万吨水平，其中主要偏差在于马来6月出口数量达到117万吨，环比增8.59%，高于市场不足110万吨水平。马来棕榈油产量为144.78万吨，环比减少4.6%。虽市场开始炒作厄尔尼诺现象，但中期无法改变产地棕榈油累库的趋势，但在产量受影响下，产地压力不大。国内棕榈油在6月份进口增加以及需求疲软下，库存去化放缓且出现回升。因前期产地报价下滑，国内进口利润有所修复，6-7月船期买船增加，最新商业库存为56.46万吨。需求端，随着气温回升利好棕榈油消费，但近期成交平平，无明显增量。豆油在供应修复预期下，压力仍存。随着4-7月进口大豆到港增加，油厂陆续恢复开机，但整体开机及压榨水平偏低，豆油供应持续缓慢修复。需求端，在中小学及高校陆续进入暑期，且无大型节日消费提振，预计进入消费淡季。菜油现阶段处于供强需弱格局，但后续供应压力边际减轻。随着进口加籽到港量将逐步减少，菜籽开机及压榨水平也有所降低，5月菜籽进口68.6万吨，菜油进口17万吨，均较同期增加。需求方面，从菜油表需来看，已恢复至19年的水平，当前库存已逐步回落。对于油脂维持回调后低多观点，可关注油脂间套利，多配菜油</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6" w:name="_Toc140483485"/>
      <w:r>
        <w:rPr>
          <w:rFonts w:ascii="楷体" w:eastAsia="楷体" w:hAnsi="楷体" w:hint="eastAsia"/>
          <w:b/>
          <w:bCs/>
          <w:color w:val="000000" w:themeColor="text1"/>
        </w:rPr>
        <w:t>玉米与淀粉：</w:t>
      </w:r>
      <w:r w:rsidR="00380E38" w:rsidRPr="00380E38">
        <w:rPr>
          <w:rFonts w:ascii="楷体" w:eastAsia="楷体" w:hAnsi="楷体" w:hint="eastAsia"/>
          <w:b/>
        </w:rPr>
        <w:t>期价回落调整</w:t>
      </w:r>
      <w:bookmarkEnd w:id="46"/>
    </w:p>
    <w:p w:rsidR="00380E38" w:rsidRPr="00380E38" w:rsidRDefault="00380E38" w:rsidP="00380E38">
      <w:pPr>
        <w:pStyle w:val="paragraph"/>
        <w:spacing w:before="60" w:after="60"/>
        <w:ind w:leftChars="300" w:left="630"/>
        <w:rPr>
          <w:rFonts w:ascii="楷体" w:eastAsia="楷体" w:hAnsi="楷体" w:hint="eastAsia"/>
        </w:rPr>
      </w:pPr>
      <w:r w:rsidRPr="00380E38">
        <w:rPr>
          <w:rFonts w:ascii="楷体" w:eastAsia="楷体" w:hAnsi="楷体" w:hint="eastAsia"/>
        </w:rPr>
        <w:t>对于玉米而言，继前期外盘天气炒作熄火之后，近期国内现货出现回落，意味着另一大驱动即旧作被动补库存亦出现动力不足的迹象，这主要源于市场对小麦饲用替代增量和陈化水稻抛储的担忧，而华北-东北和产销区玉米价差持续走扩之后，东北玉米贸易商心态松动，出货意愿增</w:t>
      </w:r>
      <w:r w:rsidRPr="00380E38">
        <w:rPr>
          <w:rFonts w:ascii="楷体" w:eastAsia="楷体" w:hAnsi="楷体" w:hint="eastAsia"/>
        </w:rPr>
        <w:lastRenderedPageBreak/>
        <w:t>强。但我们仍维持谨慎乐观心态，主要原因有三，其一是下方空间受限，这主要源于陈化水稻成本支撑；其二是虽深加工企业和饲料企业原料库存有所回升，但仍处于历史同期低位；其三是当前和下一年度产需缺口的补充存在较大变数，如后期产区天气仍需要留意。在这种情况下，我们维持谨慎看多观点，但短期受国内现货带动或继续回落调整，建议激进投资者持有前期多单，谨慎投资者可考虑先行离场，然后等待再次入场机会。</w:t>
      </w:r>
    </w:p>
    <w:p w:rsidR="003F56A5" w:rsidRDefault="00380E38" w:rsidP="00380E38">
      <w:pPr>
        <w:pStyle w:val="paragraph"/>
        <w:spacing w:before="60" w:beforeAutospacing="0" w:after="60" w:afterAutospacing="0"/>
        <w:ind w:leftChars="300" w:left="630"/>
        <w:rPr>
          <w:rFonts w:ascii="楷体" w:eastAsia="楷体" w:hAnsi="楷体"/>
        </w:rPr>
      </w:pPr>
      <w:r w:rsidRPr="00380E38">
        <w:rPr>
          <w:rFonts w:ascii="楷体" w:eastAsia="楷体" w:hAnsi="楷体" w:hint="eastAsia"/>
        </w:rPr>
        <w:t>对于淀粉而言，近期淀粉-玉米价差收窄符合我们之前预期，主要源于两个方面，其一是副产品价格，受蛋白粕带动淀粉副产品价格大幅反弹，淀粉期现货生产利润改善，有望带动行业开机率回升；其二是需求端的季节性因素，在旺季备货之后或步入一段时间的需求低迷期，在这两方面的带动下，淀粉供需改善或不及预期。但我们不建议入场做缩这一价差，主要原因有二，其一是原料成本端的担忧；其二是现货带来的基差支撑。在这种情况下，我们建议淀粉-玉米价差离场后观望为宜，单边操作参考玉米</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7" w:name="_Toc140483486"/>
      <w:r>
        <w:rPr>
          <w:rFonts w:ascii="楷体" w:eastAsia="楷体" w:hAnsi="楷体" w:hint="eastAsia"/>
          <w:b/>
          <w:bCs/>
          <w:color w:val="000000" w:themeColor="text1"/>
        </w:rPr>
        <w:t>畜禽养殖：</w:t>
      </w:r>
      <w:r w:rsidR="00380E38" w:rsidRPr="00380E38">
        <w:rPr>
          <w:rFonts w:ascii="楷体" w:eastAsia="楷体" w:hAnsi="楷体" w:hint="eastAsia"/>
          <w:b/>
          <w:bCs/>
          <w:color w:val="000000" w:themeColor="text1"/>
        </w:rPr>
        <w:t>生猪近月期价继续探底</w:t>
      </w:r>
      <w:bookmarkEnd w:id="47"/>
    </w:p>
    <w:p w:rsidR="00380E38" w:rsidRPr="00380E38" w:rsidRDefault="00380E38" w:rsidP="00380E38">
      <w:pPr>
        <w:pStyle w:val="paragraph"/>
        <w:spacing w:before="60" w:after="60"/>
        <w:ind w:leftChars="300" w:left="630"/>
        <w:rPr>
          <w:rFonts w:ascii="楷体" w:eastAsia="楷体" w:hAnsi="楷体" w:hint="eastAsia"/>
        </w:rPr>
      </w:pPr>
      <w:r w:rsidRPr="00380E38">
        <w:rPr>
          <w:rFonts w:ascii="楷体" w:eastAsia="楷体" w:hAnsi="楷体" w:hint="eastAsia"/>
        </w:rPr>
        <w:t>对于生猪而言，在前期报告中我们指出，3月以来现货表现不及我们之前预期，问题出在供应量，集中在三个方面，其一是春节前堆积的供应量，其二是节前仔猪带来的生猪出栏量，其三是年后二次育肥带来的供应延迟释放。供应释放过程伴随着行业产能的去化，市场会关注两个方面的交易机会，其一是周期见底，其二是阶段性反弹。周期见底尚需等待，因市场普遍认为目前产能仍处于高位，但随着仔猪的下跌，这一过程有望加速。阶段性反弹机会更多源于供应去化，从时间上看上述三方面的供应或逐步消化，涌益咨询公布的日度生猪屠宰量、农业农村部公布的规模以上屠宰企业生猪屠宰量和各大上市公司公布的6月生猪销量均已环比下降，但冷库库容比仍有待去化，再加上高温对需求的抑制，这或许是压制生猪现货的主要原因所在。在这种情况下，维持谨慎看多观点，但建议暂以观望为宜。</w:t>
      </w:r>
    </w:p>
    <w:p w:rsidR="003F56A5" w:rsidRDefault="00380E38" w:rsidP="00380E38">
      <w:pPr>
        <w:pStyle w:val="paragraph"/>
        <w:spacing w:before="60" w:beforeAutospacing="0" w:after="60" w:afterAutospacing="0"/>
        <w:ind w:leftChars="300" w:left="630"/>
        <w:rPr>
          <w:rFonts w:ascii="楷体" w:eastAsia="楷体" w:hAnsi="楷体"/>
        </w:rPr>
      </w:pPr>
      <w:r w:rsidRPr="00380E38">
        <w:rPr>
          <w:rFonts w:ascii="楷体" w:eastAsia="楷体" w:hAnsi="楷体" w:hint="eastAsia"/>
        </w:rPr>
        <w:t>对于鸡蛋而言，当前市场的主要矛盾体现在近弱远强上，1-9和5-9价差走强，背后反映前期的逻辑发生改变，即前期的供需改善预期可能存在变数。这主要源于5月以来，随着鸡蛋现货价格的下跌，蛋鸡养殖利润亦有显著下滑，带动养殖户补栏积极性下滑，与此同时，养殖户淘汰积极性上升。虽然9月合约一度跌至博亚和讯测算的鸡蛋养殖成本线，再加上9月处于季节性旺季，供需之外还有季节性规律，其下方空间有限。但市场对春节后补栏形成的蛋鸡新开产存在担忧，远月-近月价差走强，移仓至远月合约或许更为合适。在这种情况下，我们维持谨慎看多观点，建议谨慎投资者观望，激进投资者持有前期9月多单，止损下移至前低，或者将多单移至远月合约</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8" w:name="_Toc140483487"/>
      <w:r>
        <w:rPr>
          <w:rFonts w:ascii="楷体" w:eastAsia="楷体" w:hAnsi="楷体" w:hint="eastAsia"/>
          <w:b/>
          <w:sz w:val="24"/>
          <w:szCs w:val="24"/>
        </w:rPr>
        <w:t>郑棉：</w:t>
      </w:r>
      <w:r w:rsidR="00380E38" w:rsidRPr="00380E38">
        <w:rPr>
          <w:rFonts w:ascii="楷体" w:eastAsia="楷体" w:hAnsi="楷体" w:hint="eastAsia"/>
          <w:b/>
          <w:sz w:val="24"/>
          <w:szCs w:val="24"/>
        </w:rPr>
        <w:t>09看跌期权卖权持有，等待01在16500附近逢低买入机会</w:t>
      </w:r>
      <w:bookmarkEnd w:id="48"/>
    </w:p>
    <w:p w:rsidR="003F56A5" w:rsidRDefault="00380E38" w:rsidP="007B3290">
      <w:pPr>
        <w:ind w:leftChars="300" w:left="630"/>
        <w:rPr>
          <w:rFonts w:ascii="楷体" w:eastAsia="楷体" w:hAnsi="楷体"/>
          <w:sz w:val="24"/>
          <w:szCs w:val="24"/>
        </w:rPr>
      </w:pPr>
      <w:r w:rsidRPr="00380E38">
        <w:rPr>
          <w:rFonts w:ascii="楷体" w:eastAsia="楷体" w:hAnsi="楷体" w:hint="eastAsia"/>
          <w:sz w:val="24"/>
          <w:szCs w:val="24"/>
        </w:rPr>
        <w:lastRenderedPageBreak/>
        <w:t>2023年6月，中国棉纺织行业采购经理人指数（PMI）为38.08%，较上月下降14.38%。本月各分项指标均明显转差，其中新订单指数从44.44%锐减至28.89%，生产量指数从59.78%锐减至43.48%，开机率降低9.47%至42.71%。棉纱库存指数明显上升，作为反向指标升值枯荣线以上的60.87%。和供需平衡表以及出口数据相比起来，6月棉纺PMI的数据相当利空。当前市场对中期行情依然多持看多预期，但淡季对产业中下游的影响也不应忽视。1.7万关口短期仍需争夺。前期看跌期权卖权继续持有，等待低多机会</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9" w:name="_Toc71212556"/>
      <w:bookmarkStart w:id="50" w:name="_Toc19667"/>
      <w:bookmarkStart w:id="51" w:name="_Toc98426751"/>
      <w:bookmarkStart w:id="52" w:name="_Toc12779"/>
      <w:bookmarkStart w:id="53" w:name="_Toc72481108"/>
      <w:r>
        <w:rPr>
          <w:rFonts w:ascii="Times New Roman" w:eastAsia="楷体" w:hAnsi="Times New Roman"/>
          <w:b/>
          <w:color w:val="411D05"/>
          <w:sz w:val="30"/>
          <w:szCs w:val="30"/>
        </w:rPr>
        <w:lastRenderedPageBreak/>
        <w:t>免责声明</w:t>
      </w:r>
      <w:bookmarkEnd w:id="49"/>
      <w:bookmarkEnd w:id="50"/>
      <w:bookmarkEnd w:id="51"/>
      <w:bookmarkEnd w:id="52"/>
      <w:bookmarkEnd w:id="53"/>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E93" w:rsidRDefault="00E50E93">
      <w:r>
        <w:separator/>
      </w:r>
    </w:p>
  </w:endnote>
  <w:endnote w:type="continuationSeparator" w:id="0">
    <w:p w:rsidR="00E50E93" w:rsidRDefault="00E5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4940F816" wp14:editId="5C7A47DF">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380E38">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380E38">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E93" w:rsidRDefault="00E50E93">
      <w:r>
        <w:separator/>
      </w:r>
    </w:p>
  </w:footnote>
  <w:footnote w:type="continuationSeparator" w:id="0">
    <w:p w:rsidR="00E50E93" w:rsidRDefault="00E50E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66F32700" wp14:editId="192C0823">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5A2414B8" wp14:editId="353BC776">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380E38">
      <w:rPr>
        <w:rFonts w:ascii="Times New Roman" w:eastAsia="楷体" w:hAnsi="Times New Roman" w:hint="eastAsia"/>
        <w:b/>
        <w:bCs/>
        <w:noProof/>
        <w:color w:val="833C0B"/>
        <w:sz w:val="21"/>
      </w:rPr>
      <w:t>2023</w:t>
    </w:r>
    <w:r w:rsidR="00380E38">
      <w:rPr>
        <w:rFonts w:ascii="Times New Roman" w:eastAsia="楷体" w:hAnsi="Times New Roman" w:hint="eastAsia"/>
        <w:b/>
        <w:bCs/>
        <w:noProof/>
        <w:color w:val="833C0B"/>
        <w:sz w:val="21"/>
      </w:rPr>
      <w:t>年</w:t>
    </w:r>
    <w:r w:rsidR="00380E38">
      <w:rPr>
        <w:rFonts w:ascii="Times New Roman" w:eastAsia="楷体" w:hAnsi="Times New Roman" w:hint="eastAsia"/>
        <w:b/>
        <w:bCs/>
        <w:noProof/>
        <w:color w:val="833C0B"/>
        <w:sz w:val="21"/>
      </w:rPr>
      <w:t>7</w:t>
    </w:r>
    <w:r w:rsidR="00380E38">
      <w:rPr>
        <w:rFonts w:ascii="Times New Roman" w:eastAsia="楷体" w:hAnsi="Times New Roman" w:hint="eastAsia"/>
        <w:b/>
        <w:bCs/>
        <w:noProof/>
        <w:color w:val="833C0B"/>
        <w:sz w:val="21"/>
      </w:rPr>
      <w:t>月</w:t>
    </w:r>
    <w:r w:rsidR="00380E38">
      <w:rPr>
        <w:rFonts w:ascii="Times New Roman" w:eastAsia="楷体" w:hAnsi="Times New Roman" w:hint="eastAsia"/>
        <w:b/>
        <w:bCs/>
        <w:noProof/>
        <w:color w:val="833C0B"/>
        <w:sz w:val="21"/>
      </w:rPr>
      <w:t>17</w:t>
    </w:r>
    <w:r w:rsidR="00380E38">
      <w:rPr>
        <w:rFonts w:ascii="Times New Roman" w:eastAsia="楷体" w:hAnsi="Times New Roman" w:hint="eastAsia"/>
        <w:b/>
        <w:bCs/>
        <w:noProof/>
        <w:color w:val="833C0B"/>
        <w:sz w:val="21"/>
      </w:rPr>
      <w:t>日星期一</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20E82"/>
    <w:rsid w:val="00035EB2"/>
    <w:rsid w:val="000417D7"/>
    <w:rsid w:val="00050B6C"/>
    <w:rsid w:val="0005286B"/>
    <w:rsid w:val="0005726F"/>
    <w:rsid w:val="00072EAA"/>
    <w:rsid w:val="00076420"/>
    <w:rsid w:val="000820C6"/>
    <w:rsid w:val="00093E40"/>
    <w:rsid w:val="00096258"/>
    <w:rsid w:val="000A413E"/>
    <w:rsid w:val="000B0648"/>
    <w:rsid w:val="000B4E70"/>
    <w:rsid w:val="000C102A"/>
    <w:rsid w:val="000C475E"/>
    <w:rsid w:val="000D36DC"/>
    <w:rsid w:val="000D42E2"/>
    <w:rsid w:val="000D7CF0"/>
    <w:rsid w:val="000E03FC"/>
    <w:rsid w:val="000E0C15"/>
    <w:rsid w:val="000E4EEB"/>
    <w:rsid w:val="00115EEA"/>
    <w:rsid w:val="00117470"/>
    <w:rsid w:val="00120B1F"/>
    <w:rsid w:val="00127803"/>
    <w:rsid w:val="00127FF1"/>
    <w:rsid w:val="00147668"/>
    <w:rsid w:val="00147B03"/>
    <w:rsid w:val="0015047B"/>
    <w:rsid w:val="00156FEB"/>
    <w:rsid w:val="001801C4"/>
    <w:rsid w:val="001942CB"/>
    <w:rsid w:val="001945E9"/>
    <w:rsid w:val="001A3E49"/>
    <w:rsid w:val="001B179D"/>
    <w:rsid w:val="001B1904"/>
    <w:rsid w:val="001B25C9"/>
    <w:rsid w:val="001B2D4C"/>
    <w:rsid w:val="001B6043"/>
    <w:rsid w:val="001B6394"/>
    <w:rsid w:val="001C2E87"/>
    <w:rsid w:val="001C77D0"/>
    <w:rsid w:val="001D1F0A"/>
    <w:rsid w:val="001D40EA"/>
    <w:rsid w:val="001D4474"/>
    <w:rsid w:val="001F5438"/>
    <w:rsid w:val="001F79C6"/>
    <w:rsid w:val="002074A1"/>
    <w:rsid w:val="00216C1E"/>
    <w:rsid w:val="00226406"/>
    <w:rsid w:val="0023093E"/>
    <w:rsid w:val="00230DB7"/>
    <w:rsid w:val="00235529"/>
    <w:rsid w:val="00244CA3"/>
    <w:rsid w:val="0025590B"/>
    <w:rsid w:val="00267FFD"/>
    <w:rsid w:val="00282262"/>
    <w:rsid w:val="00285297"/>
    <w:rsid w:val="00291461"/>
    <w:rsid w:val="00292AE8"/>
    <w:rsid w:val="002951EB"/>
    <w:rsid w:val="00297A1B"/>
    <w:rsid w:val="002A0670"/>
    <w:rsid w:val="002A6C89"/>
    <w:rsid w:val="002B2257"/>
    <w:rsid w:val="002B32AE"/>
    <w:rsid w:val="002C73FE"/>
    <w:rsid w:val="002F075C"/>
    <w:rsid w:val="002F545E"/>
    <w:rsid w:val="002F6AD1"/>
    <w:rsid w:val="002F7810"/>
    <w:rsid w:val="0031065A"/>
    <w:rsid w:val="00320AB1"/>
    <w:rsid w:val="00321629"/>
    <w:rsid w:val="003230A0"/>
    <w:rsid w:val="00323550"/>
    <w:rsid w:val="0033167B"/>
    <w:rsid w:val="00332F22"/>
    <w:rsid w:val="0033644D"/>
    <w:rsid w:val="003416C2"/>
    <w:rsid w:val="00341727"/>
    <w:rsid w:val="003471F4"/>
    <w:rsid w:val="00357545"/>
    <w:rsid w:val="00370D25"/>
    <w:rsid w:val="00371ED6"/>
    <w:rsid w:val="00374836"/>
    <w:rsid w:val="00375F0B"/>
    <w:rsid w:val="00376AF1"/>
    <w:rsid w:val="00380E38"/>
    <w:rsid w:val="0038626D"/>
    <w:rsid w:val="003953FD"/>
    <w:rsid w:val="003A1F3C"/>
    <w:rsid w:val="003A3DB4"/>
    <w:rsid w:val="003A5DDB"/>
    <w:rsid w:val="003C54F5"/>
    <w:rsid w:val="003C5F91"/>
    <w:rsid w:val="003D3A9E"/>
    <w:rsid w:val="003F2424"/>
    <w:rsid w:val="003F56A5"/>
    <w:rsid w:val="00404AFE"/>
    <w:rsid w:val="004201F5"/>
    <w:rsid w:val="004230AC"/>
    <w:rsid w:val="00426AB5"/>
    <w:rsid w:val="00433C64"/>
    <w:rsid w:val="00440FBE"/>
    <w:rsid w:val="004427D1"/>
    <w:rsid w:val="00452F14"/>
    <w:rsid w:val="004567BD"/>
    <w:rsid w:val="00461147"/>
    <w:rsid w:val="00484C53"/>
    <w:rsid w:val="00485A3F"/>
    <w:rsid w:val="00487F77"/>
    <w:rsid w:val="00491DD7"/>
    <w:rsid w:val="004977A9"/>
    <w:rsid w:val="004A1926"/>
    <w:rsid w:val="004A382D"/>
    <w:rsid w:val="004A3F85"/>
    <w:rsid w:val="004A65B5"/>
    <w:rsid w:val="004B4D4D"/>
    <w:rsid w:val="004C11A7"/>
    <w:rsid w:val="004C5F3F"/>
    <w:rsid w:val="004D6F74"/>
    <w:rsid w:val="004E3A10"/>
    <w:rsid w:val="004E58A5"/>
    <w:rsid w:val="004E6093"/>
    <w:rsid w:val="005145ED"/>
    <w:rsid w:val="005245A4"/>
    <w:rsid w:val="00533D1C"/>
    <w:rsid w:val="00535DC9"/>
    <w:rsid w:val="00540298"/>
    <w:rsid w:val="00541F3F"/>
    <w:rsid w:val="00547DD7"/>
    <w:rsid w:val="00550252"/>
    <w:rsid w:val="00551A8D"/>
    <w:rsid w:val="005523A5"/>
    <w:rsid w:val="00553DEC"/>
    <w:rsid w:val="00572E35"/>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CE6"/>
    <w:rsid w:val="005F45A8"/>
    <w:rsid w:val="00606E2B"/>
    <w:rsid w:val="00610C41"/>
    <w:rsid w:val="00612D79"/>
    <w:rsid w:val="0061390B"/>
    <w:rsid w:val="00615F78"/>
    <w:rsid w:val="00637F19"/>
    <w:rsid w:val="00641752"/>
    <w:rsid w:val="00650F05"/>
    <w:rsid w:val="0065454E"/>
    <w:rsid w:val="00657B01"/>
    <w:rsid w:val="00661BB3"/>
    <w:rsid w:val="00666DE4"/>
    <w:rsid w:val="006811C5"/>
    <w:rsid w:val="006911F3"/>
    <w:rsid w:val="006A135D"/>
    <w:rsid w:val="006A5214"/>
    <w:rsid w:val="006A7A79"/>
    <w:rsid w:val="006B4A5D"/>
    <w:rsid w:val="006D21ED"/>
    <w:rsid w:val="006E3745"/>
    <w:rsid w:val="006F6553"/>
    <w:rsid w:val="007029E1"/>
    <w:rsid w:val="00710028"/>
    <w:rsid w:val="007103A5"/>
    <w:rsid w:val="0072164F"/>
    <w:rsid w:val="007253E7"/>
    <w:rsid w:val="0072736C"/>
    <w:rsid w:val="007315D8"/>
    <w:rsid w:val="00743CFD"/>
    <w:rsid w:val="007664C1"/>
    <w:rsid w:val="00772382"/>
    <w:rsid w:val="00785519"/>
    <w:rsid w:val="007866A5"/>
    <w:rsid w:val="0079299D"/>
    <w:rsid w:val="00792D31"/>
    <w:rsid w:val="00794D36"/>
    <w:rsid w:val="007952E9"/>
    <w:rsid w:val="007A410D"/>
    <w:rsid w:val="007A66FE"/>
    <w:rsid w:val="007B3290"/>
    <w:rsid w:val="007B4FCE"/>
    <w:rsid w:val="007C2FD2"/>
    <w:rsid w:val="007D29EC"/>
    <w:rsid w:val="007D4BBD"/>
    <w:rsid w:val="007F09BE"/>
    <w:rsid w:val="007F1327"/>
    <w:rsid w:val="007F140C"/>
    <w:rsid w:val="007F186E"/>
    <w:rsid w:val="0080612D"/>
    <w:rsid w:val="00806354"/>
    <w:rsid w:val="0080692E"/>
    <w:rsid w:val="00806F4A"/>
    <w:rsid w:val="0080753A"/>
    <w:rsid w:val="008111C8"/>
    <w:rsid w:val="008149F4"/>
    <w:rsid w:val="00815011"/>
    <w:rsid w:val="00815817"/>
    <w:rsid w:val="00820D28"/>
    <w:rsid w:val="00822591"/>
    <w:rsid w:val="00827E8A"/>
    <w:rsid w:val="0083605E"/>
    <w:rsid w:val="00840F4E"/>
    <w:rsid w:val="008463FD"/>
    <w:rsid w:val="00853880"/>
    <w:rsid w:val="00856132"/>
    <w:rsid w:val="008649BB"/>
    <w:rsid w:val="00867CA5"/>
    <w:rsid w:val="00873ECE"/>
    <w:rsid w:val="008740D4"/>
    <w:rsid w:val="0087785E"/>
    <w:rsid w:val="00892203"/>
    <w:rsid w:val="0089393F"/>
    <w:rsid w:val="008A0893"/>
    <w:rsid w:val="008A11C6"/>
    <w:rsid w:val="008A1D22"/>
    <w:rsid w:val="008B13D2"/>
    <w:rsid w:val="008B3268"/>
    <w:rsid w:val="008B361D"/>
    <w:rsid w:val="008C1554"/>
    <w:rsid w:val="008C3F42"/>
    <w:rsid w:val="008E2B15"/>
    <w:rsid w:val="008E33F3"/>
    <w:rsid w:val="008E3B84"/>
    <w:rsid w:val="008F229B"/>
    <w:rsid w:val="008F2A6E"/>
    <w:rsid w:val="00906E0C"/>
    <w:rsid w:val="00907943"/>
    <w:rsid w:val="00916E97"/>
    <w:rsid w:val="00920372"/>
    <w:rsid w:val="009260D3"/>
    <w:rsid w:val="009316EC"/>
    <w:rsid w:val="009317CD"/>
    <w:rsid w:val="00934728"/>
    <w:rsid w:val="009644D9"/>
    <w:rsid w:val="0097131C"/>
    <w:rsid w:val="00972485"/>
    <w:rsid w:val="00973185"/>
    <w:rsid w:val="009870E4"/>
    <w:rsid w:val="009A12FA"/>
    <w:rsid w:val="009A564D"/>
    <w:rsid w:val="009B0D7B"/>
    <w:rsid w:val="009B3801"/>
    <w:rsid w:val="009B534D"/>
    <w:rsid w:val="009B591A"/>
    <w:rsid w:val="009C3E56"/>
    <w:rsid w:val="009C483C"/>
    <w:rsid w:val="009D2477"/>
    <w:rsid w:val="009D4A74"/>
    <w:rsid w:val="009D5253"/>
    <w:rsid w:val="009D5D79"/>
    <w:rsid w:val="009D64FE"/>
    <w:rsid w:val="009E0994"/>
    <w:rsid w:val="009E4452"/>
    <w:rsid w:val="009E7578"/>
    <w:rsid w:val="009F5C7B"/>
    <w:rsid w:val="00A031CE"/>
    <w:rsid w:val="00A04421"/>
    <w:rsid w:val="00A11A0D"/>
    <w:rsid w:val="00A22080"/>
    <w:rsid w:val="00A223D3"/>
    <w:rsid w:val="00A42079"/>
    <w:rsid w:val="00A573ED"/>
    <w:rsid w:val="00A60F08"/>
    <w:rsid w:val="00A63022"/>
    <w:rsid w:val="00A71A7E"/>
    <w:rsid w:val="00A776D7"/>
    <w:rsid w:val="00A91E48"/>
    <w:rsid w:val="00A96E37"/>
    <w:rsid w:val="00A97444"/>
    <w:rsid w:val="00AA186F"/>
    <w:rsid w:val="00AA29E5"/>
    <w:rsid w:val="00AB0678"/>
    <w:rsid w:val="00AB3750"/>
    <w:rsid w:val="00AC00CF"/>
    <w:rsid w:val="00AC52CB"/>
    <w:rsid w:val="00AC7794"/>
    <w:rsid w:val="00AC7ECD"/>
    <w:rsid w:val="00AD009F"/>
    <w:rsid w:val="00AF54C5"/>
    <w:rsid w:val="00AF56FD"/>
    <w:rsid w:val="00AF5EA0"/>
    <w:rsid w:val="00B066DA"/>
    <w:rsid w:val="00B072C0"/>
    <w:rsid w:val="00B10135"/>
    <w:rsid w:val="00B118A2"/>
    <w:rsid w:val="00B133D0"/>
    <w:rsid w:val="00B15418"/>
    <w:rsid w:val="00B17165"/>
    <w:rsid w:val="00B1737C"/>
    <w:rsid w:val="00B1758C"/>
    <w:rsid w:val="00B17639"/>
    <w:rsid w:val="00B23E58"/>
    <w:rsid w:val="00B443CE"/>
    <w:rsid w:val="00B4555A"/>
    <w:rsid w:val="00B53C56"/>
    <w:rsid w:val="00B60464"/>
    <w:rsid w:val="00B606EF"/>
    <w:rsid w:val="00B618F8"/>
    <w:rsid w:val="00B64133"/>
    <w:rsid w:val="00B72E2D"/>
    <w:rsid w:val="00B745CB"/>
    <w:rsid w:val="00B805BD"/>
    <w:rsid w:val="00B91D3D"/>
    <w:rsid w:val="00B94E7D"/>
    <w:rsid w:val="00B97F08"/>
    <w:rsid w:val="00BA4663"/>
    <w:rsid w:val="00BA696B"/>
    <w:rsid w:val="00BC5F45"/>
    <w:rsid w:val="00BC71D6"/>
    <w:rsid w:val="00BD4C85"/>
    <w:rsid w:val="00BE456E"/>
    <w:rsid w:val="00BF3137"/>
    <w:rsid w:val="00C02ECE"/>
    <w:rsid w:val="00C06AC7"/>
    <w:rsid w:val="00C13E0F"/>
    <w:rsid w:val="00C2031B"/>
    <w:rsid w:val="00C2080D"/>
    <w:rsid w:val="00C228D6"/>
    <w:rsid w:val="00C240C3"/>
    <w:rsid w:val="00C25562"/>
    <w:rsid w:val="00C265C5"/>
    <w:rsid w:val="00C43DDB"/>
    <w:rsid w:val="00C575E9"/>
    <w:rsid w:val="00C62202"/>
    <w:rsid w:val="00C6240E"/>
    <w:rsid w:val="00C647F2"/>
    <w:rsid w:val="00C66C6C"/>
    <w:rsid w:val="00C70FDD"/>
    <w:rsid w:val="00C80C0D"/>
    <w:rsid w:val="00C82E4D"/>
    <w:rsid w:val="00C91234"/>
    <w:rsid w:val="00C93E36"/>
    <w:rsid w:val="00CA1C01"/>
    <w:rsid w:val="00CB0962"/>
    <w:rsid w:val="00CB1AC3"/>
    <w:rsid w:val="00CB1F18"/>
    <w:rsid w:val="00CB2FD2"/>
    <w:rsid w:val="00CB3015"/>
    <w:rsid w:val="00CC03C4"/>
    <w:rsid w:val="00CC3E40"/>
    <w:rsid w:val="00CC3FFA"/>
    <w:rsid w:val="00CC6C03"/>
    <w:rsid w:val="00CD5884"/>
    <w:rsid w:val="00CD5DE8"/>
    <w:rsid w:val="00CD70A0"/>
    <w:rsid w:val="00CE7903"/>
    <w:rsid w:val="00CF6C71"/>
    <w:rsid w:val="00CF7A9A"/>
    <w:rsid w:val="00D00D60"/>
    <w:rsid w:val="00D017E5"/>
    <w:rsid w:val="00D01A19"/>
    <w:rsid w:val="00D04FF1"/>
    <w:rsid w:val="00D1367C"/>
    <w:rsid w:val="00D1582A"/>
    <w:rsid w:val="00D17FB1"/>
    <w:rsid w:val="00D21BE4"/>
    <w:rsid w:val="00D309C4"/>
    <w:rsid w:val="00D32D2F"/>
    <w:rsid w:val="00D45E53"/>
    <w:rsid w:val="00D47039"/>
    <w:rsid w:val="00D55EAF"/>
    <w:rsid w:val="00D63655"/>
    <w:rsid w:val="00D75630"/>
    <w:rsid w:val="00D762B2"/>
    <w:rsid w:val="00D842AA"/>
    <w:rsid w:val="00D86D76"/>
    <w:rsid w:val="00D87130"/>
    <w:rsid w:val="00D93E0B"/>
    <w:rsid w:val="00DA7546"/>
    <w:rsid w:val="00DD145E"/>
    <w:rsid w:val="00DD334E"/>
    <w:rsid w:val="00DE02C4"/>
    <w:rsid w:val="00DF1796"/>
    <w:rsid w:val="00DF270D"/>
    <w:rsid w:val="00DF3B28"/>
    <w:rsid w:val="00DF56EC"/>
    <w:rsid w:val="00E020F2"/>
    <w:rsid w:val="00E12059"/>
    <w:rsid w:val="00E25D21"/>
    <w:rsid w:val="00E2618F"/>
    <w:rsid w:val="00E31716"/>
    <w:rsid w:val="00E32B95"/>
    <w:rsid w:val="00E34551"/>
    <w:rsid w:val="00E34EAB"/>
    <w:rsid w:val="00E373B2"/>
    <w:rsid w:val="00E40036"/>
    <w:rsid w:val="00E45000"/>
    <w:rsid w:val="00E451FD"/>
    <w:rsid w:val="00E4667F"/>
    <w:rsid w:val="00E50E93"/>
    <w:rsid w:val="00E556EC"/>
    <w:rsid w:val="00E55B22"/>
    <w:rsid w:val="00E60D44"/>
    <w:rsid w:val="00E64502"/>
    <w:rsid w:val="00E7672C"/>
    <w:rsid w:val="00E771D2"/>
    <w:rsid w:val="00E80EDB"/>
    <w:rsid w:val="00E84794"/>
    <w:rsid w:val="00E847DF"/>
    <w:rsid w:val="00E90013"/>
    <w:rsid w:val="00E928BB"/>
    <w:rsid w:val="00E93488"/>
    <w:rsid w:val="00EA0CCD"/>
    <w:rsid w:val="00EA28CA"/>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31CCA"/>
    <w:rsid w:val="00F43E0E"/>
    <w:rsid w:val="00F473F0"/>
    <w:rsid w:val="00F622ED"/>
    <w:rsid w:val="00F65EEA"/>
    <w:rsid w:val="00F776D3"/>
    <w:rsid w:val="00F91733"/>
    <w:rsid w:val="00F95209"/>
    <w:rsid w:val="00FB3956"/>
    <w:rsid w:val="00FC0F8B"/>
    <w:rsid w:val="00FD6B0E"/>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440353-7602-4146-AE7D-B07913B8A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2949</TotalTime>
  <Pages>10</Pages>
  <Words>1614</Words>
  <Characters>9205</Characters>
  <Application>Microsoft Office Word</Application>
  <DocSecurity>0</DocSecurity>
  <Lines>76</Lines>
  <Paragraphs>21</Paragraphs>
  <ScaleCrop>false</ScaleCrop>
  <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33</cp:revision>
  <cp:lastPrinted>2023-06-08T02:23:00Z</cp:lastPrinted>
  <dcterms:created xsi:type="dcterms:W3CDTF">2022-11-15T10:06:00Z</dcterms:created>
  <dcterms:modified xsi:type="dcterms:W3CDTF">2023-07-17T02:50:00Z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