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7248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972485" w:rsidRPr="00D527B6">
            <w:rPr>
              <w:rStyle w:val="a9"/>
              <w:noProof/>
            </w:rPr>
            <w:fldChar w:fldCharType="begin"/>
          </w:r>
          <w:r w:rsidR="00972485" w:rsidRPr="00D527B6">
            <w:rPr>
              <w:rStyle w:val="a9"/>
              <w:noProof/>
            </w:rPr>
            <w:instrText xml:space="preserve"> </w:instrText>
          </w:r>
          <w:r w:rsidR="00972485">
            <w:rPr>
              <w:noProof/>
            </w:rPr>
            <w:instrText>HYPERLINK \l "_Toc139880212"</w:instrText>
          </w:r>
          <w:r w:rsidR="00972485" w:rsidRPr="00D527B6">
            <w:rPr>
              <w:rStyle w:val="a9"/>
              <w:noProof/>
            </w:rPr>
            <w:instrText xml:space="preserve"> </w:instrText>
          </w:r>
          <w:r w:rsidR="00972485" w:rsidRPr="00D527B6">
            <w:rPr>
              <w:rStyle w:val="a9"/>
              <w:noProof/>
            </w:rPr>
          </w:r>
          <w:r w:rsidR="00972485" w:rsidRPr="00D527B6">
            <w:rPr>
              <w:rStyle w:val="a9"/>
              <w:noProof/>
            </w:rPr>
            <w:fldChar w:fldCharType="separate"/>
          </w:r>
          <w:r w:rsidR="00972485" w:rsidRPr="00D527B6">
            <w:rPr>
              <w:rStyle w:val="a9"/>
              <w:rFonts w:ascii="Times New Roman" w:eastAsia="楷体" w:hAnsi="Times New Roman"/>
              <w:b/>
              <w:noProof/>
            </w:rPr>
            <w:t>[</w:t>
          </w:r>
          <w:r w:rsidR="00972485" w:rsidRPr="00D527B6">
            <w:rPr>
              <w:rStyle w:val="a9"/>
              <w:rFonts w:ascii="Times New Roman" w:eastAsia="楷体" w:hAnsi="Times New Roman"/>
              <w:b/>
              <w:noProof/>
            </w:rPr>
            <w:t>金融</w:t>
          </w:r>
          <w:r w:rsidR="00972485" w:rsidRPr="00D527B6">
            <w:rPr>
              <w:rStyle w:val="a9"/>
              <w:rFonts w:ascii="Times New Roman" w:eastAsia="楷体" w:hAnsi="Times New Roman"/>
              <w:b/>
              <w:noProof/>
            </w:rPr>
            <w:t>]</w:t>
          </w:r>
          <w:r w:rsidR="00972485" w:rsidRPr="00D527B6">
            <w:rPr>
              <w:rStyle w:val="a9"/>
              <w:noProof/>
            </w:rPr>
            <w:fldChar w:fldCharType="end"/>
          </w:r>
        </w:p>
        <w:p w:rsidR="00972485" w:rsidRDefault="00972485">
          <w:pPr>
            <w:pStyle w:val="23"/>
            <w:tabs>
              <w:tab w:val="right" w:leader="dot" w:pos="8296"/>
            </w:tabs>
            <w:rPr>
              <w:rFonts w:eastAsiaTheme="minorEastAsia"/>
              <w:noProof/>
              <w:szCs w:val="22"/>
            </w:rPr>
          </w:pPr>
          <w:hyperlink w:anchor="_Toc139880213" w:history="1">
            <w:r w:rsidRPr="00D527B6">
              <w:rPr>
                <w:rStyle w:val="a9"/>
                <w:rFonts w:ascii="Times New Roman" w:eastAsia="楷体" w:hAnsi="Times New Roman"/>
                <w:b/>
                <w:noProof/>
              </w:rPr>
              <w:t>股指：</w:t>
            </w:r>
            <w:r w:rsidRPr="00D527B6">
              <w:rPr>
                <w:rStyle w:val="a9"/>
                <w:rFonts w:ascii="Times New Roman" w:eastAsia="楷体" w:hAnsi="Times New Roman"/>
                <w:b/>
                <w:noProof/>
              </w:rPr>
              <w:t>IM</w:t>
            </w:r>
            <w:r w:rsidRPr="00D527B6">
              <w:rPr>
                <w:rStyle w:val="a9"/>
                <w:rFonts w:ascii="Times New Roman" w:eastAsia="楷体" w:hAnsi="Times New Roman"/>
                <w:b/>
                <w:noProof/>
              </w:rPr>
              <w:t>多单持有</w:t>
            </w:r>
          </w:hyperlink>
        </w:p>
        <w:p w:rsidR="00972485" w:rsidRDefault="00972485">
          <w:pPr>
            <w:pStyle w:val="11"/>
            <w:tabs>
              <w:tab w:val="right" w:leader="dot" w:pos="8296"/>
            </w:tabs>
            <w:rPr>
              <w:rFonts w:eastAsiaTheme="minorEastAsia"/>
              <w:noProof/>
              <w:szCs w:val="22"/>
            </w:rPr>
          </w:pPr>
          <w:hyperlink w:anchor="_Toc139880214" w:history="1">
            <w:r w:rsidRPr="00D527B6">
              <w:rPr>
                <w:rStyle w:val="a9"/>
                <w:rFonts w:ascii="Times New Roman" w:eastAsia="楷体" w:hAnsi="Times New Roman"/>
                <w:b/>
                <w:noProof/>
              </w:rPr>
              <w:t>[</w:t>
            </w:r>
            <w:r w:rsidRPr="00D527B6">
              <w:rPr>
                <w:rStyle w:val="a9"/>
                <w:rFonts w:ascii="Times New Roman" w:eastAsia="楷体" w:hAnsi="Times New Roman"/>
                <w:b/>
                <w:noProof/>
              </w:rPr>
              <w:t>贵金属</w:t>
            </w:r>
            <w:r w:rsidRPr="00D527B6">
              <w:rPr>
                <w:rStyle w:val="a9"/>
                <w:rFonts w:ascii="Times New Roman" w:eastAsia="楷体" w:hAnsi="Times New Roman"/>
                <w:b/>
                <w:noProof/>
              </w:rPr>
              <w:t>]</w:t>
            </w:r>
          </w:hyperlink>
        </w:p>
        <w:p w:rsidR="00972485" w:rsidRDefault="00972485">
          <w:pPr>
            <w:pStyle w:val="23"/>
            <w:tabs>
              <w:tab w:val="right" w:leader="dot" w:pos="8296"/>
            </w:tabs>
            <w:rPr>
              <w:rFonts w:eastAsiaTheme="minorEastAsia"/>
              <w:noProof/>
              <w:szCs w:val="22"/>
            </w:rPr>
          </w:pPr>
          <w:hyperlink w:anchor="_Toc139880215" w:history="1">
            <w:r w:rsidRPr="00D527B6">
              <w:rPr>
                <w:rStyle w:val="a9"/>
                <w:rFonts w:ascii="Times New Roman" w:eastAsia="楷体" w:hAnsi="Times New Roman"/>
                <w:b/>
                <w:noProof/>
              </w:rPr>
              <w:t>贵金属：美国非农数据低于预期，贵金属价格小幅反弹</w:t>
            </w:r>
          </w:hyperlink>
        </w:p>
        <w:p w:rsidR="00972485" w:rsidRDefault="00972485">
          <w:pPr>
            <w:pStyle w:val="11"/>
            <w:tabs>
              <w:tab w:val="right" w:leader="dot" w:pos="8296"/>
            </w:tabs>
            <w:rPr>
              <w:rFonts w:eastAsiaTheme="minorEastAsia"/>
              <w:noProof/>
              <w:szCs w:val="22"/>
            </w:rPr>
          </w:pPr>
          <w:hyperlink w:anchor="_Toc139880216" w:history="1">
            <w:r w:rsidRPr="00D527B6">
              <w:rPr>
                <w:rStyle w:val="a9"/>
                <w:rFonts w:ascii="Times New Roman" w:eastAsia="楷体" w:hAnsi="Times New Roman"/>
                <w:b/>
                <w:noProof/>
              </w:rPr>
              <w:t>[</w:t>
            </w:r>
            <w:r w:rsidRPr="00D527B6">
              <w:rPr>
                <w:rStyle w:val="a9"/>
                <w:rFonts w:ascii="Times New Roman" w:eastAsia="楷体" w:hAnsi="Times New Roman"/>
                <w:b/>
                <w:noProof/>
              </w:rPr>
              <w:t>金属</w:t>
            </w:r>
            <w:r w:rsidRPr="00D527B6">
              <w:rPr>
                <w:rStyle w:val="a9"/>
                <w:rFonts w:ascii="Times New Roman" w:eastAsia="楷体" w:hAnsi="Times New Roman"/>
                <w:b/>
                <w:noProof/>
              </w:rPr>
              <w:t>]</w:t>
            </w:r>
          </w:hyperlink>
        </w:p>
        <w:p w:rsidR="00972485" w:rsidRDefault="00972485">
          <w:pPr>
            <w:pStyle w:val="23"/>
            <w:tabs>
              <w:tab w:val="right" w:leader="dot" w:pos="8296"/>
            </w:tabs>
            <w:rPr>
              <w:rFonts w:eastAsiaTheme="minorEastAsia"/>
              <w:noProof/>
              <w:szCs w:val="22"/>
            </w:rPr>
          </w:pPr>
          <w:hyperlink w:anchor="_Toc139880217" w:history="1">
            <w:r w:rsidRPr="00D527B6">
              <w:rPr>
                <w:rStyle w:val="a9"/>
                <w:rFonts w:ascii="楷体" w:eastAsia="楷体" w:hAnsi="楷体"/>
                <w:b/>
                <w:noProof/>
              </w:rPr>
              <w:t>螺纹钢：基本面转弱，价格中枢下移，关注后续铁水变化速度</w:t>
            </w:r>
          </w:hyperlink>
        </w:p>
        <w:p w:rsidR="00972485" w:rsidRDefault="00972485">
          <w:pPr>
            <w:pStyle w:val="23"/>
            <w:tabs>
              <w:tab w:val="right" w:leader="dot" w:pos="8296"/>
            </w:tabs>
            <w:rPr>
              <w:rFonts w:eastAsiaTheme="minorEastAsia"/>
              <w:noProof/>
              <w:szCs w:val="22"/>
            </w:rPr>
          </w:pPr>
          <w:hyperlink w:anchor="_Toc139880218" w:history="1">
            <w:r w:rsidRPr="00D527B6">
              <w:rPr>
                <w:rStyle w:val="a9"/>
                <w:rFonts w:ascii="楷体" w:eastAsia="楷体" w:hAnsi="楷体"/>
                <w:b/>
                <w:noProof/>
              </w:rPr>
              <w:t>焦炭：自身矛盾并不突出，随钢价震荡运行</w:t>
            </w:r>
          </w:hyperlink>
        </w:p>
        <w:p w:rsidR="00972485" w:rsidRDefault="00972485">
          <w:pPr>
            <w:pStyle w:val="23"/>
            <w:tabs>
              <w:tab w:val="right" w:leader="dot" w:pos="8296"/>
            </w:tabs>
            <w:rPr>
              <w:rFonts w:eastAsiaTheme="minorEastAsia"/>
              <w:noProof/>
              <w:szCs w:val="22"/>
            </w:rPr>
          </w:pPr>
          <w:hyperlink w:anchor="_Toc139880219" w:history="1">
            <w:r w:rsidRPr="00D527B6">
              <w:rPr>
                <w:rStyle w:val="a9"/>
                <w:rFonts w:ascii="楷体" w:eastAsia="楷体" w:hAnsi="楷体"/>
                <w:b/>
                <w:noProof/>
              </w:rPr>
              <w:t>焦煤：煤价偏稳运行，价格压力逐步加大</w:t>
            </w:r>
          </w:hyperlink>
        </w:p>
        <w:p w:rsidR="00972485" w:rsidRDefault="00972485">
          <w:pPr>
            <w:pStyle w:val="23"/>
            <w:tabs>
              <w:tab w:val="right" w:leader="dot" w:pos="8296"/>
            </w:tabs>
            <w:rPr>
              <w:rFonts w:eastAsiaTheme="minorEastAsia"/>
              <w:noProof/>
              <w:szCs w:val="22"/>
            </w:rPr>
          </w:pPr>
          <w:hyperlink w:anchor="_Toc139880220" w:history="1">
            <w:r w:rsidRPr="00D527B6">
              <w:rPr>
                <w:rStyle w:val="a9"/>
                <w:rFonts w:ascii="楷体" w:eastAsia="楷体" w:hAnsi="楷体"/>
                <w:b/>
                <w:noProof/>
              </w:rPr>
              <w:t>铜：维持高位震荡，关注本周经济数据</w:t>
            </w:r>
          </w:hyperlink>
        </w:p>
        <w:p w:rsidR="00972485" w:rsidRDefault="00972485">
          <w:pPr>
            <w:pStyle w:val="23"/>
            <w:tabs>
              <w:tab w:val="right" w:leader="dot" w:pos="8296"/>
            </w:tabs>
            <w:rPr>
              <w:rFonts w:eastAsiaTheme="minorEastAsia"/>
              <w:noProof/>
              <w:szCs w:val="22"/>
            </w:rPr>
          </w:pPr>
          <w:hyperlink w:anchor="_Toc139880221" w:history="1">
            <w:r w:rsidRPr="00D527B6">
              <w:rPr>
                <w:rStyle w:val="a9"/>
                <w:rFonts w:ascii="楷体" w:eastAsia="楷体" w:hAnsi="楷体"/>
                <w:b/>
                <w:noProof/>
              </w:rPr>
              <w:t>铝：铝价震荡运行，向下驱动偏强</w:t>
            </w:r>
          </w:hyperlink>
        </w:p>
        <w:p w:rsidR="00972485" w:rsidRDefault="00972485">
          <w:pPr>
            <w:pStyle w:val="23"/>
            <w:tabs>
              <w:tab w:val="right" w:leader="dot" w:pos="8296"/>
            </w:tabs>
            <w:rPr>
              <w:rFonts w:eastAsiaTheme="minorEastAsia"/>
              <w:noProof/>
              <w:szCs w:val="22"/>
            </w:rPr>
          </w:pPr>
          <w:hyperlink w:anchor="_Toc139880222" w:history="1">
            <w:r w:rsidRPr="00D527B6">
              <w:rPr>
                <w:rStyle w:val="a9"/>
                <w:rFonts w:ascii="楷体" w:eastAsia="楷体" w:hAnsi="楷体"/>
                <w:b/>
                <w:noProof/>
              </w:rPr>
              <w:t>锌：基本面供强需弱格局延续，价格仍有下行压力</w:t>
            </w:r>
          </w:hyperlink>
        </w:p>
        <w:p w:rsidR="00972485" w:rsidRDefault="00972485">
          <w:pPr>
            <w:pStyle w:val="23"/>
            <w:tabs>
              <w:tab w:val="right" w:leader="dot" w:pos="8296"/>
            </w:tabs>
            <w:rPr>
              <w:rFonts w:eastAsiaTheme="minorEastAsia"/>
              <w:noProof/>
              <w:szCs w:val="22"/>
            </w:rPr>
          </w:pPr>
          <w:hyperlink w:anchor="_Toc139880223" w:history="1">
            <w:r w:rsidRPr="00D527B6">
              <w:rPr>
                <w:rStyle w:val="a9"/>
                <w:rFonts w:ascii="楷体" w:eastAsia="楷体" w:hAnsi="楷体"/>
                <w:b/>
                <w:noProof/>
              </w:rPr>
              <w:t>镍：反弹后逐步逢高布空</w:t>
            </w:r>
          </w:hyperlink>
        </w:p>
        <w:p w:rsidR="00972485" w:rsidRDefault="00972485">
          <w:pPr>
            <w:pStyle w:val="23"/>
            <w:tabs>
              <w:tab w:val="right" w:leader="dot" w:pos="8296"/>
            </w:tabs>
            <w:rPr>
              <w:rFonts w:eastAsiaTheme="minorEastAsia"/>
              <w:noProof/>
              <w:szCs w:val="22"/>
            </w:rPr>
          </w:pPr>
          <w:hyperlink w:anchor="_Toc139880224" w:history="1">
            <w:r w:rsidRPr="00D527B6">
              <w:rPr>
                <w:rStyle w:val="a9"/>
                <w:rFonts w:ascii="楷体" w:eastAsia="楷体" w:hAnsi="楷体"/>
                <w:b/>
                <w:noProof/>
              </w:rPr>
              <w:t>铅：价格走升但基本面较难支撑，注意回调风险</w:t>
            </w:r>
          </w:hyperlink>
        </w:p>
        <w:p w:rsidR="00972485" w:rsidRDefault="00972485">
          <w:pPr>
            <w:pStyle w:val="23"/>
            <w:tabs>
              <w:tab w:val="right" w:leader="dot" w:pos="8296"/>
            </w:tabs>
            <w:rPr>
              <w:rFonts w:eastAsiaTheme="minorEastAsia"/>
              <w:noProof/>
              <w:szCs w:val="22"/>
            </w:rPr>
          </w:pPr>
          <w:hyperlink w:anchor="_Toc139880225" w:history="1">
            <w:r w:rsidRPr="00D527B6">
              <w:rPr>
                <w:rStyle w:val="a9"/>
                <w:rFonts w:ascii="楷体" w:eastAsia="楷体" w:hAnsi="楷体"/>
                <w:b/>
                <w:noProof/>
              </w:rPr>
              <w:t>不锈钢：基本面无明显矛盾，SS维持区间震荡</w:t>
            </w:r>
          </w:hyperlink>
        </w:p>
        <w:p w:rsidR="00972485" w:rsidRDefault="00972485">
          <w:pPr>
            <w:pStyle w:val="23"/>
            <w:tabs>
              <w:tab w:val="right" w:leader="dot" w:pos="8296"/>
            </w:tabs>
            <w:rPr>
              <w:rFonts w:eastAsiaTheme="minorEastAsia"/>
              <w:noProof/>
              <w:szCs w:val="22"/>
            </w:rPr>
          </w:pPr>
          <w:hyperlink w:anchor="_Toc139880226" w:history="1">
            <w:r w:rsidRPr="00D527B6">
              <w:rPr>
                <w:rStyle w:val="a9"/>
                <w:rFonts w:ascii="楷体" w:eastAsia="楷体" w:hAnsi="楷体"/>
                <w:b/>
                <w:noProof/>
              </w:rPr>
              <w:t>工业硅：云南大幅复产，预计市场将承压运行</w:t>
            </w:r>
          </w:hyperlink>
        </w:p>
        <w:p w:rsidR="00972485" w:rsidRDefault="00972485">
          <w:pPr>
            <w:pStyle w:val="11"/>
            <w:tabs>
              <w:tab w:val="right" w:leader="dot" w:pos="8296"/>
            </w:tabs>
            <w:rPr>
              <w:rFonts w:eastAsiaTheme="minorEastAsia"/>
              <w:noProof/>
              <w:szCs w:val="22"/>
            </w:rPr>
          </w:pPr>
          <w:hyperlink w:anchor="_Toc139880227" w:history="1">
            <w:r w:rsidRPr="00D527B6">
              <w:rPr>
                <w:rStyle w:val="a9"/>
                <w:rFonts w:ascii="Times New Roman" w:eastAsia="楷体" w:hAnsi="Times New Roman"/>
                <w:b/>
                <w:noProof/>
              </w:rPr>
              <w:t>[</w:t>
            </w:r>
            <w:r w:rsidRPr="00D527B6">
              <w:rPr>
                <w:rStyle w:val="a9"/>
                <w:rFonts w:ascii="Times New Roman" w:eastAsia="楷体" w:hAnsi="Times New Roman"/>
                <w:b/>
                <w:noProof/>
              </w:rPr>
              <w:t>化工</w:t>
            </w:r>
            <w:r w:rsidRPr="00D527B6">
              <w:rPr>
                <w:rStyle w:val="a9"/>
                <w:rFonts w:ascii="Times New Roman" w:eastAsia="楷体" w:hAnsi="Times New Roman"/>
                <w:b/>
                <w:noProof/>
              </w:rPr>
              <w:t>]</w:t>
            </w:r>
          </w:hyperlink>
        </w:p>
        <w:p w:rsidR="00972485" w:rsidRDefault="00972485">
          <w:pPr>
            <w:pStyle w:val="23"/>
            <w:tabs>
              <w:tab w:val="right" w:leader="dot" w:pos="8296"/>
            </w:tabs>
            <w:rPr>
              <w:rFonts w:eastAsiaTheme="minorEastAsia"/>
              <w:noProof/>
              <w:szCs w:val="22"/>
            </w:rPr>
          </w:pPr>
          <w:hyperlink w:anchor="_Toc139880228" w:history="1">
            <w:r w:rsidRPr="00D527B6">
              <w:rPr>
                <w:rStyle w:val="a9"/>
                <w:rFonts w:ascii="Times New Roman" w:eastAsia="楷体" w:hAnsi="Times New Roman"/>
                <w:b/>
                <w:noProof/>
              </w:rPr>
              <w:t>天然橡胶</w:t>
            </w:r>
            <w:r w:rsidRPr="00D527B6">
              <w:rPr>
                <w:rStyle w:val="a9"/>
                <w:rFonts w:ascii="Times New Roman" w:eastAsia="楷体" w:hAnsi="Times New Roman"/>
                <w:b/>
                <w:noProof/>
              </w:rPr>
              <w:t>:</w:t>
            </w:r>
            <w:r w:rsidRPr="00D527B6">
              <w:rPr>
                <w:rStyle w:val="a9"/>
                <w:rFonts w:ascii="楷体" w:eastAsia="楷体" w:hAnsi="楷体"/>
                <w:b/>
                <w:noProof/>
              </w:rPr>
              <w:t xml:space="preserve"> 收储利好重提厄尔尼诺恐影响泰国产胶量 天胶维持偏强震荡</w:t>
            </w:r>
          </w:hyperlink>
        </w:p>
        <w:p w:rsidR="00972485" w:rsidRDefault="00972485">
          <w:pPr>
            <w:pStyle w:val="23"/>
            <w:tabs>
              <w:tab w:val="right" w:leader="dot" w:pos="8296"/>
            </w:tabs>
            <w:rPr>
              <w:rFonts w:eastAsiaTheme="minorEastAsia"/>
              <w:noProof/>
              <w:szCs w:val="22"/>
            </w:rPr>
          </w:pPr>
          <w:hyperlink w:anchor="_Toc139880229" w:history="1">
            <w:r w:rsidRPr="00D527B6">
              <w:rPr>
                <w:rStyle w:val="a9"/>
                <w:rFonts w:ascii="楷体" w:eastAsia="楷体" w:hAnsi="楷体"/>
                <w:b/>
                <w:noProof/>
              </w:rPr>
              <w:t>PTA：受成本端提振走强 谨慎追高</w:t>
            </w:r>
          </w:hyperlink>
        </w:p>
        <w:p w:rsidR="00972485" w:rsidRDefault="00972485">
          <w:pPr>
            <w:pStyle w:val="23"/>
            <w:tabs>
              <w:tab w:val="right" w:leader="dot" w:pos="8296"/>
            </w:tabs>
            <w:rPr>
              <w:rFonts w:eastAsiaTheme="minorEastAsia"/>
              <w:noProof/>
              <w:szCs w:val="22"/>
            </w:rPr>
          </w:pPr>
          <w:hyperlink w:anchor="_Toc139880230" w:history="1">
            <w:r w:rsidRPr="00D527B6">
              <w:rPr>
                <w:rStyle w:val="a9"/>
                <w:rFonts w:ascii="楷体" w:eastAsia="楷体" w:hAnsi="楷体"/>
                <w:b/>
                <w:noProof/>
              </w:rPr>
              <w:t>PVC：高库存+弱复苏 驱动不足</w:t>
            </w:r>
          </w:hyperlink>
        </w:p>
        <w:p w:rsidR="00972485" w:rsidRDefault="00972485">
          <w:pPr>
            <w:pStyle w:val="23"/>
            <w:tabs>
              <w:tab w:val="right" w:leader="dot" w:pos="8296"/>
            </w:tabs>
            <w:rPr>
              <w:rFonts w:eastAsiaTheme="minorEastAsia"/>
              <w:noProof/>
              <w:szCs w:val="22"/>
            </w:rPr>
          </w:pPr>
          <w:hyperlink w:anchor="_Toc139880231" w:history="1">
            <w:r w:rsidRPr="00D527B6">
              <w:rPr>
                <w:rStyle w:val="a9"/>
                <w:rFonts w:ascii="楷体" w:eastAsia="楷体" w:hAnsi="楷体"/>
                <w:b/>
                <w:noProof/>
              </w:rPr>
              <w:t>聚烯烃：淡季需求持续弱势，聚烯烃价格或震荡整理</w:t>
            </w:r>
          </w:hyperlink>
        </w:p>
        <w:p w:rsidR="00972485" w:rsidRDefault="00972485">
          <w:pPr>
            <w:pStyle w:val="23"/>
            <w:tabs>
              <w:tab w:val="right" w:leader="dot" w:pos="8296"/>
            </w:tabs>
            <w:rPr>
              <w:rFonts w:eastAsiaTheme="minorEastAsia"/>
              <w:noProof/>
              <w:szCs w:val="22"/>
            </w:rPr>
          </w:pPr>
          <w:hyperlink w:anchor="_Toc139880232" w:history="1">
            <w:r w:rsidRPr="00D527B6">
              <w:rPr>
                <w:rStyle w:val="a9"/>
                <w:rFonts w:ascii="楷体" w:eastAsia="楷体" w:hAnsi="楷体"/>
                <w:b/>
                <w:noProof/>
              </w:rPr>
              <w:t>MEG：煤化工提前开启检修供应减量驱动上行</w:t>
            </w:r>
          </w:hyperlink>
        </w:p>
        <w:p w:rsidR="00972485" w:rsidRDefault="00972485">
          <w:pPr>
            <w:pStyle w:val="23"/>
            <w:tabs>
              <w:tab w:val="right" w:leader="dot" w:pos="8296"/>
            </w:tabs>
            <w:rPr>
              <w:rFonts w:eastAsiaTheme="minorEastAsia"/>
              <w:noProof/>
              <w:szCs w:val="22"/>
            </w:rPr>
          </w:pPr>
          <w:hyperlink w:anchor="_Toc139880233" w:history="1">
            <w:r w:rsidRPr="00D527B6">
              <w:rPr>
                <w:rStyle w:val="a9"/>
                <w:rFonts w:ascii="楷体" w:eastAsia="楷体" w:hAnsi="楷体"/>
                <w:b/>
                <w:noProof/>
              </w:rPr>
              <w:t>玻璃：周内产销维持好转，盘面震荡反弹</w:t>
            </w:r>
          </w:hyperlink>
        </w:p>
        <w:p w:rsidR="00972485" w:rsidRDefault="00972485">
          <w:pPr>
            <w:pStyle w:val="23"/>
            <w:tabs>
              <w:tab w:val="right" w:leader="dot" w:pos="8296"/>
            </w:tabs>
            <w:rPr>
              <w:rFonts w:eastAsiaTheme="minorEastAsia"/>
              <w:noProof/>
              <w:szCs w:val="22"/>
            </w:rPr>
          </w:pPr>
          <w:hyperlink w:anchor="_Toc139880234" w:history="1">
            <w:r w:rsidRPr="00D527B6">
              <w:rPr>
                <w:rStyle w:val="a9"/>
                <w:rFonts w:ascii="楷体" w:eastAsia="楷体" w:hAnsi="楷体"/>
                <w:b/>
                <w:noProof/>
              </w:rPr>
              <w:t>纯碱：当前纯碱延续前期近远月分歧问题</w:t>
            </w:r>
          </w:hyperlink>
        </w:p>
        <w:p w:rsidR="00972485" w:rsidRDefault="00972485">
          <w:pPr>
            <w:pStyle w:val="11"/>
            <w:tabs>
              <w:tab w:val="right" w:leader="dot" w:pos="8296"/>
            </w:tabs>
            <w:rPr>
              <w:rFonts w:eastAsiaTheme="minorEastAsia"/>
              <w:noProof/>
              <w:szCs w:val="22"/>
            </w:rPr>
          </w:pPr>
          <w:hyperlink w:anchor="_Toc139880235" w:history="1">
            <w:r w:rsidRPr="00D527B6">
              <w:rPr>
                <w:rStyle w:val="a9"/>
                <w:rFonts w:ascii="Times New Roman" w:eastAsia="楷体" w:hAnsi="Times New Roman"/>
                <w:b/>
                <w:noProof/>
              </w:rPr>
              <w:t>[</w:t>
            </w:r>
            <w:r w:rsidRPr="00D527B6">
              <w:rPr>
                <w:rStyle w:val="a9"/>
                <w:rFonts w:ascii="Times New Roman" w:eastAsia="楷体" w:hAnsi="Times New Roman"/>
                <w:b/>
                <w:noProof/>
              </w:rPr>
              <w:t>农产品</w:t>
            </w:r>
            <w:r w:rsidRPr="00D527B6">
              <w:rPr>
                <w:rStyle w:val="a9"/>
                <w:rFonts w:ascii="Times New Roman" w:eastAsia="楷体" w:hAnsi="Times New Roman"/>
                <w:b/>
                <w:noProof/>
              </w:rPr>
              <w:t>]</w:t>
            </w:r>
          </w:hyperlink>
        </w:p>
        <w:p w:rsidR="00972485" w:rsidRDefault="00972485">
          <w:pPr>
            <w:pStyle w:val="23"/>
            <w:tabs>
              <w:tab w:val="right" w:leader="dot" w:pos="8296"/>
            </w:tabs>
            <w:rPr>
              <w:rFonts w:eastAsiaTheme="minorEastAsia"/>
              <w:noProof/>
              <w:szCs w:val="22"/>
            </w:rPr>
          </w:pPr>
          <w:hyperlink w:anchor="_Toc139880236" w:history="1">
            <w:r w:rsidRPr="00D527B6">
              <w:rPr>
                <w:rStyle w:val="a9"/>
                <w:rFonts w:ascii="楷体" w:eastAsia="楷体" w:hAnsi="楷体"/>
                <w:b/>
                <w:noProof/>
              </w:rPr>
              <w:t>豆粕/菜粕：短期维持高位震荡，关注7月USDA报告</w:t>
            </w:r>
          </w:hyperlink>
        </w:p>
        <w:p w:rsidR="00972485" w:rsidRDefault="00972485">
          <w:pPr>
            <w:pStyle w:val="23"/>
            <w:tabs>
              <w:tab w:val="right" w:leader="dot" w:pos="8296"/>
            </w:tabs>
            <w:rPr>
              <w:rFonts w:eastAsiaTheme="minorEastAsia"/>
              <w:noProof/>
              <w:szCs w:val="22"/>
            </w:rPr>
          </w:pPr>
          <w:hyperlink w:anchor="_Toc139880237" w:history="1">
            <w:r w:rsidRPr="00D527B6">
              <w:rPr>
                <w:rStyle w:val="a9"/>
                <w:rFonts w:ascii="楷体" w:eastAsia="楷体" w:hAnsi="楷体"/>
                <w:b/>
                <w:noProof/>
              </w:rPr>
              <w:t>油脂：关注MPOB月度报告</w:t>
            </w:r>
          </w:hyperlink>
        </w:p>
        <w:p w:rsidR="00972485" w:rsidRDefault="00972485">
          <w:pPr>
            <w:pStyle w:val="23"/>
            <w:tabs>
              <w:tab w:val="right" w:leader="dot" w:pos="8296"/>
            </w:tabs>
            <w:rPr>
              <w:rFonts w:eastAsiaTheme="minorEastAsia"/>
              <w:noProof/>
              <w:szCs w:val="22"/>
            </w:rPr>
          </w:pPr>
          <w:hyperlink w:anchor="_Toc139880238" w:history="1">
            <w:r w:rsidRPr="00D527B6">
              <w:rPr>
                <w:rStyle w:val="a9"/>
                <w:rFonts w:ascii="楷体" w:eastAsia="楷体" w:hAnsi="楷体"/>
                <w:b/>
                <w:bCs/>
                <w:noProof/>
              </w:rPr>
              <w:t>玉米与淀粉：</w:t>
            </w:r>
            <w:r w:rsidRPr="00D527B6">
              <w:rPr>
                <w:rStyle w:val="a9"/>
                <w:rFonts w:ascii="楷体" w:eastAsia="楷体" w:hAnsi="楷体"/>
                <w:b/>
                <w:noProof/>
              </w:rPr>
              <w:t>期价强中分化</w:t>
            </w:r>
          </w:hyperlink>
        </w:p>
        <w:p w:rsidR="00972485" w:rsidRDefault="00972485">
          <w:pPr>
            <w:pStyle w:val="23"/>
            <w:tabs>
              <w:tab w:val="right" w:leader="dot" w:pos="8296"/>
            </w:tabs>
            <w:rPr>
              <w:rFonts w:eastAsiaTheme="minorEastAsia"/>
              <w:noProof/>
              <w:szCs w:val="22"/>
            </w:rPr>
          </w:pPr>
          <w:hyperlink w:anchor="_Toc139880239" w:history="1">
            <w:r w:rsidRPr="00D527B6">
              <w:rPr>
                <w:rStyle w:val="a9"/>
                <w:rFonts w:ascii="楷体" w:eastAsia="楷体" w:hAnsi="楷体"/>
                <w:b/>
                <w:bCs/>
                <w:noProof/>
              </w:rPr>
              <w:t>畜禽养殖：生猪等待现货上涨</w:t>
            </w:r>
          </w:hyperlink>
        </w:p>
        <w:p w:rsidR="00972485" w:rsidRDefault="00972485">
          <w:pPr>
            <w:pStyle w:val="23"/>
            <w:tabs>
              <w:tab w:val="right" w:leader="dot" w:pos="8296"/>
            </w:tabs>
            <w:rPr>
              <w:rFonts w:eastAsiaTheme="minorEastAsia"/>
              <w:noProof/>
              <w:szCs w:val="22"/>
            </w:rPr>
          </w:pPr>
          <w:hyperlink w:anchor="_Toc139880240" w:history="1">
            <w:r w:rsidRPr="00D527B6">
              <w:rPr>
                <w:rStyle w:val="a9"/>
                <w:rFonts w:ascii="楷体" w:eastAsia="楷体" w:hAnsi="楷体"/>
                <w:b/>
                <w:noProof/>
              </w:rPr>
              <w:t>郑棉：预计09合约区间偏强震荡，看跌期权卖权持有或等待低位买入机会</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988021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9880213"/>
      <w:bookmarkEnd w:id="4"/>
      <w:r>
        <w:rPr>
          <w:rFonts w:ascii="Times New Roman" w:eastAsia="楷体" w:hAnsi="Times New Roman" w:hint="eastAsia"/>
          <w:b/>
          <w:color w:val="000000" w:themeColor="text1"/>
          <w:sz w:val="24"/>
          <w:szCs w:val="24"/>
        </w:rPr>
        <w:t>股指：</w:t>
      </w:r>
      <w:bookmarkEnd w:id="6"/>
      <w:bookmarkEnd w:id="7"/>
      <w:r w:rsidR="00972485" w:rsidRPr="00972485">
        <w:rPr>
          <w:rFonts w:ascii="Times New Roman" w:eastAsia="楷体" w:hAnsi="Times New Roman" w:hint="eastAsia"/>
          <w:b/>
          <w:color w:val="000000" w:themeColor="text1"/>
          <w:sz w:val="24"/>
          <w:szCs w:val="24"/>
        </w:rPr>
        <w:t>IM</w:t>
      </w:r>
      <w:r w:rsidR="00972485" w:rsidRPr="00972485">
        <w:rPr>
          <w:rFonts w:ascii="Times New Roman" w:eastAsia="楷体" w:hAnsi="Times New Roman" w:hint="eastAsia"/>
          <w:b/>
          <w:color w:val="000000" w:themeColor="text1"/>
          <w:sz w:val="24"/>
          <w:szCs w:val="24"/>
        </w:rPr>
        <w:t>多单持有</w:t>
      </w:r>
      <w:bookmarkEnd w:id="8"/>
    </w:p>
    <w:p w:rsidR="003F56A5" w:rsidRDefault="00972485">
      <w:pPr>
        <w:ind w:leftChars="300" w:left="630"/>
        <w:rPr>
          <w:rFonts w:ascii="Times New Roman" w:eastAsia="楷体" w:hAnsi="Times New Roman"/>
          <w:color w:val="000000" w:themeColor="text1"/>
          <w:sz w:val="24"/>
          <w:szCs w:val="24"/>
        </w:rPr>
      </w:pPr>
      <w:r w:rsidRPr="00972485">
        <w:rPr>
          <w:rFonts w:ascii="Times New Roman" w:eastAsia="楷体" w:hAnsi="Times New Roman" w:hint="eastAsia"/>
          <w:color w:val="000000" w:themeColor="text1"/>
          <w:sz w:val="24"/>
          <w:szCs w:val="24"/>
        </w:rPr>
        <w:t>近期海外扰动增加，海外衰退仍是大概率事件，国内市场则对政策预期反应平淡，短期市场仍以震荡市为主。人民币汇率是一个较好的衡量标尺，短期市场情绪转好需看到人民币汇率的企稳走强</w:t>
      </w:r>
      <w:r w:rsidRPr="00972485">
        <w:rPr>
          <w:rFonts w:ascii="Times New Roman" w:eastAsia="楷体" w:hAnsi="Times New Roman" w:hint="eastAsia"/>
          <w:color w:val="000000" w:themeColor="text1"/>
          <w:sz w:val="24"/>
          <w:szCs w:val="24"/>
        </w:rPr>
        <w:t>;</w:t>
      </w:r>
      <w:r w:rsidRPr="00972485">
        <w:rPr>
          <w:rFonts w:ascii="Times New Roman" w:eastAsia="楷体" w:hAnsi="Times New Roman" w:hint="eastAsia"/>
          <w:color w:val="000000" w:themeColor="text1"/>
          <w:sz w:val="24"/>
          <w:szCs w:val="24"/>
        </w:rPr>
        <w:t>中期市场判断不变，稳增长政策主要起托底作用，能环比改善或者大幅增长方向，仍以新兴产业为主，待后续市场赚钱效应较为明显后，则有望吸引更多配置资金入市</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988021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9880215"/>
      <w:r>
        <w:rPr>
          <w:rFonts w:ascii="Times New Roman" w:eastAsia="楷体" w:hAnsi="Times New Roman" w:hint="eastAsia"/>
          <w:b/>
          <w:color w:val="000000" w:themeColor="text1"/>
          <w:sz w:val="24"/>
          <w:szCs w:val="24"/>
        </w:rPr>
        <w:t>贵金属：</w:t>
      </w:r>
      <w:r w:rsidR="00972485" w:rsidRPr="00972485">
        <w:rPr>
          <w:rFonts w:ascii="Times New Roman" w:eastAsia="楷体" w:hAnsi="Times New Roman" w:hint="eastAsia"/>
          <w:b/>
          <w:color w:val="000000" w:themeColor="text1"/>
          <w:sz w:val="24"/>
          <w:szCs w:val="24"/>
        </w:rPr>
        <w:t>美国非农数据低于预期，贵金属价格小幅反弹</w:t>
      </w:r>
      <w:bookmarkEnd w:id="10"/>
    </w:p>
    <w:p w:rsidR="003F56A5" w:rsidRDefault="00972485">
      <w:pPr>
        <w:ind w:leftChars="300" w:left="630"/>
        <w:rPr>
          <w:rFonts w:ascii="Times New Roman" w:eastAsia="楷体" w:hAnsi="Times New Roman"/>
          <w:sz w:val="24"/>
          <w:szCs w:val="24"/>
        </w:rPr>
      </w:pPr>
      <w:r w:rsidRPr="00972485">
        <w:rPr>
          <w:rFonts w:ascii="Times New Roman" w:eastAsia="楷体" w:hAnsi="Times New Roman" w:hint="eastAsia"/>
          <w:color w:val="000000" w:themeColor="text1"/>
          <w:sz w:val="24"/>
          <w:szCs w:val="24"/>
        </w:rPr>
        <w:t>美国</w:t>
      </w:r>
      <w:r w:rsidRPr="00972485">
        <w:rPr>
          <w:rFonts w:ascii="Times New Roman" w:eastAsia="楷体" w:hAnsi="Times New Roman" w:hint="eastAsia"/>
          <w:color w:val="000000" w:themeColor="text1"/>
          <w:sz w:val="24"/>
          <w:szCs w:val="24"/>
        </w:rPr>
        <w:t>6</w:t>
      </w:r>
      <w:r w:rsidRPr="00972485">
        <w:rPr>
          <w:rFonts w:ascii="Times New Roman" w:eastAsia="楷体" w:hAnsi="Times New Roman" w:hint="eastAsia"/>
          <w:color w:val="000000" w:themeColor="text1"/>
          <w:sz w:val="24"/>
          <w:szCs w:val="24"/>
        </w:rPr>
        <w:t>月新增非农就业人数录得增</w:t>
      </w:r>
      <w:r w:rsidRPr="00972485">
        <w:rPr>
          <w:rFonts w:ascii="Times New Roman" w:eastAsia="楷体" w:hAnsi="Times New Roman" w:hint="eastAsia"/>
          <w:color w:val="000000" w:themeColor="text1"/>
          <w:sz w:val="24"/>
          <w:szCs w:val="24"/>
        </w:rPr>
        <w:t>20.9</w:t>
      </w:r>
      <w:r w:rsidRPr="00972485">
        <w:rPr>
          <w:rFonts w:ascii="Times New Roman" w:eastAsia="楷体" w:hAnsi="Times New Roman" w:hint="eastAsia"/>
          <w:color w:val="000000" w:themeColor="text1"/>
          <w:sz w:val="24"/>
          <w:szCs w:val="24"/>
        </w:rPr>
        <w:t>万人，较上月而言下行</w:t>
      </w:r>
      <w:r w:rsidRPr="00972485">
        <w:rPr>
          <w:rFonts w:ascii="Times New Roman" w:eastAsia="楷体" w:hAnsi="Times New Roman" w:hint="eastAsia"/>
          <w:color w:val="000000" w:themeColor="text1"/>
          <w:sz w:val="24"/>
          <w:szCs w:val="24"/>
        </w:rPr>
        <w:t>9.7</w:t>
      </w:r>
      <w:r w:rsidRPr="00972485">
        <w:rPr>
          <w:rFonts w:ascii="Times New Roman" w:eastAsia="楷体" w:hAnsi="Times New Roman" w:hint="eastAsia"/>
          <w:color w:val="000000" w:themeColor="text1"/>
          <w:sz w:val="24"/>
          <w:szCs w:val="24"/>
        </w:rPr>
        <w:t>万人，低于此前预期。分项而言，</w:t>
      </w:r>
      <w:r w:rsidRPr="00972485">
        <w:rPr>
          <w:rFonts w:ascii="Times New Roman" w:eastAsia="楷体" w:hAnsi="Times New Roman" w:hint="eastAsia"/>
          <w:color w:val="000000" w:themeColor="text1"/>
          <w:sz w:val="24"/>
          <w:szCs w:val="24"/>
        </w:rPr>
        <w:t>6</w:t>
      </w:r>
      <w:r w:rsidRPr="00972485">
        <w:rPr>
          <w:rFonts w:ascii="Times New Roman" w:eastAsia="楷体" w:hAnsi="Times New Roman" w:hint="eastAsia"/>
          <w:color w:val="000000" w:themeColor="text1"/>
          <w:sz w:val="24"/>
          <w:szCs w:val="24"/>
        </w:rPr>
        <w:t>月新增非农就业主要受教育和保健服务、政府部门、建筑业所拉动。</w:t>
      </w:r>
      <w:r w:rsidRPr="00972485">
        <w:rPr>
          <w:rFonts w:ascii="Times New Roman" w:eastAsia="楷体" w:hAnsi="Times New Roman" w:hint="eastAsia"/>
          <w:color w:val="000000" w:themeColor="text1"/>
          <w:sz w:val="24"/>
          <w:szCs w:val="24"/>
        </w:rPr>
        <w:t>6</w:t>
      </w:r>
      <w:r w:rsidRPr="00972485">
        <w:rPr>
          <w:rFonts w:ascii="Times New Roman" w:eastAsia="楷体" w:hAnsi="Times New Roman" w:hint="eastAsia"/>
          <w:color w:val="000000" w:themeColor="text1"/>
          <w:sz w:val="24"/>
          <w:szCs w:val="24"/>
        </w:rPr>
        <w:t>月美国失业率增</w:t>
      </w:r>
      <w:r w:rsidRPr="00972485">
        <w:rPr>
          <w:rFonts w:ascii="Times New Roman" w:eastAsia="楷体" w:hAnsi="Times New Roman" w:hint="eastAsia"/>
          <w:color w:val="000000" w:themeColor="text1"/>
          <w:sz w:val="24"/>
          <w:szCs w:val="24"/>
        </w:rPr>
        <w:t>3.6%</w:t>
      </w:r>
      <w:r w:rsidRPr="00972485">
        <w:rPr>
          <w:rFonts w:ascii="Times New Roman" w:eastAsia="楷体" w:hAnsi="Times New Roman" w:hint="eastAsia"/>
          <w:color w:val="000000" w:themeColor="text1"/>
          <w:sz w:val="24"/>
          <w:szCs w:val="24"/>
        </w:rPr>
        <w:t>，较上月而言下行</w:t>
      </w:r>
      <w:r w:rsidRPr="00972485">
        <w:rPr>
          <w:rFonts w:ascii="Times New Roman" w:eastAsia="楷体" w:hAnsi="Times New Roman" w:hint="eastAsia"/>
          <w:color w:val="000000" w:themeColor="text1"/>
          <w:sz w:val="24"/>
          <w:szCs w:val="24"/>
        </w:rPr>
        <w:t>0.1</w:t>
      </w:r>
      <w:r w:rsidRPr="00972485">
        <w:rPr>
          <w:rFonts w:ascii="Times New Roman" w:eastAsia="楷体" w:hAnsi="Times New Roman" w:hint="eastAsia"/>
          <w:color w:val="000000" w:themeColor="text1"/>
          <w:sz w:val="24"/>
          <w:szCs w:val="24"/>
        </w:rPr>
        <w:t>个百分点；美国劳动参与率增</w:t>
      </w:r>
      <w:r w:rsidRPr="00972485">
        <w:rPr>
          <w:rFonts w:ascii="Times New Roman" w:eastAsia="楷体" w:hAnsi="Times New Roman" w:hint="eastAsia"/>
          <w:color w:val="000000" w:themeColor="text1"/>
          <w:sz w:val="24"/>
          <w:szCs w:val="24"/>
        </w:rPr>
        <w:t>62.6%</w:t>
      </w:r>
      <w:r w:rsidRPr="00972485">
        <w:rPr>
          <w:rFonts w:ascii="Times New Roman" w:eastAsia="楷体" w:hAnsi="Times New Roman" w:hint="eastAsia"/>
          <w:color w:val="000000" w:themeColor="text1"/>
          <w:sz w:val="24"/>
          <w:szCs w:val="24"/>
        </w:rPr>
        <w:t>，持平上月前值。美国非农私营平均时薪为</w:t>
      </w:r>
      <w:r w:rsidRPr="00972485">
        <w:rPr>
          <w:rFonts w:ascii="Times New Roman" w:eastAsia="楷体" w:hAnsi="Times New Roman" w:hint="eastAsia"/>
          <w:color w:val="000000" w:themeColor="text1"/>
          <w:sz w:val="24"/>
          <w:szCs w:val="24"/>
        </w:rPr>
        <w:t>33.58</w:t>
      </w:r>
      <w:r w:rsidRPr="00972485">
        <w:rPr>
          <w:rFonts w:ascii="Times New Roman" w:eastAsia="楷体" w:hAnsi="Times New Roman" w:hint="eastAsia"/>
          <w:color w:val="000000" w:themeColor="text1"/>
          <w:sz w:val="24"/>
          <w:szCs w:val="24"/>
        </w:rPr>
        <w:t>美元，时薪增速同比持平上月的增</w:t>
      </w:r>
      <w:r w:rsidRPr="00972485">
        <w:rPr>
          <w:rFonts w:ascii="Times New Roman" w:eastAsia="楷体" w:hAnsi="Times New Roman" w:hint="eastAsia"/>
          <w:color w:val="000000" w:themeColor="text1"/>
          <w:sz w:val="24"/>
          <w:szCs w:val="24"/>
        </w:rPr>
        <w:t>4.4%</w:t>
      </w:r>
      <w:r w:rsidRPr="00972485">
        <w:rPr>
          <w:rFonts w:ascii="Times New Roman" w:eastAsia="楷体" w:hAnsi="Times New Roman" w:hint="eastAsia"/>
          <w:color w:val="000000" w:themeColor="text1"/>
          <w:sz w:val="24"/>
          <w:szCs w:val="24"/>
        </w:rPr>
        <w:t>；环比持平上月的增</w:t>
      </w:r>
      <w:r w:rsidRPr="00972485">
        <w:rPr>
          <w:rFonts w:ascii="Times New Roman" w:eastAsia="楷体" w:hAnsi="Times New Roman" w:hint="eastAsia"/>
          <w:color w:val="000000" w:themeColor="text1"/>
          <w:sz w:val="24"/>
          <w:szCs w:val="24"/>
        </w:rPr>
        <w:t>0.4%</w:t>
      </w:r>
      <w:r w:rsidRPr="00972485">
        <w:rPr>
          <w:rFonts w:ascii="Times New Roman" w:eastAsia="楷体" w:hAnsi="Times New Roman" w:hint="eastAsia"/>
          <w:color w:val="000000" w:themeColor="text1"/>
          <w:sz w:val="24"/>
          <w:szCs w:val="24"/>
        </w:rPr>
        <w:t>。因非农数据低于预期，上周尾盘沪金、沪银小幅反弹。美国财长耶伦表示，美国通胀仍然过高，现阶段排除美国经济衰退的可能性仍为时过早。外盘短线投机资金相对看好黄金表现，截至</w:t>
      </w:r>
      <w:r w:rsidRPr="00972485">
        <w:rPr>
          <w:rFonts w:ascii="Times New Roman" w:eastAsia="楷体" w:hAnsi="Times New Roman" w:hint="eastAsia"/>
          <w:color w:val="000000" w:themeColor="text1"/>
          <w:sz w:val="24"/>
          <w:szCs w:val="24"/>
        </w:rPr>
        <w:t>7</w:t>
      </w:r>
      <w:r w:rsidRPr="00972485">
        <w:rPr>
          <w:rFonts w:ascii="Times New Roman" w:eastAsia="楷体" w:hAnsi="Times New Roman" w:hint="eastAsia"/>
          <w:color w:val="000000" w:themeColor="text1"/>
          <w:sz w:val="24"/>
          <w:szCs w:val="24"/>
        </w:rPr>
        <w:t>月</w:t>
      </w:r>
      <w:r w:rsidRPr="00972485">
        <w:rPr>
          <w:rFonts w:ascii="Times New Roman" w:eastAsia="楷体" w:hAnsi="Times New Roman" w:hint="eastAsia"/>
          <w:color w:val="000000" w:themeColor="text1"/>
          <w:sz w:val="24"/>
          <w:szCs w:val="24"/>
        </w:rPr>
        <w:t>3</w:t>
      </w:r>
      <w:r w:rsidRPr="00972485">
        <w:rPr>
          <w:rFonts w:ascii="Times New Roman" w:eastAsia="楷体" w:hAnsi="Times New Roman" w:hint="eastAsia"/>
          <w:color w:val="000000" w:themeColor="text1"/>
          <w:sz w:val="24"/>
          <w:szCs w:val="24"/>
        </w:rPr>
        <w:t>日当周，</w:t>
      </w:r>
      <w:r w:rsidRPr="00972485">
        <w:rPr>
          <w:rFonts w:ascii="Times New Roman" w:eastAsia="楷体" w:hAnsi="Times New Roman" w:hint="eastAsia"/>
          <w:color w:val="000000" w:themeColor="text1"/>
          <w:sz w:val="24"/>
          <w:szCs w:val="24"/>
        </w:rPr>
        <w:t>COMEX</w:t>
      </w:r>
      <w:r w:rsidRPr="00972485">
        <w:rPr>
          <w:rFonts w:ascii="Times New Roman" w:eastAsia="楷体" w:hAnsi="Times New Roman" w:hint="eastAsia"/>
          <w:color w:val="000000" w:themeColor="text1"/>
          <w:sz w:val="24"/>
          <w:szCs w:val="24"/>
        </w:rPr>
        <w:t>黄金期货管理基金净多持仓增加</w:t>
      </w:r>
      <w:r w:rsidRPr="00972485">
        <w:rPr>
          <w:rFonts w:ascii="Times New Roman" w:eastAsia="楷体" w:hAnsi="Times New Roman" w:hint="eastAsia"/>
          <w:color w:val="000000" w:themeColor="text1"/>
          <w:sz w:val="24"/>
          <w:szCs w:val="24"/>
        </w:rPr>
        <w:t>13473</w:t>
      </w:r>
      <w:r w:rsidRPr="00972485">
        <w:rPr>
          <w:rFonts w:ascii="Times New Roman" w:eastAsia="楷体" w:hAnsi="Times New Roman" w:hint="eastAsia"/>
          <w:color w:val="000000" w:themeColor="text1"/>
          <w:sz w:val="24"/>
          <w:szCs w:val="24"/>
        </w:rPr>
        <w:t>手至</w:t>
      </w:r>
      <w:r w:rsidRPr="00972485">
        <w:rPr>
          <w:rFonts w:ascii="Times New Roman" w:eastAsia="楷体" w:hAnsi="Times New Roman" w:hint="eastAsia"/>
          <w:color w:val="000000" w:themeColor="text1"/>
          <w:sz w:val="24"/>
          <w:szCs w:val="24"/>
        </w:rPr>
        <w:t>83148</w:t>
      </w:r>
      <w:r w:rsidRPr="00972485">
        <w:rPr>
          <w:rFonts w:ascii="Times New Roman" w:eastAsia="楷体" w:hAnsi="Times New Roman" w:hint="eastAsia"/>
          <w:color w:val="000000" w:themeColor="text1"/>
          <w:sz w:val="24"/>
          <w:szCs w:val="24"/>
        </w:rPr>
        <w:t>手，</w:t>
      </w:r>
      <w:r w:rsidRPr="00972485">
        <w:rPr>
          <w:rFonts w:ascii="Times New Roman" w:eastAsia="楷体" w:hAnsi="Times New Roman" w:hint="eastAsia"/>
          <w:color w:val="000000" w:themeColor="text1"/>
          <w:sz w:val="24"/>
          <w:szCs w:val="24"/>
        </w:rPr>
        <w:t>COMEX</w:t>
      </w:r>
      <w:r w:rsidRPr="00972485">
        <w:rPr>
          <w:rFonts w:ascii="Times New Roman" w:eastAsia="楷体" w:hAnsi="Times New Roman" w:hint="eastAsia"/>
          <w:color w:val="000000" w:themeColor="text1"/>
          <w:sz w:val="24"/>
          <w:szCs w:val="24"/>
        </w:rPr>
        <w:t>白银期货管理基金净多持仓减少</w:t>
      </w:r>
      <w:r w:rsidRPr="00972485">
        <w:rPr>
          <w:rFonts w:ascii="Times New Roman" w:eastAsia="楷体" w:hAnsi="Times New Roman" w:hint="eastAsia"/>
          <w:color w:val="000000" w:themeColor="text1"/>
          <w:sz w:val="24"/>
          <w:szCs w:val="24"/>
        </w:rPr>
        <w:t>1110</w:t>
      </w:r>
      <w:r w:rsidRPr="00972485">
        <w:rPr>
          <w:rFonts w:ascii="Times New Roman" w:eastAsia="楷体" w:hAnsi="Times New Roman" w:hint="eastAsia"/>
          <w:color w:val="000000" w:themeColor="text1"/>
          <w:sz w:val="24"/>
          <w:szCs w:val="24"/>
        </w:rPr>
        <w:t>手至</w:t>
      </w:r>
      <w:r w:rsidRPr="00972485">
        <w:rPr>
          <w:rFonts w:ascii="Times New Roman" w:eastAsia="楷体" w:hAnsi="Times New Roman" w:hint="eastAsia"/>
          <w:color w:val="000000" w:themeColor="text1"/>
          <w:sz w:val="24"/>
          <w:szCs w:val="24"/>
        </w:rPr>
        <w:t>9796</w:t>
      </w:r>
      <w:r w:rsidRPr="00972485">
        <w:rPr>
          <w:rFonts w:ascii="Times New Roman" w:eastAsia="楷体" w:hAnsi="Times New Roman" w:hint="eastAsia"/>
          <w:color w:val="000000" w:themeColor="text1"/>
          <w:sz w:val="24"/>
          <w:szCs w:val="24"/>
        </w:rPr>
        <w:t>手。本周关注美国</w:t>
      </w:r>
      <w:r w:rsidRPr="00972485">
        <w:rPr>
          <w:rFonts w:ascii="Times New Roman" w:eastAsia="楷体" w:hAnsi="Times New Roman" w:hint="eastAsia"/>
          <w:color w:val="000000" w:themeColor="text1"/>
          <w:sz w:val="24"/>
          <w:szCs w:val="24"/>
        </w:rPr>
        <w:t>CPI</w:t>
      </w:r>
      <w:r w:rsidRPr="00972485">
        <w:rPr>
          <w:rFonts w:ascii="Times New Roman" w:eastAsia="楷体" w:hAnsi="Times New Roman" w:hint="eastAsia"/>
          <w:color w:val="000000" w:themeColor="text1"/>
          <w:sz w:val="24"/>
          <w:szCs w:val="24"/>
        </w:rPr>
        <w:t>、</w:t>
      </w:r>
      <w:r w:rsidRPr="00972485">
        <w:rPr>
          <w:rFonts w:ascii="Times New Roman" w:eastAsia="楷体" w:hAnsi="Times New Roman" w:hint="eastAsia"/>
          <w:color w:val="000000" w:themeColor="text1"/>
          <w:sz w:val="24"/>
          <w:szCs w:val="24"/>
        </w:rPr>
        <w:t>PPI</w:t>
      </w:r>
      <w:r w:rsidRPr="00972485">
        <w:rPr>
          <w:rFonts w:ascii="Times New Roman" w:eastAsia="楷体" w:hAnsi="Times New Roman" w:hint="eastAsia"/>
          <w:color w:val="000000" w:themeColor="text1"/>
          <w:sz w:val="24"/>
          <w:szCs w:val="24"/>
        </w:rPr>
        <w:t>通胀数据以及美联储经济状况褐皮书，建议沪金、沪银逢低试多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988021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9880217"/>
      <w:r>
        <w:rPr>
          <w:rFonts w:ascii="楷体" w:eastAsia="楷体" w:hAnsi="楷体" w:hint="eastAsia"/>
          <w:b/>
          <w:color w:val="000000" w:themeColor="text1"/>
          <w:sz w:val="24"/>
          <w:szCs w:val="24"/>
        </w:rPr>
        <w:t>螺纹钢：</w:t>
      </w:r>
      <w:bookmarkEnd w:id="16"/>
      <w:bookmarkEnd w:id="17"/>
      <w:r w:rsidR="00C80C0D" w:rsidRPr="00C80C0D">
        <w:rPr>
          <w:rFonts w:ascii="楷体" w:eastAsia="楷体" w:hAnsi="楷体" w:hint="eastAsia"/>
          <w:b/>
          <w:color w:val="000000" w:themeColor="text1"/>
          <w:sz w:val="24"/>
          <w:szCs w:val="24"/>
        </w:rPr>
        <w:t>基本面转弱，价格中枢下移，关注后续铁水变化速度</w:t>
      </w:r>
      <w:bookmarkEnd w:id="18"/>
    </w:p>
    <w:p w:rsidR="003F56A5" w:rsidRDefault="00C80C0D">
      <w:pPr>
        <w:ind w:leftChars="300" w:left="630"/>
        <w:rPr>
          <w:rFonts w:ascii="楷体" w:eastAsia="楷体" w:hAnsi="楷体"/>
          <w:color w:val="000000" w:themeColor="text1"/>
          <w:sz w:val="24"/>
          <w:szCs w:val="24"/>
        </w:rPr>
      </w:pPr>
      <w:r w:rsidRPr="00C80C0D">
        <w:rPr>
          <w:rFonts w:ascii="楷体" w:eastAsia="楷体" w:hAnsi="楷体" w:hint="eastAsia"/>
          <w:color w:val="000000" w:themeColor="text1"/>
          <w:sz w:val="24"/>
          <w:szCs w:val="24"/>
        </w:rPr>
        <w:t>政策并未落地，基本面支撑转弱，推动价格中枢回落，但短期成本支撑较强，预计钢价中枢或在（3550,3750）震荡运行，建议逢高可轻仓试空。观察后续累库速度是否会回升导致负反馈加速</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9880218"/>
      <w:r>
        <w:rPr>
          <w:rFonts w:ascii="楷体" w:eastAsia="楷体" w:hAnsi="楷体" w:hint="eastAsia"/>
          <w:b/>
          <w:color w:val="000000" w:themeColor="text1"/>
          <w:sz w:val="24"/>
          <w:szCs w:val="24"/>
        </w:rPr>
        <w:t>焦炭：</w:t>
      </w:r>
      <w:bookmarkEnd w:id="19"/>
      <w:bookmarkEnd w:id="20"/>
      <w:r w:rsidR="00C80C0D" w:rsidRPr="00C80C0D">
        <w:rPr>
          <w:rFonts w:ascii="楷体" w:eastAsia="楷体" w:hAnsi="楷体" w:hint="eastAsia"/>
          <w:b/>
          <w:color w:val="000000" w:themeColor="text1"/>
          <w:sz w:val="24"/>
          <w:szCs w:val="24"/>
        </w:rPr>
        <w:t>自身矛盾并不突出，随钢价震荡运行</w:t>
      </w:r>
      <w:bookmarkEnd w:id="21"/>
    </w:p>
    <w:p w:rsidR="003F56A5" w:rsidRDefault="00C80C0D" w:rsidP="00572E35">
      <w:pPr>
        <w:ind w:leftChars="300" w:left="630"/>
        <w:rPr>
          <w:rFonts w:ascii="楷体" w:eastAsia="楷体" w:hAnsi="楷体"/>
          <w:color w:val="000000" w:themeColor="text1"/>
          <w:sz w:val="24"/>
          <w:szCs w:val="24"/>
        </w:rPr>
      </w:pPr>
      <w:r w:rsidRPr="00C80C0D">
        <w:rPr>
          <w:rFonts w:ascii="楷体" w:eastAsia="楷体" w:hAnsi="楷体" w:hint="eastAsia"/>
          <w:color w:val="000000" w:themeColor="text1"/>
          <w:sz w:val="24"/>
          <w:szCs w:val="24"/>
        </w:rPr>
        <w:t>出厂价格提涨落地后现货继续上涨驱动不足，钢价压力压制，盘面随情绪波动，基差或走阔，预计在（1980,2100）区间震荡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9880219"/>
      <w:r>
        <w:rPr>
          <w:rFonts w:ascii="楷体" w:eastAsia="楷体" w:hAnsi="楷体" w:hint="eastAsia"/>
          <w:b/>
          <w:color w:val="000000" w:themeColor="text1"/>
          <w:sz w:val="24"/>
          <w:szCs w:val="24"/>
        </w:rPr>
        <w:t>焦煤：</w:t>
      </w:r>
      <w:r w:rsidR="00C80C0D" w:rsidRPr="00C80C0D">
        <w:rPr>
          <w:rFonts w:ascii="楷体" w:eastAsia="楷体" w:hAnsi="楷体" w:hint="eastAsia"/>
          <w:b/>
          <w:sz w:val="24"/>
          <w:szCs w:val="24"/>
        </w:rPr>
        <w:t>煤价偏稳运行，价格压力逐步加大</w:t>
      </w:r>
      <w:bookmarkEnd w:id="22"/>
    </w:p>
    <w:p w:rsidR="003F56A5" w:rsidRDefault="00C80C0D">
      <w:pPr>
        <w:ind w:leftChars="300" w:left="630"/>
        <w:rPr>
          <w:rFonts w:ascii="楷体" w:eastAsia="楷体" w:hAnsi="楷体"/>
          <w:bCs/>
          <w:sz w:val="24"/>
          <w:szCs w:val="24"/>
        </w:rPr>
      </w:pPr>
      <w:r w:rsidRPr="00C80C0D">
        <w:rPr>
          <w:rFonts w:ascii="楷体" w:eastAsia="楷体" w:hAnsi="楷体" w:hint="eastAsia"/>
          <w:sz w:val="24"/>
          <w:szCs w:val="24"/>
        </w:rPr>
        <w:t>钢价压力逐步较大，煤价回落预期走强，盘面基差或走阔，预计价格或在（1250,1350）区间震荡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9880220"/>
      <w:r>
        <w:rPr>
          <w:rFonts w:ascii="楷体" w:eastAsia="楷体" w:hAnsi="楷体" w:hint="eastAsia"/>
          <w:b/>
          <w:color w:val="000000" w:themeColor="text1"/>
          <w:sz w:val="24"/>
          <w:szCs w:val="24"/>
        </w:rPr>
        <w:t>铜：</w:t>
      </w:r>
      <w:bookmarkEnd w:id="23"/>
      <w:bookmarkEnd w:id="24"/>
      <w:r w:rsidR="00C80C0D" w:rsidRPr="00C80C0D">
        <w:rPr>
          <w:rFonts w:ascii="楷体" w:eastAsia="楷体" w:hAnsi="楷体" w:hint="eastAsia"/>
          <w:b/>
          <w:color w:val="000000" w:themeColor="text1"/>
          <w:sz w:val="24"/>
          <w:szCs w:val="24"/>
        </w:rPr>
        <w:t>维持高位震荡，关注本周经济数据</w:t>
      </w:r>
      <w:bookmarkEnd w:id="25"/>
    </w:p>
    <w:p w:rsidR="00827E8A" w:rsidRPr="00827E8A" w:rsidRDefault="00827E8A" w:rsidP="00827E8A">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(1)宏观：6月美国ADP就业季节性调整后增加了49.7万人，为市场预期</w:t>
      </w:r>
      <w:r w:rsidRPr="00827E8A">
        <w:rPr>
          <w:rFonts w:ascii="楷体" w:eastAsia="楷体" w:hAnsi="楷体" w:hint="eastAsia"/>
          <w:color w:val="000000" w:themeColor="text1"/>
          <w:sz w:val="24"/>
          <w:szCs w:val="24"/>
        </w:rPr>
        <w:lastRenderedPageBreak/>
        <w:t>22.5万人的两倍多，远远超过前值27.8万，创下2022年7月以来最大月度增幅。</w:t>
      </w:r>
    </w:p>
    <w:p w:rsidR="00827E8A" w:rsidRPr="00827E8A" w:rsidRDefault="00827E8A" w:rsidP="00827E8A">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(2)库存：7月6日，SHFE仓单库存16479吨，减826吨；LME仓单库存65175吨，减2025吨。</w:t>
      </w:r>
    </w:p>
    <w:p w:rsidR="00827E8A" w:rsidRPr="00827E8A" w:rsidRDefault="00827E8A" w:rsidP="00827E8A">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(3)精废价差：7月6日，Mysteel精废价差2150，扩大126。目前价差在合理价差1384之上。</w:t>
      </w:r>
    </w:p>
    <w:p w:rsidR="00827E8A" w:rsidRPr="00827E8A" w:rsidRDefault="00827E8A" w:rsidP="00827E8A">
      <w:pPr>
        <w:ind w:leftChars="300" w:left="630"/>
        <w:rPr>
          <w:rFonts w:ascii="楷体" w:eastAsia="楷体" w:hAnsi="楷体"/>
          <w:color w:val="000000" w:themeColor="text1"/>
          <w:sz w:val="24"/>
          <w:szCs w:val="24"/>
        </w:rPr>
      </w:pPr>
    </w:p>
    <w:p w:rsidR="00127803" w:rsidRPr="00127803" w:rsidRDefault="00827E8A" w:rsidP="00827E8A">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综述：中国主要铜冶炼厂将2023年第三季度铜精矿加工的处理和精炼费用（TC/RCs）分别定为每吨95美元和每磅9.5美分，为2017年第4季度以来最高，该数据暗示矿端供应偏宽松。宏观面，隔夜公布美国小非农数据远超预期，美联储7月加息25个基点至5.25%-5.50%区间的概率为91.8%，铜价承压运行。短期低库存去化对价格仍有支撑，等待新的驱动，关注今晚美国非农数据公布</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9880221"/>
      <w:r>
        <w:rPr>
          <w:rFonts w:ascii="楷体" w:eastAsia="楷体" w:hAnsi="楷体" w:hint="eastAsia"/>
          <w:b/>
          <w:color w:val="000000" w:themeColor="text1"/>
          <w:sz w:val="24"/>
          <w:szCs w:val="24"/>
        </w:rPr>
        <w:t>铝：</w:t>
      </w:r>
      <w:bookmarkEnd w:id="26"/>
      <w:bookmarkEnd w:id="27"/>
      <w:r w:rsidR="00972485" w:rsidRPr="00972485">
        <w:rPr>
          <w:rFonts w:ascii="楷体" w:eastAsia="楷体" w:hAnsi="楷体" w:hint="eastAsia"/>
          <w:b/>
          <w:color w:val="000000" w:themeColor="text1"/>
          <w:sz w:val="24"/>
          <w:szCs w:val="24"/>
        </w:rPr>
        <w:t>铝价震荡运行，向下驱动偏强</w:t>
      </w:r>
      <w:bookmarkEnd w:id="28"/>
    </w:p>
    <w:p w:rsidR="003F56A5" w:rsidRDefault="00972485" w:rsidP="00127803">
      <w:pPr>
        <w:ind w:leftChars="300" w:left="630"/>
        <w:rPr>
          <w:rFonts w:ascii="楷体" w:eastAsia="楷体" w:hAnsi="楷体"/>
          <w:color w:val="000000" w:themeColor="text1"/>
          <w:sz w:val="24"/>
          <w:szCs w:val="24"/>
        </w:rPr>
      </w:pPr>
      <w:r w:rsidRPr="00972485">
        <w:rPr>
          <w:rFonts w:ascii="楷体" w:eastAsia="楷体" w:hAnsi="楷体" w:hint="eastAsia"/>
          <w:color w:val="000000" w:themeColor="text1"/>
          <w:sz w:val="24"/>
          <w:szCs w:val="24"/>
        </w:rPr>
        <w:t>欧美7月加息预期增强，美元指数高位震荡运行，美国周五非农就业数据表现高于市场预期，宏观情绪承压，国内市场仍在博弈7月的政策窗口期，内外宏观情绪分化。内外价差扭转，进口盈利窗口打开，后续或有进口铝锭流入补充，云南丰水当地电解铝产能正在密集筹办释放，考虑到复产开槽需要时间缓冲，四川又再传高温限电部分工业开工收到影响，供应确认有增量但复产节奏及复产程度仍待验证。国内库存维持低位，社库拐入累库，电解铝厂退水铸锭增加，下游淡季消费边际走弱。内外宏观情绪分化，基本面来看供增需减情况维持，铝价震荡在17500-19000之间，整体价格向下驱动偏强，可尝试布局短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9880222"/>
      <w:r>
        <w:rPr>
          <w:rFonts w:ascii="楷体" w:eastAsia="楷体" w:hAnsi="楷体" w:hint="eastAsia"/>
          <w:b/>
          <w:color w:val="000000" w:themeColor="text1"/>
          <w:sz w:val="24"/>
          <w:szCs w:val="24"/>
        </w:rPr>
        <w:t>锌：</w:t>
      </w:r>
      <w:r w:rsidR="00972485" w:rsidRPr="00972485">
        <w:rPr>
          <w:rFonts w:ascii="楷体" w:eastAsia="楷体" w:hAnsi="楷体" w:hint="eastAsia"/>
          <w:b/>
          <w:color w:val="000000" w:themeColor="text1"/>
          <w:sz w:val="24"/>
          <w:szCs w:val="24"/>
        </w:rPr>
        <w:t>基本面供强需弱格局延续，价格仍有下行压力</w:t>
      </w:r>
      <w:bookmarkEnd w:id="29"/>
    </w:p>
    <w:p w:rsidR="003F56A5" w:rsidRDefault="00972485" w:rsidP="000B0648">
      <w:pPr>
        <w:ind w:leftChars="300" w:left="630"/>
        <w:rPr>
          <w:rFonts w:ascii="楷体" w:eastAsia="楷体" w:hAnsi="楷体"/>
          <w:color w:val="000000" w:themeColor="text1"/>
          <w:sz w:val="24"/>
          <w:szCs w:val="24"/>
        </w:rPr>
      </w:pPr>
      <w:r w:rsidRPr="00972485">
        <w:rPr>
          <w:rFonts w:ascii="楷体" w:eastAsia="楷体" w:hAnsi="楷体" w:hint="eastAsia"/>
          <w:color w:val="000000" w:themeColor="text1"/>
          <w:sz w:val="24"/>
          <w:szCs w:val="24"/>
        </w:rPr>
        <w:t>瑞典矿业公司 Boliden 表示将暂停欧洲最大的爱尔兰锌矿Tara 的生产，海外锌矿供应预期走紧，进口盈亏窗口打开，进口矿经济型提升导致进口量走增，国内矿端供应相对稳定，精炼锌产量仍在季节性相对高位，当前冶炼仍有利润，多数炼厂基本开满产能，整体来看锌供应格局延续偏强态势。需求端：海内外显性库存低位累库，库存增量集中亚洲仓，国内社会库存相对稳定，国内下游需求正值淡季表现平淡，终端对锌价支持不足。整体上看，锌市供强需弱格局延续</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9880223"/>
      <w:r>
        <w:rPr>
          <w:rFonts w:ascii="楷体" w:eastAsia="楷体" w:hAnsi="楷体" w:hint="eastAsia"/>
          <w:b/>
          <w:color w:val="000000" w:themeColor="text1"/>
          <w:sz w:val="24"/>
          <w:szCs w:val="24"/>
        </w:rPr>
        <w:t>镍：</w:t>
      </w:r>
      <w:r w:rsidR="00827E8A" w:rsidRPr="00827E8A">
        <w:rPr>
          <w:rFonts w:ascii="楷体" w:eastAsia="楷体" w:hAnsi="楷体" w:hint="eastAsia"/>
          <w:b/>
          <w:color w:val="000000" w:themeColor="text1"/>
          <w:sz w:val="24"/>
          <w:szCs w:val="24"/>
        </w:rPr>
        <w:t>反弹后逐步逢高布空</w:t>
      </w:r>
      <w:bookmarkEnd w:id="30"/>
    </w:p>
    <w:p w:rsidR="003F56A5" w:rsidRDefault="00827E8A">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2023年6月全国精炼镍产量共计2.04万吨，环比上调9.39%，同比上升31.06%，全国电解镍产量6月延续爬坡基本符合预期。中长期供应过剩预期仍将压制镍价，整体走势仍偏空。短期受国内小金属出口管制消息刺激，及在低库存的支撑下，价格低位反弹。操作上，仍建议反弹过程中逐步布局空单</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988022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827E8A" w:rsidRPr="00827E8A">
        <w:rPr>
          <w:rFonts w:ascii="楷体" w:eastAsia="楷体" w:hAnsi="楷体" w:hint="eastAsia"/>
          <w:b/>
          <w:color w:val="000000" w:themeColor="text1"/>
          <w:sz w:val="24"/>
          <w:szCs w:val="24"/>
        </w:rPr>
        <w:t>价格走升但基本面较难支撑，注意回调风险</w:t>
      </w:r>
      <w:bookmarkEnd w:id="31"/>
    </w:p>
    <w:p w:rsidR="008B13D2" w:rsidRPr="008B13D2" w:rsidRDefault="00827E8A" w:rsidP="008B13D2">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欧美7月加息预期增强，美元指数高位震荡运行，美国非农数据高于市场预期，宏观承压。国内检修炼厂复产及新增产能补充投放，供应环比走增，</w:t>
      </w:r>
      <w:r w:rsidRPr="00827E8A">
        <w:rPr>
          <w:rFonts w:ascii="楷体" w:eastAsia="楷体" w:hAnsi="楷体" w:hint="eastAsia"/>
          <w:color w:val="000000" w:themeColor="text1"/>
          <w:sz w:val="24"/>
          <w:szCs w:val="24"/>
        </w:rPr>
        <w:lastRenderedPageBreak/>
        <w:t>需求仍处于淡季，消费支撑力度不足，多空博弈之下铅价上下震荡余小宁，偏弱基本面难撑高价，注意回调风险</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9880225"/>
      <w:r>
        <w:rPr>
          <w:rFonts w:ascii="楷体" w:eastAsia="楷体" w:hAnsi="楷体" w:hint="eastAsia"/>
          <w:b/>
          <w:color w:val="000000" w:themeColor="text1"/>
          <w:sz w:val="24"/>
          <w:szCs w:val="24"/>
        </w:rPr>
        <w:t>不锈钢：</w:t>
      </w:r>
      <w:r w:rsidR="00E7672C" w:rsidRPr="00E7672C">
        <w:rPr>
          <w:rFonts w:ascii="楷体" w:eastAsia="楷体" w:hAnsi="楷体" w:hint="eastAsia"/>
          <w:b/>
          <w:color w:val="000000" w:themeColor="text1"/>
          <w:sz w:val="24"/>
          <w:szCs w:val="24"/>
        </w:rPr>
        <w:t>基本面无明显矛盾，SS维持区间震荡</w:t>
      </w:r>
      <w:bookmarkEnd w:id="32"/>
    </w:p>
    <w:p w:rsidR="003F56A5" w:rsidRDefault="00E7672C">
      <w:pPr>
        <w:ind w:leftChars="300" w:left="630"/>
        <w:rPr>
          <w:rFonts w:ascii="楷体" w:eastAsia="楷体" w:hAnsi="楷体"/>
          <w:color w:val="000000" w:themeColor="text1"/>
          <w:sz w:val="24"/>
          <w:szCs w:val="24"/>
        </w:rPr>
      </w:pPr>
      <w:r w:rsidRPr="00E7672C">
        <w:rPr>
          <w:rFonts w:ascii="楷体" w:eastAsia="楷体" w:hAnsi="楷体" w:hint="eastAsia"/>
          <w:color w:val="000000" w:themeColor="text1"/>
          <w:sz w:val="24"/>
          <w:szCs w:val="24"/>
        </w:rPr>
        <w:t>当前不锈钢基本面矛盾不突出，整体价格跟随宏观情绪波动，短期区间震荡行情或延续，SS2308参考14200-15000。7月为国内传统消费淡季，供应无明显减量下，库存存累积预期。原料方面，镍铁价格阴跌，成本端对不锈钢价支撑不强。操作上，SS反弹至区间上沿尝试空单</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9880226"/>
      <w:r>
        <w:rPr>
          <w:rFonts w:ascii="楷体" w:eastAsia="楷体" w:hAnsi="楷体" w:hint="eastAsia"/>
          <w:b/>
          <w:color w:val="000000" w:themeColor="text1"/>
          <w:sz w:val="24"/>
          <w:szCs w:val="24"/>
        </w:rPr>
        <w:t>工业硅：</w:t>
      </w:r>
      <w:r w:rsidR="00C80C0D" w:rsidRPr="00C80C0D">
        <w:rPr>
          <w:rFonts w:ascii="楷体" w:eastAsia="楷体" w:hAnsi="楷体" w:hint="eastAsia"/>
          <w:b/>
          <w:sz w:val="24"/>
          <w:szCs w:val="24"/>
        </w:rPr>
        <w:t>云南大幅复产，预计市场将承压运行</w:t>
      </w:r>
      <w:bookmarkEnd w:id="33"/>
    </w:p>
    <w:p w:rsidR="003F56A5" w:rsidRDefault="00C80C0D" w:rsidP="00827E8A">
      <w:pPr>
        <w:ind w:leftChars="300" w:left="630"/>
        <w:rPr>
          <w:rFonts w:ascii="楷体" w:eastAsia="楷体" w:hAnsi="楷体"/>
          <w:sz w:val="24"/>
          <w:szCs w:val="24"/>
        </w:rPr>
      </w:pPr>
      <w:r w:rsidRPr="00C80C0D">
        <w:rPr>
          <w:rFonts w:ascii="楷体" w:eastAsia="楷体" w:hAnsi="楷体" w:hint="eastAsia"/>
          <w:sz w:val="24"/>
          <w:szCs w:val="24"/>
        </w:rPr>
        <w:t>7月7日，Si2309主力合约呈冲高回落走势，收盘价13220元/吨，较上一收盘价涨跌幅+0.04%。近期，云南进入7月份后，整体复产积极性有较大提高，其中上周德宏地区集中复产30台左右，其余地区也有陆续增产，当前开工率已达到68.4%，预计丰水期开工率将维持高位运行。当前供需宽松格局暂难改善，短期市场或仍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98802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988022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972485" w:rsidRPr="00972485">
        <w:rPr>
          <w:rFonts w:ascii="楷体" w:eastAsia="楷体" w:hAnsi="楷体" w:hint="eastAsia"/>
          <w:b/>
          <w:sz w:val="24"/>
          <w:szCs w:val="24"/>
        </w:rPr>
        <w:t>收储利好重提厄尔尼诺恐影响泰国产胶量 天胶维持偏强震荡</w:t>
      </w:r>
      <w:bookmarkEnd w:id="36"/>
    </w:p>
    <w:p w:rsidR="003F56A5" w:rsidRDefault="00972485">
      <w:pPr>
        <w:ind w:leftChars="300" w:left="630"/>
        <w:rPr>
          <w:rFonts w:ascii="楷体" w:eastAsia="楷体" w:hAnsi="楷体"/>
          <w:sz w:val="24"/>
          <w:szCs w:val="24"/>
        </w:rPr>
      </w:pPr>
      <w:r w:rsidRPr="00972485">
        <w:rPr>
          <w:rFonts w:ascii="楷体" w:eastAsia="楷体" w:hAnsi="楷体" w:hint="eastAsia"/>
          <w:sz w:val="24"/>
          <w:szCs w:val="24"/>
        </w:rPr>
        <w:t>点评：近期橡胶主力强劲反弹，创下近四个月以来的新高。尽管天胶基本面并不理想，且国内库存极高。后期由于需求不佳，供应进入季节性生产旺季，库存还将继续走高。但是天胶当前炒作题材较多，一方面收储传言再起。另一方面泰国官员表示，今年季风季节的全国降雨量可能比平均水平低10%。厄尔尼诺气候模式的出现可能会导致未来两年降雨量进一步降低。泰国是最重要的产胶国，严重干旱容易导致天胶减产。另外，由于去年受到浓乳分流的影响全乳胶产量较低，因此RU2309合约仓单较少。今年09合约交割前，9-1价差将强于往年，如果有多头愿意在09合约上接货，也可能导致行情剧烈波动。建议空头暂时回避。9-1正套可继续持有。橡胶基本面方面，社库降库幅度较前期有明显下滑，但仍处于高位。短期下游处于渠道去库阶段，对原材料消耗偏弱，难以对天胶形成有效支撑，天胶市场在维持偏强震荡的同时，谨防冲高回落风险</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988022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972485" w:rsidRPr="00972485">
        <w:rPr>
          <w:rFonts w:ascii="楷体" w:eastAsia="楷体" w:hAnsi="楷体" w:hint="eastAsia"/>
          <w:b/>
          <w:color w:val="000000" w:themeColor="text1"/>
          <w:sz w:val="24"/>
          <w:szCs w:val="24"/>
        </w:rPr>
        <w:t>受成本端提振走强 谨慎追高</w:t>
      </w:r>
      <w:bookmarkEnd w:id="37"/>
      <w:r>
        <w:rPr>
          <w:rFonts w:ascii="楷体" w:eastAsia="楷体" w:hAnsi="楷体" w:hint="eastAsia"/>
          <w:b/>
          <w:color w:val="000000" w:themeColor="text1"/>
          <w:sz w:val="24"/>
          <w:szCs w:val="24"/>
        </w:rPr>
        <w:t xml:space="preserve"> </w:t>
      </w:r>
    </w:p>
    <w:p w:rsidR="003F56A5" w:rsidRDefault="00972485" w:rsidP="002C73FE">
      <w:pPr>
        <w:ind w:leftChars="300" w:left="630"/>
        <w:rPr>
          <w:rFonts w:ascii="楷体" w:eastAsia="楷体" w:hAnsi="楷体"/>
          <w:color w:val="000000" w:themeColor="text1"/>
          <w:sz w:val="24"/>
          <w:szCs w:val="24"/>
        </w:rPr>
      </w:pPr>
      <w:r w:rsidRPr="00972485">
        <w:rPr>
          <w:rFonts w:ascii="楷体" w:eastAsia="楷体" w:hAnsi="楷体" w:hint="eastAsia"/>
          <w:color w:val="000000" w:themeColor="text1"/>
          <w:sz w:val="24"/>
          <w:szCs w:val="24"/>
        </w:rPr>
        <w:t>PTA供给方面，本周三房巷120万吨PTA装置停车，个别装置负荷小幅下调，至7.6 PTA负荷降至78.7%（-2.3%），前期装置检修带动的供给端扰动减弱，PX供应偏宽松预期。近期石脑油企稳反弹，PXN小幅压缩，短期PTA成本端支撑依然较强。需求方面，本周有一套聚酯装置检修重启，另外短纤负荷局部上调，整体聚酯负荷继续小幅上行。截至7.6 初步核算国内大陆地区聚酯负荷在93.3%附近，随着河南一套短纤装置重启出产品，负荷将升至93.5%附近。江浙终端开工率有所恢复，近期长丝工厂库存持续维持偏低水平，预计7月聚酯负荷将持续维持高位运行，直接端需求对TA支撑较强。终端5月纺服零售同比和环比均增长，终端真实纺服需求中性，出口方面，印度BIS认证导致PTA出口预期下滑。展望后市，海外出</w:t>
      </w:r>
      <w:r w:rsidRPr="00972485">
        <w:rPr>
          <w:rFonts w:ascii="楷体" w:eastAsia="楷体" w:hAnsi="楷体" w:hint="eastAsia"/>
          <w:color w:val="000000" w:themeColor="text1"/>
          <w:sz w:val="24"/>
          <w:szCs w:val="24"/>
        </w:rPr>
        <w:lastRenderedPageBreak/>
        <w:t>行旺季下PXN难压缩，PTA近期检修增多开工率下滑，聚酯因效益尚可及库存低位高开工维持需求韧性尚可，需求端及成本测驱动仍向上但预估空间有限，仅供参考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988023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9880231"/>
      <w:r>
        <w:rPr>
          <w:rFonts w:ascii="楷体" w:eastAsia="楷体" w:hAnsi="楷体" w:hint="eastAsia"/>
          <w:b/>
          <w:color w:val="000000" w:themeColor="text1"/>
          <w:sz w:val="24"/>
          <w:szCs w:val="24"/>
        </w:rPr>
        <w:t>聚烯烃：</w:t>
      </w:r>
      <w:r w:rsidR="00972485" w:rsidRPr="00972485">
        <w:rPr>
          <w:rFonts w:ascii="楷体" w:eastAsia="楷体" w:hAnsi="楷体" w:hint="eastAsia"/>
          <w:b/>
          <w:color w:val="000000" w:themeColor="text1"/>
          <w:sz w:val="24"/>
          <w:szCs w:val="24"/>
        </w:rPr>
        <w:t>淡季需求持续弱势，聚烯烃价格或震荡整理</w:t>
      </w:r>
      <w:bookmarkEnd w:id="39"/>
    </w:p>
    <w:p w:rsidR="003F56A5" w:rsidRDefault="00972485">
      <w:pPr>
        <w:ind w:leftChars="300" w:left="630"/>
        <w:rPr>
          <w:rFonts w:ascii="楷体" w:eastAsia="楷体" w:hAnsi="楷体"/>
          <w:bCs/>
          <w:sz w:val="24"/>
          <w:szCs w:val="24"/>
        </w:rPr>
      </w:pPr>
      <w:r w:rsidRPr="00972485">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供应担忧超过对进一步加息可能放缓经济增长并减少石油需求的担忧，布伦特原油首月期货涨至近10周以来最高。需求方面，PE下游方面，农膜整体需求平平，工厂生产清淡。棚膜工厂多停机检修；PP下游方面，BOPP市场成交刚需有量，整体量较上一交易日增加，BOPP企业未交付订单多数在一周以内，个别可至七月中旬。综合来看，PE方面，目前装置检修较多，供应无压力，终端采购偏弱的情况下，刚需采购为主，预计今日PE价格持稳。PP方面，成本支撑相对稳定。安庆石化投产放量叠加检修损失量减少，产量突破新高，供应压力升级。下游淡季需求持续弱势，工厂多随用随取，市场成交氛围清淡。 聚丙烯市场短期内难有明显好转，今日或震荡整理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827E8A" w:rsidRDefault="00CC3FFA" w:rsidP="00827E8A">
      <w:pPr>
        <w:ind w:leftChars="200" w:left="420"/>
        <w:outlineLvl w:val="1"/>
        <w:rPr>
          <w:rFonts w:ascii="楷体" w:eastAsia="楷体" w:hAnsi="楷体"/>
          <w:b/>
          <w:color w:val="000000" w:themeColor="text1"/>
          <w:sz w:val="24"/>
          <w:szCs w:val="24"/>
        </w:rPr>
      </w:pPr>
      <w:bookmarkStart w:id="40" w:name="_Toc139880232"/>
      <w:r>
        <w:rPr>
          <w:rFonts w:ascii="楷体" w:eastAsia="楷体" w:hAnsi="楷体" w:hint="eastAsia"/>
          <w:b/>
          <w:color w:val="000000" w:themeColor="text1"/>
          <w:sz w:val="24"/>
          <w:szCs w:val="24"/>
        </w:rPr>
        <w:t>MEG：</w:t>
      </w:r>
      <w:r w:rsidR="00972485" w:rsidRPr="00972485">
        <w:rPr>
          <w:rFonts w:ascii="楷体" w:eastAsia="楷体" w:hAnsi="楷体" w:hint="eastAsia"/>
          <w:b/>
          <w:color w:val="000000" w:themeColor="text1"/>
          <w:sz w:val="24"/>
          <w:szCs w:val="24"/>
        </w:rPr>
        <w:t>煤化工提前开启检修供应减量驱动上行</w:t>
      </w:r>
      <w:bookmarkEnd w:id="40"/>
    </w:p>
    <w:p w:rsidR="003F56A5" w:rsidRDefault="00972485" w:rsidP="00115EEA">
      <w:pPr>
        <w:ind w:leftChars="300" w:left="630"/>
        <w:rPr>
          <w:rFonts w:ascii="楷体" w:eastAsia="楷体" w:hAnsi="楷体"/>
          <w:color w:val="000000" w:themeColor="text1"/>
          <w:sz w:val="24"/>
          <w:szCs w:val="24"/>
        </w:rPr>
      </w:pPr>
      <w:r w:rsidRPr="00972485">
        <w:rPr>
          <w:rFonts w:ascii="楷体" w:eastAsia="楷体" w:hAnsi="楷体" w:hint="eastAsia"/>
          <w:color w:val="000000" w:themeColor="text1"/>
          <w:sz w:val="24"/>
          <w:szCs w:val="24"/>
        </w:rPr>
        <w:t>供需情况，7.3华东主港地区MEG港口库存约102.8万吨附近，环比上期增加5.2万吨，截至7月6日，中国大陆地区乙二醇整体开工负荷在66.39%（+2.08%），其中煤制乙二醇开工负荷在60.35%（-5.70%），其中煤制乙二醇开工负荷在66.05%（+0.33%）。煤化工方面，近期陕煤榆林化学一60万吨将于7月中下旬停车，另外60万吨在随后也有停车需要，预计时间均在10-15天左右；陕煤渭化一套30万吨/年的乙二醇装置因不可抗力停车，煤化工大型装置检修提前供应环比改善。截至7.6，初步核算国内大陆地区聚酯负荷在93.5%附近。江浙终端开工率局部调整， 江浙加弹综合开工率82%，江浙织机综合开工率72%（+1%），江浙印染综合开工率75%（+3%），</w:t>
      </w:r>
      <w:r w:rsidRPr="00972485">
        <w:rPr>
          <w:rFonts w:ascii="楷体" w:eastAsia="楷体" w:hAnsi="楷体" w:hint="eastAsia"/>
          <w:color w:val="000000" w:themeColor="text1"/>
          <w:sz w:val="24"/>
          <w:szCs w:val="24"/>
        </w:rPr>
        <w:lastRenderedPageBreak/>
        <w:t>江浙终端工厂原料备货再次增加。进口市场来看，6月底7月初远洋货将逐步抵港，现货环节可流动性仍在释放中。展望后市，近期天气异常炎热迎峰度夏，乙二醇成本端煤炭、乙烯及天然气走强，叠加聚酯高开工带动下乙二醇走出一波估值修复行情。后续来看，据悉目前煤化工个别工厂供货偏紧，能耗管控拉闸限电对煤化工供给端仍带来收缩预期，7-8月有望从累库转为去库格局，短期不具备继续做空价值。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988023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C80C0D" w:rsidRPr="00C80C0D">
        <w:rPr>
          <w:rFonts w:ascii="楷体" w:eastAsia="楷体" w:hAnsi="楷体" w:hint="eastAsia"/>
          <w:b/>
          <w:color w:val="000000" w:themeColor="text1"/>
          <w:sz w:val="24"/>
          <w:szCs w:val="24"/>
        </w:rPr>
        <w:t>周内产销维持好转，盘面震荡反弹</w:t>
      </w:r>
      <w:bookmarkEnd w:id="41"/>
    </w:p>
    <w:p w:rsidR="00A71A7E" w:rsidRDefault="00C80C0D" w:rsidP="001F79C6">
      <w:pPr>
        <w:ind w:leftChars="300" w:left="630"/>
        <w:rPr>
          <w:rFonts w:ascii="楷体" w:eastAsia="楷体" w:hAnsi="楷体"/>
          <w:color w:val="000000" w:themeColor="text1"/>
          <w:sz w:val="24"/>
          <w:szCs w:val="24"/>
        </w:rPr>
      </w:pPr>
      <w:r w:rsidRPr="00C80C0D">
        <w:rPr>
          <w:rFonts w:ascii="楷体" w:eastAsia="楷体" w:hAnsi="楷体" w:hint="eastAsia"/>
          <w:color w:val="000000" w:themeColor="text1"/>
          <w:sz w:val="24"/>
          <w:szCs w:val="24"/>
        </w:rPr>
        <w:t>玻璃当前处于供增需淡，估值中性，基差修复行情当中。主要矛盾在于市场对需求端秋储补库缺乏信心，产销阶段性好转，但持续性存忧。供给端，虽6月现货价格下移，但成本端价格回落 ，玻璃利润仍处于合理区间，7-8月尚有多条计划内产线待点火，供给压力尚在。而库存上持续累库，华南华东主要销售区加工厂订单未见明显起色，地产端资金回款问题频出，压制了市场信心。盘面区间震荡为主，短期由于下游库存不高叠加原片降价促销清库出现小幅补库，期价反弹，但7月中由于高温和雨季，需求端改善的力度和供给端压力对玻璃价格的反弹具有压制作用，短期跟随产销情况震荡偏强，但反弹空间有限。参考区间（1500，1650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988023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C80C0D" w:rsidRPr="00C80C0D">
        <w:rPr>
          <w:rFonts w:ascii="楷体" w:eastAsia="楷体" w:hAnsi="楷体" w:hint="eastAsia"/>
          <w:b/>
          <w:color w:val="000000" w:themeColor="text1"/>
          <w:sz w:val="24"/>
          <w:szCs w:val="24"/>
        </w:rPr>
        <w:t>当前纯碱延续前期近远月分歧问题</w:t>
      </w:r>
      <w:bookmarkEnd w:id="42"/>
    </w:p>
    <w:p w:rsidR="00A71A7E" w:rsidRDefault="00C80C0D" w:rsidP="00A71A7E">
      <w:pPr>
        <w:ind w:leftChars="300" w:left="630"/>
        <w:rPr>
          <w:rFonts w:ascii="楷体" w:eastAsia="楷体" w:hAnsi="楷体"/>
          <w:bCs/>
          <w:sz w:val="24"/>
          <w:szCs w:val="24"/>
        </w:rPr>
      </w:pPr>
      <w:r w:rsidRPr="00C80C0D">
        <w:rPr>
          <w:rFonts w:ascii="楷体" w:eastAsia="楷体" w:hAnsi="楷体" w:hint="eastAsia"/>
          <w:color w:val="000000" w:themeColor="text1"/>
          <w:sz w:val="24"/>
          <w:szCs w:val="24"/>
        </w:rPr>
        <w:t>近月检修较多，供给收缩，下游玻璃需求刚性，且低库存状态下对碱价有支撑。但远月6月底远兴1线天然碱 150万吨产能投产，后续尚有350万吨待投产和金山9月月200万吨联碱投产对供给端造成的压力难解。未来产能过剩明确，下游对高价碱抵触心理强，长期来看纯碱价格重心下移明确。09合约反弹到在氨碱法完全成本附近承压。盘面多空双方博弈进入平衡期，尚待新的刺激打破。中长线仍建议逢高沽空。参考区间（1600，1750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988023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988023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C80C0D" w:rsidRPr="00C80C0D">
        <w:rPr>
          <w:rFonts w:ascii="楷体" w:eastAsia="楷体" w:hAnsi="楷体" w:hint="eastAsia"/>
          <w:b/>
          <w:sz w:val="24"/>
          <w:szCs w:val="24"/>
        </w:rPr>
        <w:t>短期维持高位震荡，关注7月USDA报告</w:t>
      </w:r>
      <w:bookmarkEnd w:id="44"/>
    </w:p>
    <w:p w:rsidR="003F56A5" w:rsidRDefault="00C80C0D">
      <w:pPr>
        <w:ind w:leftChars="300" w:left="630"/>
        <w:rPr>
          <w:rFonts w:ascii="楷体" w:eastAsia="楷体" w:hAnsi="楷体"/>
          <w:sz w:val="24"/>
          <w:szCs w:val="24"/>
        </w:rPr>
      </w:pPr>
      <w:r w:rsidRPr="00C80C0D">
        <w:rPr>
          <w:rFonts w:ascii="楷体" w:eastAsia="楷体" w:hAnsi="楷体" w:hint="eastAsia"/>
          <w:sz w:val="24"/>
          <w:szCs w:val="24"/>
        </w:rPr>
        <w:t>国际方面，由于美豆产区降雨预期叠加技术性卖盘，CBOT大豆高位回调。随着美豆逐步进入关键生长期，近期降雨能否有效缓解干旱仍待继续关注。关注7月USDA报告对单产及产量的调整。当前美豆种植情况仍不乐观，优良率持续走低，截至7月3日当周，美国大豆优良率为50%，低于市场预期的52%，前一周为51%，上年同期为63%。巴西当前基本完成收割，大豆销售量达到预期产量的60%以上，6月出口预计达1430万吨。国内市场，随着当前大豆到港量增加，油厂已基本恢复开机压榨，但压榨节奏表现有差异，部分地区存在胀库停机现象，但累库趋势不变，当前主流油厂豆粕现货报价小幅下调至4130-4230元/吨，现货基差仍有压力。大豆4-6月到港量较大，5月进口到港1202万吨，环比增66%，到港仍较充裕。下游养殖利润表现仍不佳，且在杂粕替代下饲企和养殖企业等对豆粕饲用需求增量有限，在后续供应宽松下，现货基差仍有压力。菜粕当前供给相对偏紧，随着6月份后菜籽到港预计减少，油厂压榨也将逐步下滑。而需求方面在近期天气逐步回暖后，为华南水产需求旺季，替代需求方面，豆粕价格偏</w:t>
      </w:r>
      <w:r w:rsidRPr="00C80C0D">
        <w:rPr>
          <w:rFonts w:ascii="楷体" w:eastAsia="楷体" w:hAnsi="楷体" w:hint="eastAsia"/>
          <w:sz w:val="24"/>
          <w:szCs w:val="24"/>
        </w:rPr>
        <w:lastRenderedPageBreak/>
        <w:t>高，菜粕性价比仍存，整体供需表现紧张，对价格构成支撑。策略方面，短期预计维持高位震荡，回调暂看下方支撑，暂观望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9880237"/>
      <w:r>
        <w:rPr>
          <w:rFonts w:ascii="楷体" w:eastAsia="楷体" w:hAnsi="楷体" w:hint="eastAsia"/>
          <w:b/>
          <w:color w:val="000000" w:themeColor="text1"/>
          <w:sz w:val="24"/>
          <w:szCs w:val="24"/>
        </w:rPr>
        <w:t>油脂：</w:t>
      </w:r>
      <w:r w:rsidR="00C80C0D" w:rsidRPr="00C80C0D">
        <w:rPr>
          <w:rFonts w:ascii="楷体" w:eastAsia="楷体" w:hAnsi="楷体" w:hint="eastAsia"/>
          <w:b/>
          <w:sz w:val="24"/>
          <w:szCs w:val="24"/>
        </w:rPr>
        <w:t>关注MPOB月度报告</w:t>
      </w:r>
      <w:bookmarkEnd w:id="45"/>
    </w:p>
    <w:p w:rsidR="003F56A5" w:rsidRDefault="007029E1" w:rsidP="00792D31">
      <w:pPr>
        <w:ind w:leftChars="300" w:left="630"/>
        <w:rPr>
          <w:rFonts w:ascii="楷体" w:eastAsia="楷体" w:hAnsi="楷体"/>
          <w:sz w:val="24"/>
          <w:szCs w:val="24"/>
        </w:rPr>
      </w:pPr>
      <w:r w:rsidRPr="007029E1">
        <w:rPr>
          <w:rFonts w:ascii="楷体" w:eastAsia="楷体" w:hAnsi="楷体" w:hint="eastAsia"/>
          <w:sz w:val="24"/>
          <w:szCs w:val="24"/>
        </w:rPr>
        <w:t>国际市场，获利了结及美国中西部出现利于作物生长的温和降雨，外盘美豆油回调；但加拿大部分地区干旱，不利于作物生长，对菜系构成支撑。棕榈油，周一MPOB报告公布前，市场预估马来西亚6月底的棕榈油库存为186万吨，环比增长约10.5%，创下四个月新高，因为出口低迷；6月份产量预计为151万吨，环比下降0.8%；出口可能增长0.7%，达到109万吨。虽市场开始炒作厄尔尼诺现象，但中期无法改变产地棕榈油累库的趋势，关注马棕产量修复情况。国内棕榈油在6月份进口增加以及需求疲软下，库存去化放缓且出现回升。因前期产地报价下滑，国内进口利润有所修复，6-7月船期买船增加，最新商业库存为56.46万吨。需求端，随着气温回升利好棕榈油消费，但近期成交平平，无明显增量。豆油在供应修复预期下，压力仍存。随着4-7月进口大豆到港增加，油厂陆续恢复开机，但整体开机及压榨水平偏低，豆油供应持续缓慢修复。需求端，在中小学及高校陆续进入暑期，且无大型节日消费提振，预计进入消费淡季。菜油现阶段处于供强需弱格局，但后续供应压力边际减轻。随着进口加籽到港量维持高位，菜籽供应较稳定，5月菜籽进口68.6万吨，菜油进口17万吨，均较同期增加，且近期菜油进口利润打开，有新增买船，菜油供应较宽松。需求方面，在国产菜籽上市后，浓香菜油偏好增加，进口菜油加快去库仍需通过对竞争油脂替代来消耗。短期油脂谨慎看多，可关注油脂间套利</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9880238"/>
      <w:r>
        <w:rPr>
          <w:rFonts w:ascii="楷体" w:eastAsia="楷体" w:hAnsi="楷体" w:hint="eastAsia"/>
          <w:b/>
          <w:bCs/>
          <w:color w:val="000000" w:themeColor="text1"/>
        </w:rPr>
        <w:t>玉米与淀粉：</w:t>
      </w:r>
      <w:r w:rsidR="00972485" w:rsidRPr="00972485">
        <w:rPr>
          <w:rFonts w:ascii="楷体" w:eastAsia="楷体" w:hAnsi="楷体" w:hint="eastAsia"/>
          <w:b/>
        </w:rPr>
        <w:t>期价强中分化</w:t>
      </w:r>
      <w:bookmarkEnd w:id="46"/>
    </w:p>
    <w:p w:rsidR="00972485" w:rsidRPr="00972485" w:rsidRDefault="00972485" w:rsidP="00972485">
      <w:pPr>
        <w:pStyle w:val="paragraph"/>
        <w:spacing w:before="60" w:after="60"/>
        <w:ind w:leftChars="300" w:left="630"/>
        <w:rPr>
          <w:rFonts w:ascii="楷体" w:eastAsia="楷体" w:hAnsi="楷体" w:hint="eastAsia"/>
        </w:rPr>
      </w:pPr>
      <w:r w:rsidRPr="00972485">
        <w:rPr>
          <w:rFonts w:ascii="楷体" w:eastAsia="楷体" w:hAnsi="楷体" w:hint="eastAsia"/>
        </w:rPr>
        <w:t>对于玉米而言，在前期报告中，我们建议关注两个方面的上涨驱动，在新作产区天气方面，美玉米产区降雨带动优良率止跌回升，接下来需要继续跟踪内外产区天气。而在旧作被动补库存方面，由于中下游库存处于历史同期偏低水平，各地现货持续稳中有涨，继而推高盘面特别是近月期价，接下来需要留意小麦饲用替代和陈化水稻抛储政策。在这种情况下，我们维持谨慎看多观点，激进投资者持有前期多单，谨慎投资者可考虑先行离场，然后等待再次入场机会。</w:t>
      </w:r>
    </w:p>
    <w:p w:rsidR="003F56A5" w:rsidRDefault="00972485" w:rsidP="00972485">
      <w:pPr>
        <w:pStyle w:val="paragraph"/>
        <w:spacing w:before="60" w:beforeAutospacing="0" w:after="60" w:afterAutospacing="0"/>
        <w:ind w:leftChars="300" w:left="630"/>
        <w:rPr>
          <w:rFonts w:ascii="楷体" w:eastAsia="楷体" w:hAnsi="楷体"/>
        </w:rPr>
      </w:pPr>
      <w:r w:rsidRPr="00972485">
        <w:rPr>
          <w:rFonts w:ascii="楷体" w:eastAsia="楷体" w:hAnsi="楷体" w:hint="eastAsia"/>
        </w:rPr>
        <w:t>对于淀粉而言，近期淀粉-玉米价差收窄符合我们之前预期，主要源于两个方面，其一是副产品价格，受蛋白粕带动淀粉副产品价格大幅反弹，淀粉期现货生产利润改善，有望带动行业开机率回升；其二是需求端的季节性因素，在旺季备货之后或步入一段时间的需求低迷期，在这两方面的带动下，淀粉供需改善或不及预期。但我们不建议入场做缩这一价差，主要源于原料成本端的担忧，因深加工企业玉米原料库存处于历史低位。在这种情况下，我们建议淀粉-玉米价差可以考虑获利离场，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9880239"/>
      <w:r>
        <w:rPr>
          <w:rFonts w:ascii="楷体" w:eastAsia="楷体" w:hAnsi="楷体" w:hint="eastAsia"/>
          <w:b/>
          <w:bCs/>
          <w:color w:val="000000" w:themeColor="text1"/>
        </w:rPr>
        <w:t>畜禽养殖：</w:t>
      </w:r>
      <w:r w:rsidR="007029E1" w:rsidRPr="007029E1">
        <w:rPr>
          <w:rFonts w:ascii="楷体" w:eastAsia="楷体" w:hAnsi="楷体" w:hint="eastAsia"/>
          <w:b/>
          <w:bCs/>
          <w:color w:val="000000" w:themeColor="text1"/>
        </w:rPr>
        <w:t>生猪等待现货上涨</w:t>
      </w:r>
      <w:bookmarkEnd w:id="47"/>
    </w:p>
    <w:p w:rsidR="007029E1" w:rsidRPr="007029E1" w:rsidRDefault="007029E1" w:rsidP="007029E1">
      <w:pPr>
        <w:pStyle w:val="paragraph"/>
        <w:spacing w:before="60" w:after="60"/>
        <w:ind w:leftChars="300" w:left="630"/>
        <w:rPr>
          <w:rFonts w:ascii="楷体" w:eastAsia="楷体" w:hAnsi="楷体" w:hint="eastAsia"/>
        </w:rPr>
      </w:pPr>
      <w:r w:rsidRPr="007029E1">
        <w:rPr>
          <w:rFonts w:ascii="楷体" w:eastAsia="楷体" w:hAnsi="楷体" w:hint="eastAsia"/>
        </w:rPr>
        <w:lastRenderedPageBreak/>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短期更多留意阶段性反弹机会，目前7月和9月合约均低于生猪养殖成本，远月合约亦仅略高于养殖成本线，考虑到供应压力环比有望得到缓解，再加上国家收储政策的潜在支撑，我们倾向于期价下方空间或有限。在这种情况下，维持谨慎看多观点，建议暂以观望为宜，等待现货上涨。</w:t>
      </w:r>
    </w:p>
    <w:p w:rsidR="003F56A5" w:rsidRDefault="007029E1" w:rsidP="007029E1">
      <w:pPr>
        <w:pStyle w:val="paragraph"/>
        <w:spacing w:before="60" w:beforeAutospacing="0" w:after="60" w:afterAutospacing="0"/>
        <w:ind w:leftChars="300" w:left="630"/>
        <w:rPr>
          <w:rFonts w:ascii="楷体" w:eastAsia="楷体" w:hAnsi="楷体"/>
        </w:rPr>
      </w:pPr>
      <w:r w:rsidRPr="007029E1">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考虑到9月合约一度跌至4030左右，这接近于博亚和讯测算的鸡蛋养殖成本线，考虑到9月处于季节性旺季，供需之外还有季节性规律。我们倾向于鸡蛋期价下方空间或有限，维持谨慎看多观点，建议谨慎投资者观望，激进投资者可以考虑持有前期多单，止损上移至60天均线附近</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9880240"/>
      <w:r>
        <w:rPr>
          <w:rFonts w:ascii="楷体" w:eastAsia="楷体" w:hAnsi="楷体" w:hint="eastAsia"/>
          <w:b/>
          <w:sz w:val="24"/>
          <w:szCs w:val="24"/>
        </w:rPr>
        <w:t>郑棉：</w:t>
      </w:r>
      <w:r w:rsidR="00972485" w:rsidRPr="00972485">
        <w:rPr>
          <w:rFonts w:ascii="楷体" w:eastAsia="楷体" w:hAnsi="楷体" w:hint="eastAsia"/>
          <w:b/>
          <w:sz w:val="24"/>
          <w:szCs w:val="24"/>
        </w:rPr>
        <w:t>预计09合约区间偏强震荡，看跌期权卖权持有或等待低位买入机会</w:t>
      </w:r>
      <w:bookmarkEnd w:id="48"/>
    </w:p>
    <w:p w:rsidR="003F56A5" w:rsidRDefault="00972485" w:rsidP="007B3290">
      <w:pPr>
        <w:ind w:leftChars="300" w:left="630"/>
        <w:rPr>
          <w:rFonts w:ascii="楷体" w:eastAsia="楷体" w:hAnsi="楷体"/>
          <w:sz w:val="24"/>
          <w:szCs w:val="24"/>
        </w:rPr>
      </w:pPr>
      <w:r w:rsidRPr="00972485">
        <w:rPr>
          <w:rFonts w:ascii="楷体" w:eastAsia="楷体" w:hAnsi="楷体" w:hint="eastAsia"/>
          <w:sz w:val="24"/>
          <w:szCs w:val="24"/>
        </w:rPr>
        <w:t>联合国世界气象组织正式宣布厄尔尼诺现象在太平洋出现。叠加美国农业部多个报告，农产品板块近期显著走强。印度受该天气现象影响降水稀少，植棉进度落后。原棉震荡偏强。农产品板块的强势，以及国内商品近期的走强都对郑棉起支撑作用。尽管短期内受限于产业在淡季难以支撑高价原料的桎梏，但下方空间同样有限。预计郑棉高位宽幅震荡，区间1.62-1.72万元/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10" w:rsidRDefault="004E3A10">
      <w:r>
        <w:separator/>
      </w:r>
    </w:p>
  </w:endnote>
  <w:endnote w:type="continuationSeparator" w:id="0">
    <w:p w:rsidR="004E3A10" w:rsidRDefault="004E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D8C7ED1" wp14:editId="71EA04A5">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72485">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72485">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10" w:rsidRDefault="004E3A10">
      <w:r>
        <w:separator/>
      </w:r>
    </w:p>
  </w:footnote>
  <w:footnote w:type="continuationSeparator" w:id="0">
    <w:p w:rsidR="004E3A10" w:rsidRDefault="004E3A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8BB6DE2" wp14:editId="79737640">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9C11D49" wp14:editId="408D505D">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C80C0D">
      <w:rPr>
        <w:rFonts w:ascii="Times New Roman" w:eastAsia="楷体" w:hAnsi="Times New Roman" w:hint="eastAsia"/>
        <w:b/>
        <w:bCs/>
        <w:noProof/>
        <w:color w:val="833C0B"/>
        <w:sz w:val="21"/>
      </w:rPr>
      <w:t>2023</w:t>
    </w:r>
    <w:r w:rsidR="00C80C0D">
      <w:rPr>
        <w:rFonts w:ascii="Times New Roman" w:eastAsia="楷体" w:hAnsi="Times New Roman" w:hint="eastAsia"/>
        <w:b/>
        <w:bCs/>
        <w:noProof/>
        <w:color w:val="833C0B"/>
        <w:sz w:val="21"/>
      </w:rPr>
      <w:t>年</w:t>
    </w:r>
    <w:r w:rsidR="00C80C0D">
      <w:rPr>
        <w:rFonts w:ascii="Times New Roman" w:eastAsia="楷体" w:hAnsi="Times New Roman" w:hint="eastAsia"/>
        <w:b/>
        <w:bCs/>
        <w:noProof/>
        <w:color w:val="833C0B"/>
        <w:sz w:val="21"/>
      </w:rPr>
      <w:t>7</w:t>
    </w:r>
    <w:r w:rsidR="00C80C0D">
      <w:rPr>
        <w:rFonts w:ascii="Times New Roman" w:eastAsia="楷体" w:hAnsi="Times New Roman" w:hint="eastAsia"/>
        <w:b/>
        <w:bCs/>
        <w:noProof/>
        <w:color w:val="833C0B"/>
        <w:sz w:val="21"/>
      </w:rPr>
      <w:t>月</w:t>
    </w:r>
    <w:r w:rsidR="00C80C0D">
      <w:rPr>
        <w:rFonts w:ascii="Times New Roman" w:eastAsia="楷体" w:hAnsi="Times New Roman" w:hint="eastAsia"/>
        <w:b/>
        <w:bCs/>
        <w:noProof/>
        <w:color w:val="833C0B"/>
        <w:sz w:val="21"/>
      </w:rPr>
      <w:t>10</w:t>
    </w:r>
    <w:r w:rsidR="00C80C0D">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3A10"/>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73ED"/>
    <w:rsid w:val="00A60F08"/>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0DCE3-6DBE-4225-90EF-1B6601D4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9</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28</cp:revision>
  <cp:lastPrinted>2023-06-08T02:23:00Z</cp:lastPrinted>
  <dcterms:created xsi:type="dcterms:W3CDTF">2022-11-15T10:06:00Z</dcterms:created>
  <dcterms:modified xsi:type="dcterms:W3CDTF">2023-07-10T03:16:00Z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